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6A0" w:rsidRPr="007A4FF6" w:rsidRDefault="008866A0" w:rsidP="008866A0">
      <w:pPr>
        <w:tabs>
          <w:tab w:val="left" w:pos="540"/>
        </w:tabs>
        <w:spacing w:line="260" w:lineRule="exact"/>
        <w:jc w:val="both"/>
        <w:rPr>
          <w:rFonts w:ascii="Arial" w:hAnsi="Arial" w:cs="Arial"/>
        </w:rPr>
      </w:pPr>
    </w:p>
    <w:p w:rsidR="008866A0" w:rsidRPr="007A4FF6" w:rsidRDefault="008866A0" w:rsidP="008866A0">
      <w:pPr>
        <w:tabs>
          <w:tab w:val="left" w:pos="540"/>
        </w:tabs>
        <w:rPr>
          <w:rFonts w:ascii="Arial" w:hAnsi="Arial" w:cs="Arial"/>
          <w:b/>
        </w:rPr>
      </w:pPr>
    </w:p>
    <w:p w:rsidR="008866A0" w:rsidRPr="00F31D8E" w:rsidRDefault="008866A0" w:rsidP="008866A0">
      <w:pPr>
        <w:tabs>
          <w:tab w:val="left" w:pos="540"/>
        </w:tabs>
        <w:jc w:val="center"/>
        <w:rPr>
          <w:rFonts w:ascii="Arial" w:hAnsi="Arial" w:cs="Arial"/>
          <w:b/>
        </w:rPr>
      </w:pPr>
      <w:r w:rsidRPr="00F31D8E">
        <w:rPr>
          <w:rFonts w:ascii="Arial" w:hAnsi="Arial" w:cs="Arial"/>
          <w:noProof/>
        </w:rPr>
        <w:drawing>
          <wp:inline distT="0" distB="0" distL="0" distR="0" wp14:anchorId="2F2638FB" wp14:editId="6864C1D5">
            <wp:extent cx="5105400" cy="381000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105400" cy="3810000"/>
                    </a:xfrm>
                    <a:prstGeom prst="rect">
                      <a:avLst/>
                    </a:prstGeom>
                    <a:noFill/>
                    <a:ln w="9525">
                      <a:noFill/>
                      <a:miter lim="800000"/>
                      <a:headEnd/>
                      <a:tailEnd/>
                    </a:ln>
                  </pic:spPr>
                </pic:pic>
              </a:graphicData>
            </a:graphic>
          </wp:inline>
        </w:drawing>
      </w:r>
    </w:p>
    <w:p w:rsidR="008866A0" w:rsidRPr="00F31D8E" w:rsidRDefault="008866A0" w:rsidP="008866A0">
      <w:pPr>
        <w:tabs>
          <w:tab w:val="left" w:pos="540"/>
        </w:tabs>
        <w:rPr>
          <w:rFonts w:ascii="Arial" w:hAnsi="Arial" w:cs="Arial"/>
          <w:b/>
        </w:rPr>
      </w:pPr>
    </w:p>
    <w:p w:rsidR="008866A0" w:rsidRPr="00F31D8E" w:rsidRDefault="008866A0" w:rsidP="008866A0">
      <w:pPr>
        <w:tabs>
          <w:tab w:val="left" w:pos="540"/>
        </w:tabs>
        <w:rPr>
          <w:rFonts w:ascii="Arial" w:hAnsi="Arial" w:cs="Arial"/>
          <w:b/>
        </w:rPr>
      </w:pPr>
    </w:p>
    <w:p w:rsidR="008866A0" w:rsidRPr="00F31D8E" w:rsidRDefault="008866A0" w:rsidP="008866A0">
      <w:pPr>
        <w:tabs>
          <w:tab w:val="left" w:pos="540"/>
        </w:tabs>
        <w:rPr>
          <w:rFonts w:ascii="Arial" w:hAnsi="Arial" w:cs="Arial"/>
          <w:b/>
        </w:rPr>
      </w:pPr>
    </w:p>
    <w:p w:rsidR="008866A0" w:rsidRPr="00F31D8E" w:rsidRDefault="008866A0" w:rsidP="008866A0">
      <w:pPr>
        <w:tabs>
          <w:tab w:val="left" w:pos="540"/>
        </w:tabs>
        <w:rPr>
          <w:rFonts w:ascii="Arial" w:hAnsi="Arial" w:cs="Arial"/>
          <w:b/>
        </w:rPr>
      </w:pPr>
    </w:p>
    <w:p w:rsidR="008866A0" w:rsidRPr="00F31D8E" w:rsidRDefault="008866A0" w:rsidP="008866A0">
      <w:pPr>
        <w:tabs>
          <w:tab w:val="left" w:pos="540"/>
        </w:tabs>
        <w:rPr>
          <w:rFonts w:ascii="Arial" w:hAnsi="Arial" w:cs="Arial"/>
          <w:b/>
        </w:rPr>
      </w:pPr>
    </w:p>
    <w:p w:rsidR="008866A0" w:rsidRPr="00F31D8E" w:rsidRDefault="008866A0" w:rsidP="008866A0">
      <w:pPr>
        <w:tabs>
          <w:tab w:val="left" w:pos="540"/>
        </w:tabs>
        <w:rPr>
          <w:rFonts w:ascii="Arial" w:hAnsi="Arial" w:cs="Arial"/>
          <w:b/>
        </w:rPr>
      </w:pPr>
    </w:p>
    <w:p w:rsidR="008866A0" w:rsidRPr="00F31D8E" w:rsidRDefault="008866A0" w:rsidP="008866A0">
      <w:pPr>
        <w:tabs>
          <w:tab w:val="left" w:pos="540"/>
        </w:tabs>
        <w:rPr>
          <w:rFonts w:ascii="Arial" w:hAnsi="Arial" w:cs="Arial"/>
          <w:b/>
          <w:sz w:val="28"/>
          <w:szCs w:val="28"/>
        </w:rPr>
      </w:pPr>
    </w:p>
    <w:p w:rsidR="008866A0" w:rsidRPr="00F31D8E" w:rsidRDefault="008866A0" w:rsidP="008866A0">
      <w:pPr>
        <w:tabs>
          <w:tab w:val="left" w:pos="540"/>
        </w:tabs>
        <w:rPr>
          <w:rFonts w:ascii="Arial" w:hAnsi="Arial" w:cs="Arial"/>
          <w:b/>
          <w:sz w:val="28"/>
          <w:szCs w:val="28"/>
        </w:rPr>
      </w:pPr>
      <w:r w:rsidRPr="00F31D8E">
        <w:rPr>
          <w:rFonts w:ascii="Arial" w:hAnsi="Arial" w:cs="Arial"/>
          <w:b/>
          <w:sz w:val="28"/>
          <w:szCs w:val="28"/>
        </w:rPr>
        <w:t>INTERFERIE S.A. w Legnicy</w:t>
      </w:r>
    </w:p>
    <w:p w:rsidR="008866A0" w:rsidRPr="00F31D8E" w:rsidRDefault="008866A0" w:rsidP="008866A0">
      <w:pPr>
        <w:tabs>
          <w:tab w:val="left" w:pos="540"/>
        </w:tabs>
        <w:rPr>
          <w:rFonts w:ascii="Arial" w:hAnsi="Arial" w:cs="Arial"/>
          <w:b/>
          <w:sz w:val="28"/>
          <w:szCs w:val="28"/>
        </w:rPr>
      </w:pPr>
    </w:p>
    <w:p w:rsidR="008866A0" w:rsidRPr="00F31D8E" w:rsidRDefault="008866A0" w:rsidP="008866A0">
      <w:pPr>
        <w:tabs>
          <w:tab w:val="left" w:pos="540"/>
        </w:tabs>
        <w:rPr>
          <w:rFonts w:ascii="Arial" w:hAnsi="Arial" w:cs="Arial"/>
          <w:b/>
          <w:sz w:val="28"/>
          <w:szCs w:val="28"/>
        </w:rPr>
      </w:pPr>
    </w:p>
    <w:p w:rsidR="008866A0" w:rsidRPr="00FD6E2A" w:rsidRDefault="008866A0" w:rsidP="008866A0">
      <w:pPr>
        <w:tabs>
          <w:tab w:val="left" w:pos="540"/>
        </w:tabs>
        <w:rPr>
          <w:rFonts w:ascii="Arial" w:hAnsi="Arial" w:cs="Arial"/>
          <w:b/>
          <w:sz w:val="28"/>
          <w:szCs w:val="28"/>
        </w:rPr>
      </w:pPr>
      <w:r w:rsidRPr="00F31D8E">
        <w:rPr>
          <w:rFonts w:ascii="Arial" w:hAnsi="Arial" w:cs="Arial"/>
          <w:b/>
          <w:sz w:val="28"/>
          <w:szCs w:val="28"/>
        </w:rPr>
        <w:t xml:space="preserve">Śródroczne </w:t>
      </w:r>
      <w:r w:rsidRPr="00FD6E2A">
        <w:rPr>
          <w:rFonts w:ascii="Arial" w:hAnsi="Arial" w:cs="Arial"/>
          <w:b/>
          <w:sz w:val="28"/>
          <w:szCs w:val="28"/>
        </w:rPr>
        <w:t xml:space="preserve">skrócone sprawozdanie finansowe </w:t>
      </w:r>
      <w:r w:rsidRPr="00FD6E2A">
        <w:rPr>
          <w:rFonts w:ascii="Arial" w:hAnsi="Arial" w:cs="Arial"/>
          <w:b/>
          <w:sz w:val="28"/>
          <w:szCs w:val="28"/>
        </w:rPr>
        <w:br/>
        <w:t>za okres dziewięciu miesięcy zakończonych 30 września 20</w:t>
      </w:r>
      <w:r w:rsidR="005A00D9">
        <w:rPr>
          <w:rFonts w:ascii="Arial" w:hAnsi="Arial" w:cs="Arial"/>
          <w:b/>
          <w:sz w:val="28"/>
          <w:szCs w:val="28"/>
        </w:rPr>
        <w:t>2</w:t>
      </w:r>
      <w:r w:rsidR="006915D0">
        <w:rPr>
          <w:rFonts w:ascii="Arial" w:hAnsi="Arial" w:cs="Arial"/>
          <w:b/>
          <w:sz w:val="28"/>
          <w:szCs w:val="28"/>
        </w:rPr>
        <w:t>1</w:t>
      </w:r>
      <w:r w:rsidRPr="00FD6E2A">
        <w:rPr>
          <w:rFonts w:ascii="Arial" w:hAnsi="Arial" w:cs="Arial"/>
          <w:b/>
          <w:sz w:val="28"/>
          <w:szCs w:val="28"/>
        </w:rPr>
        <w:t xml:space="preserve"> r.</w:t>
      </w:r>
    </w:p>
    <w:p w:rsidR="008866A0" w:rsidRPr="00FD6E2A" w:rsidRDefault="008866A0" w:rsidP="008866A0">
      <w:pPr>
        <w:tabs>
          <w:tab w:val="left" w:pos="540"/>
        </w:tabs>
        <w:rPr>
          <w:rFonts w:ascii="Arial" w:hAnsi="Arial" w:cs="Arial"/>
          <w:b/>
          <w:sz w:val="28"/>
          <w:szCs w:val="28"/>
        </w:rPr>
      </w:pPr>
      <w:r w:rsidRPr="00FD6E2A">
        <w:rPr>
          <w:rFonts w:ascii="Arial" w:hAnsi="Arial" w:cs="Arial"/>
          <w:b/>
          <w:sz w:val="28"/>
          <w:szCs w:val="28"/>
        </w:rPr>
        <w:t>z uwzględnieniem wyceny udziałów w jednostce stowarzyszonej metodą praw własności</w:t>
      </w:r>
    </w:p>
    <w:p w:rsidR="008866A0" w:rsidRPr="00FD6E2A" w:rsidRDefault="008866A0" w:rsidP="008866A0">
      <w:pPr>
        <w:tabs>
          <w:tab w:val="left" w:pos="540"/>
        </w:tabs>
        <w:rPr>
          <w:rFonts w:ascii="Arial" w:hAnsi="Arial" w:cs="Arial"/>
          <w:b/>
          <w:sz w:val="28"/>
          <w:szCs w:val="28"/>
        </w:rPr>
      </w:pPr>
    </w:p>
    <w:p w:rsidR="008866A0" w:rsidRPr="00F31D8E" w:rsidRDefault="008866A0" w:rsidP="008866A0">
      <w:pPr>
        <w:tabs>
          <w:tab w:val="left" w:pos="540"/>
        </w:tabs>
        <w:rPr>
          <w:rFonts w:ascii="Arial" w:hAnsi="Arial" w:cs="Arial"/>
          <w:b/>
          <w:sz w:val="28"/>
          <w:szCs w:val="28"/>
        </w:rPr>
      </w:pPr>
      <w:r w:rsidRPr="00F31D8E">
        <w:rPr>
          <w:rFonts w:ascii="Arial" w:hAnsi="Arial" w:cs="Arial"/>
          <w:b/>
          <w:sz w:val="28"/>
          <w:szCs w:val="28"/>
        </w:rPr>
        <w:t>sporządzone zgodnie z MSR 34</w:t>
      </w:r>
    </w:p>
    <w:p w:rsidR="008866A0" w:rsidRPr="00F31D8E" w:rsidRDefault="008866A0" w:rsidP="008866A0">
      <w:pPr>
        <w:tabs>
          <w:tab w:val="left" w:pos="540"/>
        </w:tabs>
        <w:rPr>
          <w:rFonts w:ascii="Arial" w:hAnsi="Arial" w:cs="Arial"/>
          <w:b/>
          <w:sz w:val="28"/>
          <w:szCs w:val="28"/>
        </w:rPr>
      </w:pPr>
    </w:p>
    <w:p w:rsidR="008866A0" w:rsidRPr="00F31D8E" w:rsidRDefault="008866A0" w:rsidP="008866A0">
      <w:pPr>
        <w:tabs>
          <w:tab w:val="left" w:pos="540"/>
        </w:tabs>
        <w:rPr>
          <w:rFonts w:ascii="Arial" w:hAnsi="Arial" w:cs="Arial"/>
          <w:b/>
          <w:sz w:val="28"/>
          <w:szCs w:val="28"/>
        </w:rPr>
      </w:pPr>
    </w:p>
    <w:p w:rsidR="008866A0" w:rsidRPr="00F31D8E" w:rsidRDefault="008866A0" w:rsidP="008866A0">
      <w:pPr>
        <w:tabs>
          <w:tab w:val="left" w:pos="540"/>
        </w:tabs>
        <w:rPr>
          <w:rFonts w:ascii="Arial" w:hAnsi="Arial" w:cs="Arial"/>
          <w:b/>
        </w:rPr>
      </w:pPr>
      <w:r w:rsidRPr="00F31D8E">
        <w:rPr>
          <w:rFonts w:ascii="Arial" w:hAnsi="Arial" w:cs="Arial"/>
          <w:b/>
        </w:rPr>
        <w:br w:type="page"/>
      </w:r>
    </w:p>
    <w:p w:rsidR="008866A0" w:rsidRDefault="008866A0" w:rsidP="008866A0">
      <w:pPr>
        <w:tabs>
          <w:tab w:val="left" w:pos="540"/>
        </w:tabs>
        <w:rPr>
          <w:rFonts w:ascii="Arial" w:hAnsi="Arial" w:cs="Arial"/>
          <w:b/>
        </w:rPr>
      </w:pPr>
    </w:p>
    <w:p w:rsidR="008866A0" w:rsidRPr="00F31D8E" w:rsidRDefault="008866A0" w:rsidP="008866A0">
      <w:pPr>
        <w:tabs>
          <w:tab w:val="left" w:pos="540"/>
        </w:tabs>
        <w:rPr>
          <w:rFonts w:ascii="Arial" w:hAnsi="Arial" w:cs="Arial"/>
          <w:b/>
        </w:rPr>
      </w:pPr>
      <w:r w:rsidRPr="00F31D8E">
        <w:rPr>
          <w:rFonts w:ascii="Arial" w:hAnsi="Arial" w:cs="Arial"/>
          <w:b/>
        </w:rPr>
        <w:t>WYBRANE DANE FINANSOWE</w:t>
      </w:r>
    </w:p>
    <w:p w:rsidR="008866A0" w:rsidRDefault="008866A0" w:rsidP="008866A0">
      <w:pPr>
        <w:tabs>
          <w:tab w:val="left" w:pos="540"/>
        </w:tabs>
        <w:rPr>
          <w:rFonts w:ascii="Arial" w:hAnsi="Arial" w:cs="Arial"/>
          <w:b/>
          <w:sz w:val="18"/>
          <w:szCs w:val="18"/>
        </w:rPr>
      </w:pPr>
    </w:p>
    <w:p w:rsidR="008866A0" w:rsidRPr="00F31D8E" w:rsidRDefault="008866A0" w:rsidP="008866A0">
      <w:pPr>
        <w:tabs>
          <w:tab w:val="left" w:pos="540"/>
        </w:tabs>
        <w:rPr>
          <w:rFonts w:ascii="Arial" w:hAnsi="Arial" w:cs="Arial"/>
          <w:b/>
          <w:sz w:val="18"/>
          <w:szCs w:val="18"/>
        </w:rPr>
      </w:pPr>
    </w:p>
    <w:p w:rsidR="008866A0" w:rsidRPr="003B20BA" w:rsidRDefault="008866A0" w:rsidP="008866A0">
      <w:pPr>
        <w:tabs>
          <w:tab w:val="left" w:pos="540"/>
        </w:tabs>
        <w:rPr>
          <w:rFonts w:ascii="Arial" w:hAnsi="Arial" w:cs="Arial"/>
          <w:b/>
          <w:sz w:val="18"/>
          <w:szCs w:val="18"/>
        </w:rPr>
      </w:pPr>
      <w:r w:rsidRPr="003B20BA">
        <w:rPr>
          <w:rFonts w:ascii="Arial" w:hAnsi="Arial" w:cs="Arial"/>
          <w:b/>
          <w:sz w:val="18"/>
          <w:szCs w:val="18"/>
        </w:rPr>
        <w:t>Dane dotyczące skróconego sprawozdania finansowego INTERFERIE S.A. w Legnicy</w:t>
      </w:r>
    </w:p>
    <w:p w:rsidR="008866A0" w:rsidRDefault="008866A0" w:rsidP="008866A0">
      <w:pPr>
        <w:tabs>
          <w:tab w:val="left" w:pos="540"/>
        </w:tabs>
        <w:rPr>
          <w:rFonts w:ascii="Arial" w:hAnsi="Arial" w:cs="Arial"/>
          <w:sz w:val="18"/>
          <w:szCs w:val="18"/>
        </w:rPr>
      </w:pPr>
    </w:p>
    <w:p w:rsidR="003B146C" w:rsidRDefault="003B146C" w:rsidP="008866A0">
      <w:pPr>
        <w:tabs>
          <w:tab w:val="left" w:pos="540"/>
        </w:tabs>
        <w:rPr>
          <w:rFonts w:ascii="Arial" w:hAnsi="Arial" w:cs="Arial"/>
          <w:sz w:val="18"/>
          <w:szCs w:val="18"/>
        </w:rPr>
      </w:pPr>
    </w:p>
    <w:tbl>
      <w:tblPr>
        <w:tblW w:w="5000" w:type="pct"/>
        <w:tblCellMar>
          <w:left w:w="70" w:type="dxa"/>
          <w:right w:w="70" w:type="dxa"/>
        </w:tblCellMar>
        <w:tblLook w:val="04A0" w:firstRow="1" w:lastRow="0" w:firstColumn="1" w:lastColumn="0" w:noHBand="0" w:noVBand="1"/>
      </w:tblPr>
      <w:tblGrid>
        <w:gridCol w:w="3445"/>
        <w:gridCol w:w="1439"/>
        <w:gridCol w:w="1439"/>
        <w:gridCol w:w="1439"/>
        <w:gridCol w:w="1448"/>
      </w:tblGrid>
      <w:tr w:rsidR="00A1700F" w:rsidTr="00A1700F">
        <w:trPr>
          <w:trHeight w:val="300"/>
        </w:trPr>
        <w:tc>
          <w:tcPr>
            <w:tcW w:w="1870" w:type="pct"/>
            <w:tcBorders>
              <w:top w:val="nil"/>
              <w:left w:val="nil"/>
              <w:bottom w:val="nil"/>
              <w:right w:val="nil"/>
            </w:tcBorders>
            <w:shd w:val="clear" w:color="auto" w:fill="auto"/>
            <w:noWrap/>
            <w:vAlign w:val="bottom"/>
            <w:hideMark/>
          </w:tcPr>
          <w:p w:rsidR="00A1700F" w:rsidRDefault="00A1700F">
            <w:pPr>
              <w:rPr>
                <w:color w:val="000000"/>
                <w:sz w:val="22"/>
                <w:szCs w:val="22"/>
              </w:rPr>
            </w:pPr>
          </w:p>
        </w:tc>
        <w:tc>
          <w:tcPr>
            <w:tcW w:w="1562" w:type="pct"/>
            <w:gridSpan w:val="2"/>
            <w:tcBorders>
              <w:top w:val="nil"/>
              <w:left w:val="nil"/>
              <w:bottom w:val="nil"/>
              <w:right w:val="nil"/>
            </w:tcBorders>
            <w:shd w:val="clear" w:color="auto" w:fill="auto"/>
            <w:noWrap/>
            <w:vAlign w:val="center"/>
            <w:hideMark/>
          </w:tcPr>
          <w:p w:rsidR="00A1700F" w:rsidRDefault="00A1700F">
            <w:pPr>
              <w:jc w:val="center"/>
              <w:rPr>
                <w:rFonts w:ascii="Arial" w:hAnsi="Arial" w:cs="Arial"/>
                <w:b/>
                <w:bCs/>
                <w:color w:val="000000"/>
                <w:sz w:val="16"/>
                <w:szCs w:val="16"/>
              </w:rPr>
            </w:pPr>
            <w:r>
              <w:rPr>
                <w:rFonts w:ascii="Arial" w:hAnsi="Arial" w:cs="Arial"/>
                <w:b/>
                <w:bCs/>
                <w:color w:val="000000"/>
                <w:sz w:val="16"/>
                <w:szCs w:val="16"/>
              </w:rPr>
              <w:t>w tys. zł</w:t>
            </w:r>
          </w:p>
        </w:tc>
        <w:tc>
          <w:tcPr>
            <w:tcW w:w="1567" w:type="pct"/>
            <w:gridSpan w:val="2"/>
            <w:tcBorders>
              <w:top w:val="nil"/>
              <w:left w:val="nil"/>
              <w:bottom w:val="nil"/>
              <w:right w:val="nil"/>
            </w:tcBorders>
            <w:shd w:val="clear" w:color="auto" w:fill="auto"/>
            <w:noWrap/>
            <w:vAlign w:val="center"/>
            <w:hideMark/>
          </w:tcPr>
          <w:p w:rsidR="00A1700F" w:rsidRDefault="00A1700F">
            <w:pPr>
              <w:jc w:val="center"/>
              <w:rPr>
                <w:rFonts w:ascii="Arial" w:hAnsi="Arial" w:cs="Arial"/>
                <w:b/>
                <w:bCs/>
                <w:color w:val="000000"/>
                <w:sz w:val="16"/>
                <w:szCs w:val="16"/>
              </w:rPr>
            </w:pPr>
            <w:r>
              <w:rPr>
                <w:rFonts w:ascii="Arial" w:hAnsi="Arial" w:cs="Arial"/>
                <w:b/>
                <w:bCs/>
                <w:color w:val="000000"/>
                <w:sz w:val="16"/>
                <w:szCs w:val="16"/>
              </w:rPr>
              <w:t>w tys. EUR</w:t>
            </w:r>
          </w:p>
        </w:tc>
      </w:tr>
      <w:tr w:rsidR="00A1700F" w:rsidTr="00A1700F">
        <w:trPr>
          <w:trHeight w:val="300"/>
        </w:trPr>
        <w:tc>
          <w:tcPr>
            <w:tcW w:w="1870" w:type="pct"/>
            <w:tcBorders>
              <w:top w:val="nil"/>
              <w:left w:val="nil"/>
              <w:bottom w:val="nil"/>
              <w:right w:val="nil"/>
            </w:tcBorders>
            <w:shd w:val="clear" w:color="auto" w:fill="auto"/>
            <w:noWrap/>
            <w:vAlign w:val="bottom"/>
            <w:hideMark/>
          </w:tcPr>
          <w:p w:rsidR="00A1700F" w:rsidRDefault="00A1700F">
            <w:pPr>
              <w:rPr>
                <w:color w:val="000000"/>
                <w:sz w:val="22"/>
                <w:szCs w:val="22"/>
              </w:rPr>
            </w:pP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III kwartały</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III kwartały</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III kwartały</w:t>
            </w:r>
          </w:p>
        </w:tc>
        <w:tc>
          <w:tcPr>
            <w:tcW w:w="786" w:type="pct"/>
            <w:tcBorders>
              <w:top w:val="nil"/>
              <w:left w:val="nil"/>
              <w:bottom w:val="nil"/>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III kwartały</w:t>
            </w:r>
          </w:p>
        </w:tc>
      </w:tr>
      <w:tr w:rsidR="00A1700F" w:rsidTr="00A1700F">
        <w:trPr>
          <w:trHeight w:val="300"/>
        </w:trPr>
        <w:tc>
          <w:tcPr>
            <w:tcW w:w="1870" w:type="pct"/>
            <w:tcBorders>
              <w:top w:val="nil"/>
              <w:left w:val="nil"/>
              <w:bottom w:val="nil"/>
              <w:right w:val="nil"/>
            </w:tcBorders>
            <w:shd w:val="clear" w:color="auto" w:fill="auto"/>
            <w:noWrap/>
            <w:vAlign w:val="bottom"/>
            <w:hideMark/>
          </w:tcPr>
          <w:p w:rsidR="00A1700F" w:rsidRDefault="00A1700F">
            <w:pPr>
              <w:rPr>
                <w:color w:val="000000"/>
                <w:sz w:val="22"/>
                <w:szCs w:val="22"/>
              </w:rPr>
            </w:pP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narastająco</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narastająco</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narastająco</w:t>
            </w:r>
          </w:p>
        </w:tc>
        <w:tc>
          <w:tcPr>
            <w:tcW w:w="786" w:type="pct"/>
            <w:tcBorders>
              <w:top w:val="nil"/>
              <w:left w:val="nil"/>
              <w:bottom w:val="nil"/>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narastająco</w:t>
            </w:r>
          </w:p>
        </w:tc>
      </w:tr>
      <w:tr w:rsidR="00A1700F" w:rsidTr="00A1700F">
        <w:trPr>
          <w:trHeight w:val="300"/>
        </w:trPr>
        <w:tc>
          <w:tcPr>
            <w:tcW w:w="1870" w:type="pct"/>
            <w:tcBorders>
              <w:top w:val="nil"/>
              <w:left w:val="nil"/>
              <w:bottom w:val="nil"/>
              <w:right w:val="nil"/>
            </w:tcBorders>
            <w:shd w:val="clear" w:color="auto" w:fill="auto"/>
            <w:noWrap/>
            <w:vAlign w:val="bottom"/>
            <w:hideMark/>
          </w:tcPr>
          <w:p w:rsidR="00A1700F" w:rsidRDefault="00A1700F">
            <w:pPr>
              <w:rPr>
                <w:color w:val="000000"/>
                <w:sz w:val="22"/>
                <w:szCs w:val="22"/>
              </w:rPr>
            </w:pP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kończące się</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kończące się</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kończące się</w:t>
            </w:r>
          </w:p>
        </w:tc>
        <w:tc>
          <w:tcPr>
            <w:tcW w:w="786" w:type="pct"/>
            <w:tcBorders>
              <w:top w:val="nil"/>
              <w:left w:val="nil"/>
              <w:bottom w:val="nil"/>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kończące się</w:t>
            </w:r>
          </w:p>
        </w:tc>
      </w:tr>
      <w:tr w:rsidR="00A1700F" w:rsidTr="00A1700F">
        <w:trPr>
          <w:trHeight w:val="315"/>
        </w:trPr>
        <w:tc>
          <w:tcPr>
            <w:tcW w:w="1870" w:type="pct"/>
            <w:tcBorders>
              <w:top w:val="nil"/>
              <w:left w:val="nil"/>
              <w:bottom w:val="nil"/>
              <w:right w:val="nil"/>
            </w:tcBorders>
            <w:shd w:val="clear" w:color="auto" w:fill="auto"/>
            <w:noWrap/>
            <w:vAlign w:val="bottom"/>
            <w:hideMark/>
          </w:tcPr>
          <w:p w:rsidR="00A1700F" w:rsidRDefault="00A1700F">
            <w:pPr>
              <w:rPr>
                <w:color w:val="000000"/>
                <w:sz w:val="22"/>
                <w:szCs w:val="22"/>
              </w:rPr>
            </w:pPr>
          </w:p>
        </w:tc>
        <w:tc>
          <w:tcPr>
            <w:tcW w:w="781" w:type="pct"/>
            <w:tcBorders>
              <w:top w:val="nil"/>
              <w:left w:val="nil"/>
              <w:bottom w:val="single" w:sz="8" w:space="0" w:color="auto"/>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30 września 2021</w:t>
            </w:r>
          </w:p>
        </w:tc>
        <w:tc>
          <w:tcPr>
            <w:tcW w:w="781" w:type="pct"/>
            <w:tcBorders>
              <w:top w:val="nil"/>
              <w:left w:val="nil"/>
              <w:bottom w:val="single" w:sz="8" w:space="0" w:color="auto"/>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30 września 2020</w:t>
            </w:r>
          </w:p>
        </w:tc>
        <w:tc>
          <w:tcPr>
            <w:tcW w:w="781" w:type="pct"/>
            <w:tcBorders>
              <w:top w:val="nil"/>
              <w:left w:val="nil"/>
              <w:bottom w:val="single" w:sz="8" w:space="0" w:color="auto"/>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30 września 2021</w:t>
            </w:r>
          </w:p>
        </w:tc>
        <w:tc>
          <w:tcPr>
            <w:tcW w:w="786" w:type="pct"/>
            <w:tcBorders>
              <w:top w:val="nil"/>
              <w:left w:val="nil"/>
              <w:bottom w:val="single" w:sz="8" w:space="0" w:color="auto"/>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30 września 2020</w:t>
            </w:r>
          </w:p>
        </w:tc>
      </w:tr>
      <w:tr w:rsidR="00A1700F" w:rsidTr="00A1700F">
        <w:trPr>
          <w:trHeight w:val="300"/>
        </w:trPr>
        <w:tc>
          <w:tcPr>
            <w:tcW w:w="1870" w:type="pct"/>
            <w:tcBorders>
              <w:top w:val="single" w:sz="8" w:space="0" w:color="auto"/>
              <w:left w:val="nil"/>
              <w:bottom w:val="nil"/>
              <w:right w:val="nil"/>
            </w:tcBorders>
            <w:shd w:val="clear" w:color="auto" w:fill="auto"/>
            <w:noWrap/>
            <w:vAlign w:val="center"/>
            <w:hideMark/>
          </w:tcPr>
          <w:p w:rsidR="00A1700F" w:rsidRDefault="00A1700F">
            <w:pPr>
              <w:rPr>
                <w:rFonts w:ascii="Arial" w:hAnsi="Arial" w:cs="Arial"/>
                <w:color w:val="000000"/>
                <w:sz w:val="16"/>
                <w:szCs w:val="16"/>
              </w:rPr>
            </w:pPr>
            <w:r>
              <w:rPr>
                <w:rFonts w:ascii="Arial" w:hAnsi="Arial" w:cs="Arial"/>
                <w:color w:val="000000"/>
                <w:sz w:val="16"/>
                <w:szCs w:val="16"/>
              </w:rPr>
              <w:t> </w:t>
            </w:r>
          </w:p>
        </w:tc>
        <w:tc>
          <w:tcPr>
            <w:tcW w:w="781" w:type="pct"/>
            <w:tcBorders>
              <w:top w:val="nil"/>
              <w:left w:val="nil"/>
              <w:bottom w:val="nil"/>
              <w:right w:val="nil"/>
            </w:tcBorders>
            <w:shd w:val="clear" w:color="auto" w:fill="auto"/>
            <w:noWrap/>
            <w:vAlign w:val="bottom"/>
            <w:hideMark/>
          </w:tcPr>
          <w:p w:rsidR="00A1700F" w:rsidRDefault="00A1700F">
            <w:pPr>
              <w:rPr>
                <w:color w:val="000000"/>
                <w:sz w:val="22"/>
                <w:szCs w:val="22"/>
              </w:rPr>
            </w:pPr>
          </w:p>
        </w:tc>
        <w:tc>
          <w:tcPr>
            <w:tcW w:w="781" w:type="pct"/>
            <w:tcBorders>
              <w:top w:val="nil"/>
              <w:left w:val="nil"/>
              <w:bottom w:val="nil"/>
              <w:right w:val="nil"/>
            </w:tcBorders>
            <w:shd w:val="clear" w:color="auto" w:fill="auto"/>
            <w:noWrap/>
            <w:vAlign w:val="bottom"/>
            <w:hideMark/>
          </w:tcPr>
          <w:p w:rsidR="00A1700F" w:rsidRDefault="00A1700F">
            <w:pPr>
              <w:rPr>
                <w:color w:val="000000"/>
                <w:sz w:val="22"/>
                <w:szCs w:val="22"/>
              </w:rPr>
            </w:pPr>
          </w:p>
        </w:tc>
        <w:tc>
          <w:tcPr>
            <w:tcW w:w="781" w:type="pct"/>
            <w:tcBorders>
              <w:top w:val="nil"/>
              <w:left w:val="nil"/>
              <w:bottom w:val="nil"/>
              <w:right w:val="nil"/>
            </w:tcBorders>
            <w:shd w:val="clear" w:color="auto" w:fill="auto"/>
            <w:noWrap/>
            <w:vAlign w:val="bottom"/>
            <w:hideMark/>
          </w:tcPr>
          <w:p w:rsidR="00A1700F" w:rsidRDefault="00A1700F">
            <w:pPr>
              <w:rPr>
                <w:color w:val="000000"/>
                <w:sz w:val="22"/>
                <w:szCs w:val="22"/>
              </w:rPr>
            </w:pPr>
          </w:p>
        </w:tc>
        <w:tc>
          <w:tcPr>
            <w:tcW w:w="786" w:type="pct"/>
            <w:tcBorders>
              <w:top w:val="nil"/>
              <w:left w:val="nil"/>
              <w:bottom w:val="nil"/>
              <w:right w:val="nil"/>
            </w:tcBorders>
            <w:shd w:val="clear" w:color="auto" w:fill="auto"/>
            <w:noWrap/>
            <w:vAlign w:val="bottom"/>
            <w:hideMark/>
          </w:tcPr>
          <w:p w:rsidR="00A1700F" w:rsidRDefault="00A1700F">
            <w:pPr>
              <w:rPr>
                <w:color w:val="000000"/>
                <w:sz w:val="22"/>
                <w:szCs w:val="22"/>
              </w:rPr>
            </w:pPr>
          </w:p>
        </w:tc>
      </w:tr>
      <w:tr w:rsidR="00A1700F" w:rsidTr="00A1700F">
        <w:trPr>
          <w:trHeight w:val="300"/>
        </w:trPr>
        <w:tc>
          <w:tcPr>
            <w:tcW w:w="1870" w:type="pct"/>
            <w:tcBorders>
              <w:top w:val="nil"/>
              <w:left w:val="nil"/>
              <w:bottom w:val="nil"/>
              <w:right w:val="nil"/>
            </w:tcBorders>
            <w:shd w:val="clear" w:color="auto" w:fill="auto"/>
            <w:noWrap/>
            <w:vAlign w:val="center"/>
            <w:hideMark/>
          </w:tcPr>
          <w:p w:rsidR="00A1700F" w:rsidRDefault="00A1700F">
            <w:pPr>
              <w:rPr>
                <w:rFonts w:ascii="Arial" w:hAnsi="Arial" w:cs="Arial"/>
                <w:color w:val="000000"/>
                <w:sz w:val="16"/>
                <w:szCs w:val="16"/>
              </w:rPr>
            </w:pPr>
            <w:r>
              <w:rPr>
                <w:rFonts w:ascii="Arial" w:hAnsi="Arial" w:cs="Arial"/>
                <w:color w:val="000000"/>
                <w:sz w:val="16"/>
                <w:szCs w:val="16"/>
              </w:rPr>
              <w:t>Przychody ze sprzedaży</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31 580</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19 460</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6 916</w:t>
            </w:r>
          </w:p>
        </w:tc>
        <w:tc>
          <w:tcPr>
            <w:tcW w:w="786" w:type="pct"/>
            <w:tcBorders>
              <w:top w:val="nil"/>
              <w:left w:val="nil"/>
              <w:bottom w:val="nil"/>
              <w:right w:val="nil"/>
            </w:tcBorders>
            <w:shd w:val="clear" w:color="auto" w:fill="auto"/>
            <w:noWrap/>
            <w:vAlign w:val="center"/>
            <w:hideMark/>
          </w:tcPr>
          <w:p w:rsidR="00A1700F" w:rsidRDefault="00A1700F">
            <w:pPr>
              <w:jc w:val="right"/>
              <w:rPr>
                <w:rFonts w:ascii="Arial" w:hAnsi="Arial" w:cs="Arial"/>
                <w:sz w:val="16"/>
                <w:szCs w:val="16"/>
              </w:rPr>
            </w:pPr>
            <w:r>
              <w:rPr>
                <w:rFonts w:ascii="Arial" w:hAnsi="Arial" w:cs="Arial"/>
                <w:sz w:val="16"/>
                <w:szCs w:val="16"/>
              </w:rPr>
              <w:t>4 381</w:t>
            </w:r>
          </w:p>
        </w:tc>
      </w:tr>
      <w:tr w:rsidR="00A1700F" w:rsidTr="00A1700F">
        <w:trPr>
          <w:trHeight w:val="300"/>
        </w:trPr>
        <w:tc>
          <w:tcPr>
            <w:tcW w:w="1870" w:type="pct"/>
            <w:tcBorders>
              <w:top w:val="nil"/>
              <w:left w:val="nil"/>
              <w:bottom w:val="nil"/>
              <w:right w:val="nil"/>
            </w:tcBorders>
            <w:shd w:val="clear" w:color="auto" w:fill="auto"/>
            <w:noWrap/>
            <w:vAlign w:val="center"/>
            <w:hideMark/>
          </w:tcPr>
          <w:p w:rsidR="00A1700F" w:rsidRDefault="00A1700F">
            <w:pPr>
              <w:rPr>
                <w:rFonts w:ascii="Arial" w:hAnsi="Arial" w:cs="Arial"/>
                <w:color w:val="000000"/>
                <w:sz w:val="16"/>
                <w:szCs w:val="16"/>
              </w:rPr>
            </w:pPr>
            <w:r>
              <w:rPr>
                <w:rFonts w:ascii="Arial" w:hAnsi="Arial" w:cs="Arial"/>
                <w:color w:val="000000"/>
                <w:sz w:val="16"/>
                <w:szCs w:val="16"/>
              </w:rPr>
              <w:t>Zysk z działalności operacyjnej</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3 956</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-6 016</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866</w:t>
            </w:r>
          </w:p>
        </w:tc>
        <w:tc>
          <w:tcPr>
            <w:tcW w:w="786" w:type="pct"/>
            <w:tcBorders>
              <w:top w:val="nil"/>
              <w:left w:val="nil"/>
              <w:bottom w:val="nil"/>
              <w:right w:val="nil"/>
            </w:tcBorders>
            <w:shd w:val="clear" w:color="auto" w:fill="auto"/>
            <w:noWrap/>
            <w:vAlign w:val="center"/>
            <w:hideMark/>
          </w:tcPr>
          <w:p w:rsidR="00A1700F" w:rsidRDefault="00A1700F">
            <w:pPr>
              <w:jc w:val="right"/>
              <w:rPr>
                <w:rFonts w:ascii="Arial" w:hAnsi="Arial" w:cs="Arial"/>
                <w:sz w:val="16"/>
                <w:szCs w:val="16"/>
              </w:rPr>
            </w:pPr>
            <w:r>
              <w:rPr>
                <w:rFonts w:ascii="Arial" w:hAnsi="Arial" w:cs="Arial"/>
                <w:sz w:val="16"/>
                <w:szCs w:val="16"/>
              </w:rPr>
              <w:t>-1 354</w:t>
            </w:r>
          </w:p>
        </w:tc>
      </w:tr>
      <w:tr w:rsidR="00A1700F" w:rsidTr="00A1700F">
        <w:trPr>
          <w:trHeight w:val="300"/>
        </w:trPr>
        <w:tc>
          <w:tcPr>
            <w:tcW w:w="1870" w:type="pct"/>
            <w:tcBorders>
              <w:top w:val="nil"/>
              <w:left w:val="nil"/>
              <w:bottom w:val="nil"/>
              <w:right w:val="nil"/>
            </w:tcBorders>
            <w:shd w:val="clear" w:color="auto" w:fill="auto"/>
            <w:noWrap/>
            <w:vAlign w:val="center"/>
            <w:hideMark/>
          </w:tcPr>
          <w:p w:rsidR="00A1700F" w:rsidRDefault="00A1700F">
            <w:pPr>
              <w:rPr>
                <w:rFonts w:ascii="Arial" w:hAnsi="Arial" w:cs="Arial"/>
                <w:color w:val="000000"/>
                <w:sz w:val="16"/>
                <w:szCs w:val="16"/>
              </w:rPr>
            </w:pPr>
            <w:r>
              <w:rPr>
                <w:rFonts w:ascii="Arial" w:hAnsi="Arial" w:cs="Arial"/>
                <w:color w:val="000000"/>
                <w:sz w:val="16"/>
                <w:szCs w:val="16"/>
              </w:rPr>
              <w:t>Zysk przed opodatkowaniem</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3 591</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-6 801</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786</w:t>
            </w:r>
          </w:p>
        </w:tc>
        <w:tc>
          <w:tcPr>
            <w:tcW w:w="786" w:type="pct"/>
            <w:tcBorders>
              <w:top w:val="nil"/>
              <w:left w:val="nil"/>
              <w:bottom w:val="nil"/>
              <w:right w:val="nil"/>
            </w:tcBorders>
            <w:shd w:val="clear" w:color="auto" w:fill="auto"/>
            <w:noWrap/>
            <w:vAlign w:val="center"/>
            <w:hideMark/>
          </w:tcPr>
          <w:p w:rsidR="00A1700F" w:rsidRDefault="00A1700F">
            <w:pPr>
              <w:jc w:val="right"/>
              <w:rPr>
                <w:rFonts w:ascii="Arial" w:hAnsi="Arial" w:cs="Arial"/>
                <w:sz w:val="16"/>
                <w:szCs w:val="16"/>
              </w:rPr>
            </w:pPr>
            <w:r>
              <w:rPr>
                <w:rFonts w:ascii="Arial" w:hAnsi="Arial" w:cs="Arial"/>
                <w:sz w:val="16"/>
                <w:szCs w:val="16"/>
              </w:rPr>
              <w:t>-1 531</w:t>
            </w:r>
          </w:p>
        </w:tc>
      </w:tr>
      <w:tr w:rsidR="00A1700F" w:rsidTr="00A1700F">
        <w:trPr>
          <w:trHeight w:val="300"/>
        </w:trPr>
        <w:tc>
          <w:tcPr>
            <w:tcW w:w="1870" w:type="pct"/>
            <w:tcBorders>
              <w:top w:val="nil"/>
              <w:left w:val="nil"/>
              <w:bottom w:val="nil"/>
              <w:right w:val="nil"/>
            </w:tcBorders>
            <w:shd w:val="clear" w:color="auto" w:fill="auto"/>
            <w:noWrap/>
            <w:vAlign w:val="center"/>
            <w:hideMark/>
          </w:tcPr>
          <w:p w:rsidR="00A1700F" w:rsidRDefault="00A1700F">
            <w:pPr>
              <w:rPr>
                <w:rFonts w:ascii="Arial" w:hAnsi="Arial" w:cs="Arial"/>
                <w:color w:val="000000"/>
                <w:sz w:val="16"/>
                <w:szCs w:val="16"/>
              </w:rPr>
            </w:pPr>
            <w:r>
              <w:rPr>
                <w:rFonts w:ascii="Arial" w:hAnsi="Arial" w:cs="Arial"/>
                <w:color w:val="000000"/>
                <w:sz w:val="16"/>
                <w:szCs w:val="16"/>
              </w:rPr>
              <w:t>Zysk netto</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3 582</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-6 770</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784</w:t>
            </w:r>
          </w:p>
        </w:tc>
        <w:tc>
          <w:tcPr>
            <w:tcW w:w="786" w:type="pct"/>
            <w:tcBorders>
              <w:top w:val="nil"/>
              <w:left w:val="nil"/>
              <w:bottom w:val="nil"/>
              <w:right w:val="nil"/>
            </w:tcBorders>
            <w:shd w:val="clear" w:color="auto" w:fill="auto"/>
            <w:noWrap/>
            <w:vAlign w:val="center"/>
            <w:hideMark/>
          </w:tcPr>
          <w:p w:rsidR="00A1700F" w:rsidRDefault="00A1700F">
            <w:pPr>
              <w:jc w:val="right"/>
              <w:rPr>
                <w:rFonts w:ascii="Arial" w:hAnsi="Arial" w:cs="Arial"/>
                <w:sz w:val="16"/>
                <w:szCs w:val="16"/>
              </w:rPr>
            </w:pPr>
            <w:r>
              <w:rPr>
                <w:rFonts w:ascii="Arial" w:hAnsi="Arial" w:cs="Arial"/>
                <w:sz w:val="16"/>
                <w:szCs w:val="16"/>
              </w:rPr>
              <w:t>-1 524</w:t>
            </w:r>
          </w:p>
        </w:tc>
      </w:tr>
      <w:tr w:rsidR="00A1700F" w:rsidTr="00A1700F">
        <w:trPr>
          <w:trHeight w:val="300"/>
        </w:trPr>
        <w:tc>
          <w:tcPr>
            <w:tcW w:w="1870" w:type="pct"/>
            <w:tcBorders>
              <w:top w:val="nil"/>
              <w:left w:val="nil"/>
              <w:bottom w:val="nil"/>
              <w:right w:val="nil"/>
            </w:tcBorders>
            <w:shd w:val="clear" w:color="auto" w:fill="auto"/>
            <w:noWrap/>
            <w:vAlign w:val="center"/>
            <w:hideMark/>
          </w:tcPr>
          <w:p w:rsidR="00A1700F" w:rsidRDefault="00A1700F">
            <w:pPr>
              <w:rPr>
                <w:rFonts w:ascii="Arial" w:hAnsi="Arial" w:cs="Arial"/>
                <w:color w:val="000000"/>
                <w:sz w:val="16"/>
                <w:szCs w:val="16"/>
              </w:rPr>
            </w:pPr>
            <w:r>
              <w:rPr>
                <w:rFonts w:ascii="Arial" w:hAnsi="Arial" w:cs="Arial"/>
                <w:color w:val="000000"/>
                <w:sz w:val="16"/>
                <w:szCs w:val="16"/>
              </w:rPr>
              <w:t>Łączne dochody całkowite</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3 582</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-6 770</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784</w:t>
            </w:r>
          </w:p>
        </w:tc>
        <w:tc>
          <w:tcPr>
            <w:tcW w:w="786" w:type="pct"/>
            <w:tcBorders>
              <w:top w:val="nil"/>
              <w:left w:val="nil"/>
              <w:bottom w:val="nil"/>
              <w:right w:val="nil"/>
            </w:tcBorders>
            <w:shd w:val="clear" w:color="auto" w:fill="auto"/>
            <w:noWrap/>
            <w:vAlign w:val="center"/>
            <w:hideMark/>
          </w:tcPr>
          <w:p w:rsidR="00A1700F" w:rsidRDefault="00A1700F">
            <w:pPr>
              <w:jc w:val="right"/>
              <w:rPr>
                <w:rFonts w:ascii="Arial" w:hAnsi="Arial" w:cs="Arial"/>
                <w:sz w:val="16"/>
                <w:szCs w:val="16"/>
              </w:rPr>
            </w:pPr>
            <w:r>
              <w:rPr>
                <w:rFonts w:ascii="Arial" w:hAnsi="Arial" w:cs="Arial"/>
                <w:sz w:val="16"/>
                <w:szCs w:val="16"/>
              </w:rPr>
              <w:t>-1 524</w:t>
            </w:r>
          </w:p>
        </w:tc>
      </w:tr>
      <w:tr w:rsidR="00A1700F" w:rsidTr="00A1700F">
        <w:trPr>
          <w:trHeight w:val="300"/>
        </w:trPr>
        <w:tc>
          <w:tcPr>
            <w:tcW w:w="1870" w:type="pct"/>
            <w:tcBorders>
              <w:top w:val="nil"/>
              <w:left w:val="nil"/>
              <w:bottom w:val="nil"/>
              <w:right w:val="nil"/>
            </w:tcBorders>
            <w:shd w:val="clear" w:color="auto" w:fill="auto"/>
            <w:noWrap/>
            <w:vAlign w:val="center"/>
            <w:hideMark/>
          </w:tcPr>
          <w:p w:rsidR="00A1700F" w:rsidRDefault="00A1700F">
            <w:pPr>
              <w:rPr>
                <w:rFonts w:ascii="Arial" w:hAnsi="Arial" w:cs="Arial"/>
                <w:color w:val="000000"/>
                <w:sz w:val="16"/>
                <w:szCs w:val="16"/>
              </w:rPr>
            </w:pPr>
            <w:r>
              <w:rPr>
                <w:rFonts w:ascii="Arial" w:hAnsi="Arial" w:cs="Arial"/>
                <w:color w:val="000000"/>
                <w:sz w:val="16"/>
                <w:szCs w:val="16"/>
              </w:rPr>
              <w:t>Ilość akcji (w szt.)</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14 564 200</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14 564 200</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14 564 200</w:t>
            </w:r>
          </w:p>
        </w:tc>
        <w:tc>
          <w:tcPr>
            <w:tcW w:w="786" w:type="pct"/>
            <w:tcBorders>
              <w:top w:val="nil"/>
              <w:left w:val="nil"/>
              <w:bottom w:val="nil"/>
              <w:right w:val="nil"/>
            </w:tcBorders>
            <w:shd w:val="clear" w:color="auto" w:fill="auto"/>
            <w:noWrap/>
            <w:vAlign w:val="center"/>
            <w:hideMark/>
          </w:tcPr>
          <w:p w:rsidR="00A1700F" w:rsidRDefault="00A1700F">
            <w:pPr>
              <w:jc w:val="right"/>
              <w:rPr>
                <w:rFonts w:ascii="Arial" w:hAnsi="Arial" w:cs="Arial"/>
                <w:sz w:val="16"/>
                <w:szCs w:val="16"/>
              </w:rPr>
            </w:pPr>
            <w:r>
              <w:rPr>
                <w:rFonts w:ascii="Arial" w:hAnsi="Arial" w:cs="Arial"/>
                <w:sz w:val="16"/>
                <w:szCs w:val="16"/>
              </w:rPr>
              <w:t>14 564 200</w:t>
            </w:r>
          </w:p>
        </w:tc>
      </w:tr>
      <w:tr w:rsidR="00A1700F" w:rsidTr="00A1700F">
        <w:trPr>
          <w:trHeight w:val="375"/>
        </w:trPr>
        <w:tc>
          <w:tcPr>
            <w:tcW w:w="1870"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Zysk netto na jedną akcję zwykłą (w zł/EUR)</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0,25</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-0,46</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0,05</w:t>
            </w:r>
          </w:p>
        </w:tc>
        <w:tc>
          <w:tcPr>
            <w:tcW w:w="786" w:type="pct"/>
            <w:tcBorders>
              <w:top w:val="nil"/>
              <w:left w:val="nil"/>
              <w:bottom w:val="nil"/>
              <w:right w:val="nil"/>
            </w:tcBorders>
            <w:shd w:val="clear" w:color="auto" w:fill="auto"/>
            <w:noWrap/>
            <w:vAlign w:val="center"/>
            <w:hideMark/>
          </w:tcPr>
          <w:p w:rsidR="00A1700F" w:rsidRDefault="00A1700F">
            <w:pPr>
              <w:jc w:val="right"/>
              <w:rPr>
                <w:rFonts w:ascii="Arial" w:hAnsi="Arial" w:cs="Arial"/>
                <w:sz w:val="16"/>
                <w:szCs w:val="16"/>
              </w:rPr>
            </w:pPr>
            <w:r>
              <w:rPr>
                <w:rFonts w:ascii="Arial" w:hAnsi="Arial" w:cs="Arial"/>
                <w:sz w:val="16"/>
                <w:szCs w:val="16"/>
              </w:rPr>
              <w:t>-0,10</w:t>
            </w:r>
          </w:p>
        </w:tc>
      </w:tr>
      <w:tr w:rsidR="00A1700F" w:rsidTr="00A1700F">
        <w:trPr>
          <w:trHeight w:val="375"/>
        </w:trPr>
        <w:tc>
          <w:tcPr>
            <w:tcW w:w="1870"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Przepływy pieniężne netto z działalności operacyjnej</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7 877</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-1 148</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1 725</w:t>
            </w:r>
          </w:p>
        </w:tc>
        <w:tc>
          <w:tcPr>
            <w:tcW w:w="786"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-258</w:t>
            </w:r>
          </w:p>
        </w:tc>
      </w:tr>
      <w:tr w:rsidR="00A1700F" w:rsidTr="00A1700F">
        <w:trPr>
          <w:trHeight w:val="375"/>
        </w:trPr>
        <w:tc>
          <w:tcPr>
            <w:tcW w:w="1870"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Przepływy pieniężne netto z działalności inwestycyjnej</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-13 742</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-31 570</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-3 009</w:t>
            </w:r>
          </w:p>
        </w:tc>
        <w:tc>
          <w:tcPr>
            <w:tcW w:w="786"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-7 107</w:t>
            </w:r>
          </w:p>
        </w:tc>
      </w:tr>
      <w:tr w:rsidR="00A1700F" w:rsidTr="00A1700F">
        <w:trPr>
          <w:trHeight w:val="375"/>
        </w:trPr>
        <w:tc>
          <w:tcPr>
            <w:tcW w:w="1870"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Przepływy pieniężne netto z działalności finansowej</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14 199</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10 963</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3 109</w:t>
            </w:r>
          </w:p>
        </w:tc>
        <w:tc>
          <w:tcPr>
            <w:tcW w:w="786"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2 468</w:t>
            </w:r>
          </w:p>
        </w:tc>
      </w:tr>
      <w:tr w:rsidR="00A1700F" w:rsidTr="00A1700F">
        <w:trPr>
          <w:trHeight w:val="375"/>
        </w:trPr>
        <w:tc>
          <w:tcPr>
            <w:tcW w:w="1870" w:type="pct"/>
            <w:tcBorders>
              <w:top w:val="nil"/>
              <w:left w:val="nil"/>
              <w:bottom w:val="nil"/>
              <w:right w:val="nil"/>
            </w:tcBorders>
            <w:shd w:val="clear" w:color="auto" w:fill="auto"/>
            <w:noWrap/>
            <w:vAlign w:val="center"/>
            <w:hideMark/>
          </w:tcPr>
          <w:p w:rsidR="00A1700F" w:rsidRDefault="00A1700F">
            <w:pPr>
              <w:rPr>
                <w:rFonts w:ascii="Arial" w:hAnsi="Arial" w:cs="Arial"/>
                <w:color w:val="000000"/>
                <w:sz w:val="16"/>
                <w:szCs w:val="16"/>
              </w:rPr>
            </w:pPr>
            <w:r>
              <w:rPr>
                <w:rFonts w:ascii="Arial" w:hAnsi="Arial" w:cs="Arial"/>
                <w:color w:val="000000"/>
                <w:sz w:val="16"/>
                <w:szCs w:val="16"/>
              </w:rPr>
              <w:t>Przepływy pieniężne netto razem</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8 334</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-21 755</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1 825</w:t>
            </w:r>
          </w:p>
        </w:tc>
        <w:tc>
          <w:tcPr>
            <w:tcW w:w="786"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-4 897</w:t>
            </w:r>
          </w:p>
        </w:tc>
      </w:tr>
      <w:tr w:rsidR="00A1700F" w:rsidTr="00A1700F">
        <w:trPr>
          <w:trHeight w:val="375"/>
        </w:trPr>
        <w:tc>
          <w:tcPr>
            <w:tcW w:w="1870" w:type="pct"/>
            <w:tcBorders>
              <w:top w:val="nil"/>
              <w:left w:val="nil"/>
              <w:bottom w:val="nil"/>
              <w:right w:val="nil"/>
            </w:tcBorders>
            <w:shd w:val="clear" w:color="auto" w:fill="auto"/>
            <w:noWrap/>
            <w:vAlign w:val="center"/>
            <w:hideMark/>
          </w:tcPr>
          <w:p w:rsidR="00A1700F" w:rsidRDefault="00A1700F">
            <w:pPr>
              <w:rPr>
                <w:color w:val="000000"/>
                <w:sz w:val="22"/>
                <w:szCs w:val="22"/>
              </w:rPr>
            </w:pPr>
          </w:p>
        </w:tc>
        <w:tc>
          <w:tcPr>
            <w:tcW w:w="781" w:type="pct"/>
            <w:tcBorders>
              <w:top w:val="nil"/>
              <w:left w:val="nil"/>
              <w:bottom w:val="nil"/>
              <w:right w:val="nil"/>
            </w:tcBorders>
            <w:shd w:val="clear" w:color="auto" w:fill="auto"/>
            <w:noWrap/>
            <w:vAlign w:val="bottom"/>
            <w:hideMark/>
          </w:tcPr>
          <w:p w:rsidR="00A1700F" w:rsidRDefault="00A1700F">
            <w:pPr>
              <w:rPr>
                <w:color w:val="000000"/>
                <w:sz w:val="22"/>
                <w:szCs w:val="22"/>
              </w:rPr>
            </w:pPr>
          </w:p>
        </w:tc>
        <w:tc>
          <w:tcPr>
            <w:tcW w:w="781" w:type="pct"/>
            <w:tcBorders>
              <w:top w:val="nil"/>
              <w:left w:val="nil"/>
              <w:bottom w:val="nil"/>
              <w:right w:val="nil"/>
            </w:tcBorders>
            <w:shd w:val="clear" w:color="auto" w:fill="auto"/>
            <w:noWrap/>
            <w:vAlign w:val="bottom"/>
            <w:hideMark/>
          </w:tcPr>
          <w:p w:rsidR="00A1700F" w:rsidRDefault="00A1700F">
            <w:pPr>
              <w:rPr>
                <w:color w:val="000000"/>
                <w:sz w:val="22"/>
                <w:szCs w:val="22"/>
              </w:rPr>
            </w:pP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p>
        </w:tc>
        <w:tc>
          <w:tcPr>
            <w:tcW w:w="786" w:type="pct"/>
            <w:tcBorders>
              <w:top w:val="nil"/>
              <w:left w:val="nil"/>
              <w:bottom w:val="nil"/>
              <w:right w:val="nil"/>
            </w:tcBorders>
            <w:shd w:val="clear" w:color="auto" w:fill="auto"/>
            <w:noWrap/>
            <w:vAlign w:val="bottom"/>
            <w:hideMark/>
          </w:tcPr>
          <w:p w:rsidR="00A1700F" w:rsidRDefault="00A1700F">
            <w:pPr>
              <w:rPr>
                <w:color w:val="000000"/>
                <w:sz w:val="22"/>
                <w:szCs w:val="22"/>
              </w:rPr>
            </w:pPr>
          </w:p>
        </w:tc>
      </w:tr>
      <w:tr w:rsidR="00A1700F" w:rsidTr="00A1700F">
        <w:trPr>
          <w:trHeight w:val="375"/>
        </w:trPr>
        <w:tc>
          <w:tcPr>
            <w:tcW w:w="1870" w:type="pct"/>
            <w:tcBorders>
              <w:top w:val="nil"/>
              <w:left w:val="nil"/>
              <w:bottom w:val="nil"/>
              <w:right w:val="nil"/>
            </w:tcBorders>
            <w:shd w:val="clear" w:color="auto" w:fill="auto"/>
            <w:noWrap/>
            <w:vAlign w:val="center"/>
            <w:hideMark/>
          </w:tcPr>
          <w:p w:rsidR="00A1700F" w:rsidRDefault="00A1700F">
            <w:pPr>
              <w:rPr>
                <w:color w:val="000000"/>
                <w:sz w:val="22"/>
                <w:szCs w:val="22"/>
              </w:rPr>
            </w:pP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Stan na</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Stan na</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Stan na</w:t>
            </w:r>
          </w:p>
        </w:tc>
        <w:tc>
          <w:tcPr>
            <w:tcW w:w="786" w:type="pct"/>
            <w:tcBorders>
              <w:top w:val="nil"/>
              <w:left w:val="nil"/>
              <w:bottom w:val="nil"/>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Stan na</w:t>
            </w:r>
          </w:p>
        </w:tc>
      </w:tr>
      <w:tr w:rsidR="00A1700F" w:rsidTr="00A1700F">
        <w:trPr>
          <w:trHeight w:val="375"/>
        </w:trPr>
        <w:tc>
          <w:tcPr>
            <w:tcW w:w="1870" w:type="pct"/>
            <w:tcBorders>
              <w:top w:val="nil"/>
              <w:left w:val="nil"/>
              <w:bottom w:val="nil"/>
              <w:right w:val="nil"/>
            </w:tcBorders>
            <w:shd w:val="clear" w:color="auto" w:fill="auto"/>
            <w:noWrap/>
            <w:vAlign w:val="center"/>
            <w:hideMark/>
          </w:tcPr>
          <w:p w:rsidR="00A1700F" w:rsidRDefault="00A1700F">
            <w:pPr>
              <w:rPr>
                <w:rFonts w:ascii="Arial" w:hAnsi="Arial" w:cs="Arial"/>
                <w:color w:val="000000"/>
                <w:sz w:val="16"/>
                <w:szCs w:val="16"/>
              </w:rPr>
            </w:pP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30.09.2021</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31.12.2020</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30.09.2021</w:t>
            </w:r>
          </w:p>
        </w:tc>
        <w:tc>
          <w:tcPr>
            <w:tcW w:w="786" w:type="pct"/>
            <w:tcBorders>
              <w:top w:val="nil"/>
              <w:left w:val="nil"/>
              <w:bottom w:val="nil"/>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31.12.2020</w:t>
            </w:r>
          </w:p>
        </w:tc>
      </w:tr>
      <w:tr w:rsidR="00A1700F" w:rsidTr="00A1700F">
        <w:trPr>
          <w:trHeight w:val="375"/>
        </w:trPr>
        <w:tc>
          <w:tcPr>
            <w:tcW w:w="1870" w:type="pct"/>
            <w:tcBorders>
              <w:top w:val="nil"/>
              <w:left w:val="nil"/>
              <w:bottom w:val="nil"/>
              <w:right w:val="nil"/>
            </w:tcBorders>
            <w:shd w:val="clear" w:color="auto" w:fill="auto"/>
            <w:noWrap/>
            <w:vAlign w:val="center"/>
            <w:hideMark/>
          </w:tcPr>
          <w:p w:rsidR="00A1700F" w:rsidRDefault="00A1700F">
            <w:pPr>
              <w:rPr>
                <w:color w:val="000000"/>
                <w:sz w:val="22"/>
                <w:szCs w:val="22"/>
              </w:rPr>
            </w:pPr>
          </w:p>
        </w:tc>
        <w:tc>
          <w:tcPr>
            <w:tcW w:w="781" w:type="pct"/>
            <w:tcBorders>
              <w:top w:val="nil"/>
              <w:left w:val="nil"/>
              <w:bottom w:val="single" w:sz="8" w:space="0" w:color="auto"/>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(niebadane)</w:t>
            </w:r>
          </w:p>
        </w:tc>
        <w:tc>
          <w:tcPr>
            <w:tcW w:w="781" w:type="pct"/>
            <w:tcBorders>
              <w:top w:val="nil"/>
              <w:left w:val="nil"/>
              <w:bottom w:val="single" w:sz="8" w:space="0" w:color="auto"/>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 </w:t>
            </w:r>
          </w:p>
        </w:tc>
        <w:tc>
          <w:tcPr>
            <w:tcW w:w="781" w:type="pct"/>
            <w:tcBorders>
              <w:top w:val="nil"/>
              <w:left w:val="nil"/>
              <w:bottom w:val="single" w:sz="8" w:space="0" w:color="auto"/>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(niebadane)</w:t>
            </w:r>
          </w:p>
        </w:tc>
        <w:tc>
          <w:tcPr>
            <w:tcW w:w="786" w:type="pct"/>
            <w:tcBorders>
              <w:top w:val="nil"/>
              <w:left w:val="nil"/>
              <w:bottom w:val="single" w:sz="8" w:space="0" w:color="auto"/>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 </w:t>
            </w:r>
          </w:p>
        </w:tc>
      </w:tr>
      <w:tr w:rsidR="00A1700F" w:rsidTr="00A1700F">
        <w:trPr>
          <w:trHeight w:val="375"/>
        </w:trPr>
        <w:tc>
          <w:tcPr>
            <w:tcW w:w="1870" w:type="pct"/>
            <w:tcBorders>
              <w:top w:val="single" w:sz="8" w:space="0" w:color="auto"/>
              <w:left w:val="nil"/>
              <w:bottom w:val="nil"/>
              <w:right w:val="nil"/>
            </w:tcBorders>
            <w:shd w:val="clear" w:color="auto" w:fill="auto"/>
            <w:noWrap/>
            <w:vAlign w:val="center"/>
            <w:hideMark/>
          </w:tcPr>
          <w:p w:rsidR="00A1700F" w:rsidRDefault="00A1700F">
            <w:pPr>
              <w:rPr>
                <w:rFonts w:ascii="Arial" w:hAnsi="Arial" w:cs="Arial"/>
                <w:color w:val="000000"/>
                <w:sz w:val="16"/>
                <w:szCs w:val="16"/>
              </w:rPr>
            </w:pPr>
            <w:r>
              <w:rPr>
                <w:rFonts w:ascii="Arial" w:hAnsi="Arial" w:cs="Arial"/>
                <w:color w:val="000000"/>
                <w:sz w:val="16"/>
                <w:szCs w:val="16"/>
              </w:rPr>
              <w:t>Aktywa trwałe</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173 197</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169 037</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37 384</w:t>
            </w:r>
          </w:p>
        </w:tc>
        <w:tc>
          <w:tcPr>
            <w:tcW w:w="786"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37 341</w:t>
            </w:r>
          </w:p>
        </w:tc>
      </w:tr>
      <w:tr w:rsidR="00A1700F" w:rsidTr="00A1700F">
        <w:trPr>
          <w:trHeight w:val="375"/>
        </w:trPr>
        <w:tc>
          <w:tcPr>
            <w:tcW w:w="1870" w:type="pct"/>
            <w:tcBorders>
              <w:top w:val="nil"/>
              <w:left w:val="nil"/>
              <w:bottom w:val="nil"/>
              <w:right w:val="nil"/>
            </w:tcBorders>
            <w:shd w:val="clear" w:color="auto" w:fill="auto"/>
            <w:noWrap/>
            <w:vAlign w:val="center"/>
            <w:hideMark/>
          </w:tcPr>
          <w:p w:rsidR="00A1700F" w:rsidRDefault="00A1700F">
            <w:pPr>
              <w:rPr>
                <w:rFonts w:ascii="Arial" w:hAnsi="Arial" w:cs="Arial"/>
                <w:color w:val="000000"/>
                <w:sz w:val="16"/>
                <w:szCs w:val="16"/>
              </w:rPr>
            </w:pPr>
            <w:r>
              <w:rPr>
                <w:rFonts w:ascii="Arial" w:hAnsi="Arial" w:cs="Arial"/>
                <w:color w:val="000000"/>
                <w:sz w:val="16"/>
                <w:szCs w:val="16"/>
              </w:rPr>
              <w:t>Aktywa obrotowe</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14 754</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2 973</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3 185</w:t>
            </w:r>
          </w:p>
        </w:tc>
        <w:tc>
          <w:tcPr>
            <w:tcW w:w="786"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657</w:t>
            </w:r>
          </w:p>
        </w:tc>
      </w:tr>
      <w:tr w:rsidR="00A1700F" w:rsidTr="00A1700F">
        <w:trPr>
          <w:trHeight w:val="375"/>
        </w:trPr>
        <w:tc>
          <w:tcPr>
            <w:tcW w:w="1870" w:type="pct"/>
            <w:tcBorders>
              <w:top w:val="nil"/>
              <w:left w:val="nil"/>
              <w:bottom w:val="nil"/>
              <w:right w:val="nil"/>
            </w:tcBorders>
            <w:shd w:val="clear" w:color="auto" w:fill="auto"/>
            <w:noWrap/>
            <w:vAlign w:val="center"/>
            <w:hideMark/>
          </w:tcPr>
          <w:p w:rsidR="00A1700F" w:rsidRDefault="00A1700F">
            <w:pPr>
              <w:rPr>
                <w:rFonts w:ascii="Arial" w:hAnsi="Arial" w:cs="Arial"/>
                <w:color w:val="000000"/>
                <w:sz w:val="16"/>
                <w:szCs w:val="16"/>
              </w:rPr>
            </w:pPr>
            <w:r>
              <w:rPr>
                <w:rFonts w:ascii="Arial" w:hAnsi="Arial" w:cs="Arial"/>
                <w:color w:val="000000"/>
                <w:sz w:val="16"/>
                <w:szCs w:val="16"/>
              </w:rPr>
              <w:t>Aktywa razem</w:t>
            </w:r>
          </w:p>
        </w:tc>
        <w:tc>
          <w:tcPr>
            <w:tcW w:w="781" w:type="pct"/>
            <w:tcBorders>
              <w:top w:val="nil"/>
              <w:left w:val="nil"/>
              <w:bottom w:val="nil"/>
              <w:right w:val="nil"/>
            </w:tcBorders>
            <w:shd w:val="clear" w:color="auto" w:fill="auto"/>
            <w:noWrap/>
            <w:vAlign w:val="center"/>
            <w:hideMark/>
          </w:tcPr>
          <w:p w:rsidR="00A1700F" w:rsidRDefault="00A1700F" w:rsidP="00C729AD">
            <w:pPr>
              <w:jc w:val="right"/>
              <w:rPr>
                <w:rFonts w:ascii="Arial" w:hAnsi="Arial" w:cs="Arial"/>
                <w:color w:val="000000"/>
                <w:sz w:val="16"/>
                <w:szCs w:val="16"/>
              </w:rPr>
            </w:pPr>
            <w:r>
              <w:rPr>
                <w:rFonts w:ascii="Arial" w:hAnsi="Arial" w:cs="Arial"/>
                <w:color w:val="000000"/>
                <w:sz w:val="16"/>
                <w:szCs w:val="16"/>
              </w:rPr>
              <w:t>190 19</w:t>
            </w:r>
            <w:r w:rsidR="00C729AD">
              <w:rPr>
                <w:rFonts w:ascii="Arial" w:hAnsi="Arial" w:cs="Arial"/>
                <w:color w:val="000000"/>
                <w:sz w:val="16"/>
                <w:szCs w:val="16"/>
              </w:rPr>
              <w:t>6</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172 010</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41 053</w:t>
            </w:r>
          </w:p>
        </w:tc>
        <w:tc>
          <w:tcPr>
            <w:tcW w:w="786"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37 998</w:t>
            </w:r>
          </w:p>
        </w:tc>
      </w:tr>
      <w:tr w:rsidR="00A1700F" w:rsidTr="00A1700F">
        <w:trPr>
          <w:trHeight w:val="375"/>
        </w:trPr>
        <w:tc>
          <w:tcPr>
            <w:tcW w:w="1870" w:type="pct"/>
            <w:tcBorders>
              <w:top w:val="nil"/>
              <w:left w:val="nil"/>
              <w:bottom w:val="nil"/>
              <w:right w:val="nil"/>
            </w:tcBorders>
            <w:shd w:val="clear" w:color="auto" w:fill="auto"/>
            <w:noWrap/>
            <w:vAlign w:val="center"/>
            <w:hideMark/>
          </w:tcPr>
          <w:p w:rsidR="00A1700F" w:rsidRDefault="00A1700F">
            <w:pPr>
              <w:rPr>
                <w:rFonts w:ascii="Arial" w:hAnsi="Arial" w:cs="Arial"/>
                <w:color w:val="000000"/>
                <w:sz w:val="16"/>
                <w:szCs w:val="16"/>
              </w:rPr>
            </w:pPr>
            <w:r>
              <w:rPr>
                <w:rFonts w:ascii="Arial" w:hAnsi="Arial" w:cs="Arial"/>
                <w:color w:val="000000"/>
                <w:sz w:val="16"/>
                <w:szCs w:val="16"/>
              </w:rPr>
              <w:t>Zobowiązania długoterminowe</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44 304</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29 994</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9 563</w:t>
            </w:r>
          </w:p>
        </w:tc>
        <w:tc>
          <w:tcPr>
            <w:tcW w:w="786"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6 626</w:t>
            </w:r>
          </w:p>
        </w:tc>
      </w:tr>
      <w:tr w:rsidR="00A1700F" w:rsidTr="00A1700F">
        <w:trPr>
          <w:trHeight w:val="375"/>
        </w:trPr>
        <w:tc>
          <w:tcPr>
            <w:tcW w:w="1870" w:type="pct"/>
            <w:tcBorders>
              <w:top w:val="nil"/>
              <w:left w:val="nil"/>
              <w:bottom w:val="nil"/>
              <w:right w:val="nil"/>
            </w:tcBorders>
            <w:shd w:val="clear" w:color="auto" w:fill="auto"/>
            <w:noWrap/>
            <w:vAlign w:val="center"/>
            <w:hideMark/>
          </w:tcPr>
          <w:p w:rsidR="00A1700F" w:rsidRDefault="00A1700F">
            <w:pPr>
              <w:rPr>
                <w:rFonts w:ascii="Arial" w:hAnsi="Arial" w:cs="Arial"/>
                <w:color w:val="000000"/>
                <w:sz w:val="16"/>
                <w:szCs w:val="16"/>
              </w:rPr>
            </w:pPr>
            <w:r>
              <w:rPr>
                <w:rFonts w:ascii="Arial" w:hAnsi="Arial" w:cs="Arial"/>
                <w:color w:val="000000"/>
                <w:sz w:val="16"/>
                <w:szCs w:val="16"/>
              </w:rPr>
              <w:t>Zobowiązania krótkoterminowe</w:t>
            </w:r>
          </w:p>
        </w:tc>
        <w:tc>
          <w:tcPr>
            <w:tcW w:w="781" w:type="pct"/>
            <w:tcBorders>
              <w:top w:val="nil"/>
              <w:left w:val="nil"/>
              <w:bottom w:val="nil"/>
              <w:right w:val="nil"/>
            </w:tcBorders>
            <w:shd w:val="clear" w:color="auto" w:fill="auto"/>
            <w:noWrap/>
            <w:vAlign w:val="center"/>
            <w:hideMark/>
          </w:tcPr>
          <w:p w:rsidR="00A1700F" w:rsidRDefault="00A1700F" w:rsidP="00C729AD">
            <w:pPr>
              <w:jc w:val="right"/>
              <w:rPr>
                <w:rFonts w:ascii="Arial" w:hAnsi="Arial" w:cs="Arial"/>
                <w:color w:val="000000"/>
                <w:sz w:val="16"/>
                <w:szCs w:val="16"/>
              </w:rPr>
            </w:pPr>
            <w:r>
              <w:rPr>
                <w:rFonts w:ascii="Arial" w:hAnsi="Arial" w:cs="Arial"/>
                <w:color w:val="000000"/>
                <w:sz w:val="16"/>
                <w:szCs w:val="16"/>
              </w:rPr>
              <w:t>19 46</w:t>
            </w:r>
            <w:r w:rsidR="00C729AD">
              <w:rPr>
                <w:rFonts w:ascii="Arial" w:hAnsi="Arial" w:cs="Arial"/>
                <w:color w:val="000000"/>
                <w:sz w:val="16"/>
                <w:szCs w:val="16"/>
              </w:rPr>
              <w:t>6</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19 381</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4 202</w:t>
            </w:r>
          </w:p>
        </w:tc>
        <w:tc>
          <w:tcPr>
            <w:tcW w:w="786"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4 281</w:t>
            </w:r>
          </w:p>
        </w:tc>
      </w:tr>
      <w:tr w:rsidR="00A1700F" w:rsidTr="00A1700F">
        <w:trPr>
          <w:trHeight w:val="375"/>
        </w:trPr>
        <w:tc>
          <w:tcPr>
            <w:tcW w:w="1870" w:type="pct"/>
            <w:tcBorders>
              <w:top w:val="nil"/>
              <w:left w:val="nil"/>
              <w:bottom w:val="nil"/>
              <w:right w:val="nil"/>
            </w:tcBorders>
            <w:shd w:val="clear" w:color="auto" w:fill="auto"/>
            <w:noWrap/>
            <w:vAlign w:val="center"/>
            <w:hideMark/>
          </w:tcPr>
          <w:p w:rsidR="00A1700F" w:rsidRDefault="00A1700F">
            <w:pPr>
              <w:rPr>
                <w:rFonts w:ascii="Arial" w:hAnsi="Arial" w:cs="Arial"/>
                <w:color w:val="000000"/>
                <w:sz w:val="16"/>
                <w:szCs w:val="16"/>
              </w:rPr>
            </w:pPr>
            <w:r>
              <w:rPr>
                <w:rFonts w:ascii="Arial" w:hAnsi="Arial" w:cs="Arial"/>
                <w:color w:val="000000"/>
                <w:sz w:val="16"/>
                <w:szCs w:val="16"/>
              </w:rPr>
              <w:t>Kapitał własny</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126 216</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122 635</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27 244</w:t>
            </w:r>
          </w:p>
        </w:tc>
        <w:tc>
          <w:tcPr>
            <w:tcW w:w="786"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27 091</w:t>
            </w:r>
          </w:p>
        </w:tc>
      </w:tr>
    </w:tbl>
    <w:p w:rsidR="003B146C" w:rsidRDefault="003B146C" w:rsidP="008866A0">
      <w:pPr>
        <w:tabs>
          <w:tab w:val="left" w:pos="540"/>
        </w:tabs>
        <w:rPr>
          <w:rFonts w:ascii="Arial" w:hAnsi="Arial" w:cs="Arial"/>
          <w:sz w:val="18"/>
          <w:szCs w:val="18"/>
        </w:rPr>
      </w:pPr>
    </w:p>
    <w:p w:rsidR="003B146C" w:rsidRDefault="003B146C" w:rsidP="008866A0">
      <w:pPr>
        <w:tabs>
          <w:tab w:val="left" w:pos="540"/>
        </w:tabs>
        <w:rPr>
          <w:rFonts w:ascii="Arial" w:hAnsi="Arial" w:cs="Arial"/>
          <w:sz w:val="18"/>
          <w:szCs w:val="18"/>
        </w:rPr>
      </w:pPr>
    </w:p>
    <w:p w:rsidR="003B146C" w:rsidRPr="00F31D8E" w:rsidRDefault="003B146C" w:rsidP="008866A0">
      <w:pPr>
        <w:tabs>
          <w:tab w:val="left" w:pos="540"/>
        </w:tabs>
        <w:rPr>
          <w:rFonts w:ascii="Arial" w:hAnsi="Arial" w:cs="Arial"/>
          <w:sz w:val="18"/>
          <w:szCs w:val="18"/>
        </w:rPr>
      </w:pPr>
    </w:p>
    <w:p w:rsidR="008866A0" w:rsidRPr="000C77EE" w:rsidRDefault="008866A0" w:rsidP="008866A0">
      <w:pPr>
        <w:tabs>
          <w:tab w:val="left" w:pos="540"/>
        </w:tabs>
        <w:ind w:left="-142" w:firstLine="142"/>
        <w:rPr>
          <w:rFonts w:ascii="Arial" w:hAnsi="Arial" w:cs="Arial"/>
          <w:b/>
          <w:sz w:val="18"/>
          <w:szCs w:val="18"/>
        </w:rPr>
      </w:pPr>
    </w:p>
    <w:p w:rsidR="008866A0" w:rsidRPr="00F451D4" w:rsidRDefault="008866A0" w:rsidP="008866A0">
      <w:pPr>
        <w:tabs>
          <w:tab w:val="left" w:pos="540"/>
        </w:tabs>
        <w:rPr>
          <w:rFonts w:ascii="Arial" w:hAnsi="Arial" w:cs="Arial"/>
          <w:b/>
          <w:sz w:val="18"/>
          <w:szCs w:val="18"/>
          <w:highlight w:val="yellow"/>
        </w:rPr>
      </w:pPr>
    </w:p>
    <w:p w:rsidR="008866A0" w:rsidRPr="00F451D4" w:rsidRDefault="008866A0" w:rsidP="008866A0">
      <w:pPr>
        <w:tabs>
          <w:tab w:val="left" w:pos="540"/>
        </w:tabs>
        <w:rPr>
          <w:rFonts w:ascii="Arial" w:hAnsi="Arial" w:cs="Arial"/>
          <w:b/>
          <w:sz w:val="18"/>
          <w:szCs w:val="18"/>
          <w:highlight w:val="yellow"/>
        </w:rPr>
      </w:pPr>
    </w:p>
    <w:p w:rsidR="008866A0" w:rsidRPr="00F451D4" w:rsidRDefault="008866A0" w:rsidP="008866A0">
      <w:pPr>
        <w:tabs>
          <w:tab w:val="left" w:pos="540"/>
        </w:tabs>
        <w:rPr>
          <w:rFonts w:ascii="Arial" w:hAnsi="Arial" w:cs="Arial"/>
          <w:b/>
          <w:sz w:val="18"/>
          <w:szCs w:val="18"/>
          <w:highlight w:val="yellow"/>
        </w:rPr>
      </w:pPr>
    </w:p>
    <w:p w:rsidR="008866A0" w:rsidRPr="00F451D4" w:rsidRDefault="008866A0" w:rsidP="00A1700F">
      <w:pPr>
        <w:tabs>
          <w:tab w:val="left" w:pos="540"/>
        </w:tabs>
        <w:jc w:val="center"/>
        <w:rPr>
          <w:rFonts w:ascii="Arial" w:hAnsi="Arial" w:cs="Arial"/>
          <w:sz w:val="18"/>
          <w:szCs w:val="18"/>
          <w:highlight w:val="yellow"/>
        </w:rPr>
      </w:pPr>
      <w:r w:rsidRPr="00F451D4">
        <w:rPr>
          <w:rFonts w:ascii="Arial" w:hAnsi="Arial" w:cs="Arial"/>
          <w:color w:val="FF0000"/>
          <w:sz w:val="18"/>
          <w:szCs w:val="18"/>
          <w:highlight w:val="yellow"/>
        </w:rPr>
        <w:br w:type="page"/>
      </w:r>
    </w:p>
    <w:p w:rsidR="008866A0" w:rsidRPr="00D80B55" w:rsidRDefault="008866A0" w:rsidP="008866A0">
      <w:pPr>
        <w:tabs>
          <w:tab w:val="left" w:pos="540"/>
        </w:tabs>
        <w:rPr>
          <w:rFonts w:ascii="Arial" w:hAnsi="Arial" w:cs="Arial"/>
          <w:b/>
        </w:rPr>
      </w:pPr>
      <w:r w:rsidRPr="00D80B55">
        <w:rPr>
          <w:rFonts w:ascii="Arial" w:hAnsi="Arial" w:cs="Arial"/>
          <w:b/>
        </w:rPr>
        <w:lastRenderedPageBreak/>
        <w:t>Śródroczne skrócone sprawozdanie z sytuacji finansowej</w:t>
      </w:r>
    </w:p>
    <w:p w:rsidR="008866A0" w:rsidRPr="00F451D4" w:rsidRDefault="008866A0" w:rsidP="008866A0">
      <w:pPr>
        <w:tabs>
          <w:tab w:val="left" w:pos="540"/>
        </w:tabs>
        <w:jc w:val="center"/>
        <w:rPr>
          <w:rFonts w:ascii="Arial" w:hAnsi="Arial" w:cs="Arial"/>
          <w:sz w:val="18"/>
          <w:szCs w:val="18"/>
          <w:highlight w:val="yellow"/>
        </w:rPr>
      </w:pPr>
    </w:p>
    <w:p w:rsidR="008866A0" w:rsidRDefault="008866A0" w:rsidP="008866A0">
      <w:pPr>
        <w:tabs>
          <w:tab w:val="left" w:pos="540"/>
        </w:tabs>
        <w:rPr>
          <w:rFonts w:ascii="Arial" w:hAnsi="Arial" w:cs="Arial"/>
          <w:sz w:val="18"/>
          <w:szCs w:val="18"/>
          <w:highlight w:val="yellow"/>
        </w:rPr>
      </w:pPr>
    </w:p>
    <w:tbl>
      <w:tblPr>
        <w:tblW w:w="5000" w:type="pct"/>
        <w:tblCellMar>
          <w:left w:w="70" w:type="dxa"/>
          <w:right w:w="70" w:type="dxa"/>
        </w:tblCellMar>
        <w:tblLook w:val="04A0" w:firstRow="1" w:lastRow="0" w:firstColumn="1" w:lastColumn="0" w:noHBand="0" w:noVBand="1"/>
      </w:tblPr>
      <w:tblGrid>
        <w:gridCol w:w="5156"/>
        <w:gridCol w:w="2028"/>
        <w:gridCol w:w="2026"/>
      </w:tblGrid>
      <w:tr w:rsidR="00A1700F" w:rsidTr="00A1700F">
        <w:trPr>
          <w:trHeight w:val="283"/>
        </w:trPr>
        <w:tc>
          <w:tcPr>
            <w:tcW w:w="2799" w:type="pct"/>
            <w:tcBorders>
              <w:top w:val="nil"/>
              <w:left w:val="nil"/>
              <w:bottom w:val="nil"/>
              <w:right w:val="nil"/>
            </w:tcBorders>
            <w:shd w:val="clear" w:color="auto" w:fill="auto"/>
            <w:noWrap/>
            <w:vAlign w:val="bottom"/>
            <w:hideMark/>
          </w:tcPr>
          <w:p w:rsidR="00A1700F" w:rsidRDefault="00A1700F">
            <w:pPr>
              <w:rPr>
                <w:color w:val="000000"/>
                <w:sz w:val="22"/>
                <w:szCs w:val="22"/>
              </w:rPr>
            </w:pPr>
          </w:p>
        </w:tc>
        <w:tc>
          <w:tcPr>
            <w:tcW w:w="1101" w:type="pct"/>
            <w:tcBorders>
              <w:top w:val="nil"/>
              <w:left w:val="nil"/>
              <w:bottom w:val="nil"/>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Stan na</w:t>
            </w:r>
          </w:p>
        </w:tc>
        <w:tc>
          <w:tcPr>
            <w:tcW w:w="1100" w:type="pct"/>
            <w:tcBorders>
              <w:top w:val="nil"/>
              <w:left w:val="nil"/>
              <w:bottom w:val="nil"/>
              <w:right w:val="nil"/>
            </w:tcBorders>
            <w:shd w:val="clear" w:color="000000" w:fill="FFFFFF"/>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Stan na</w:t>
            </w:r>
          </w:p>
        </w:tc>
      </w:tr>
      <w:tr w:rsidR="00A1700F" w:rsidTr="00A1700F">
        <w:trPr>
          <w:trHeight w:val="283"/>
        </w:trPr>
        <w:tc>
          <w:tcPr>
            <w:tcW w:w="2799" w:type="pct"/>
            <w:tcBorders>
              <w:top w:val="nil"/>
              <w:left w:val="nil"/>
              <w:bottom w:val="nil"/>
              <w:right w:val="nil"/>
            </w:tcBorders>
            <w:shd w:val="clear" w:color="auto" w:fill="auto"/>
            <w:noWrap/>
            <w:vAlign w:val="bottom"/>
            <w:hideMark/>
          </w:tcPr>
          <w:p w:rsidR="00A1700F" w:rsidRDefault="00A1700F">
            <w:pPr>
              <w:rPr>
                <w:color w:val="000000"/>
                <w:sz w:val="22"/>
                <w:szCs w:val="22"/>
              </w:rPr>
            </w:pPr>
          </w:p>
        </w:tc>
        <w:tc>
          <w:tcPr>
            <w:tcW w:w="1101" w:type="pct"/>
            <w:tcBorders>
              <w:top w:val="nil"/>
              <w:left w:val="nil"/>
              <w:bottom w:val="nil"/>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30.09.2021</w:t>
            </w:r>
          </w:p>
        </w:tc>
        <w:tc>
          <w:tcPr>
            <w:tcW w:w="1100" w:type="pct"/>
            <w:tcBorders>
              <w:top w:val="nil"/>
              <w:left w:val="nil"/>
              <w:bottom w:val="nil"/>
              <w:right w:val="nil"/>
            </w:tcBorders>
            <w:shd w:val="clear" w:color="000000" w:fill="FFFFFF"/>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31.12.2020</w:t>
            </w:r>
          </w:p>
        </w:tc>
      </w:tr>
      <w:tr w:rsidR="00A1700F" w:rsidTr="00A1700F">
        <w:trPr>
          <w:trHeight w:val="283"/>
        </w:trPr>
        <w:tc>
          <w:tcPr>
            <w:tcW w:w="2799" w:type="pct"/>
            <w:tcBorders>
              <w:top w:val="nil"/>
              <w:left w:val="nil"/>
              <w:bottom w:val="nil"/>
              <w:right w:val="nil"/>
            </w:tcBorders>
            <w:shd w:val="clear" w:color="auto" w:fill="auto"/>
            <w:noWrap/>
            <w:vAlign w:val="bottom"/>
            <w:hideMark/>
          </w:tcPr>
          <w:p w:rsidR="00A1700F" w:rsidRDefault="00A1700F">
            <w:pPr>
              <w:rPr>
                <w:color w:val="000000"/>
                <w:sz w:val="22"/>
                <w:szCs w:val="22"/>
              </w:rPr>
            </w:pPr>
          </w:p>
        </w:tc>
        <w:tc>
          <w:tcPr>
            <w:tcW w:w="1101" w:type="pct"/>
            <w:tcBorders>
              <w:top w:val="nil"/>
              <w:left w:val="nil"/>
              <w:bottom w:val="single" w:sz="8" w:space="0" w:color="auto"/>
              <w:right w:val="nil"/>
            </w:tcBorders>
            <w:shd w:val="clear" w:color="000000" w:fill="FFFFFF"/>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(niebadane)</w:t>
            </w:r>
          </w:p>
        </w:tc>
        <w:tc>
          <w:tcPr>
            <w:tcW w:w="1100" w:type="pct"/>
            <w:tcBorders>
              <w:top w:val="nil"/>
              <w:left w:val="nil"/>
              <w:bottom w:val="single" w:sz="8" w:space="0" w:color="auto"/>
              <w:right w:val="nil"/>
            </w:tcBorders>
            <w:shd w:val="clear" w:color="000000" w:fill="FFFFFF"/>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(niebadane)</w:t>
            </w:r>
          </w:p>
        </w:tc>
      </w:tr>
      <w:tr w:rsidR="00A1700F" w:rsidTr="00A1700F">
        <w:trPr>
          <w:trHeight w:val="283"/>
        </w:trPr>
        <w:tc>
          <w:tcPr>
            <w:tcW w:w="2799" w:type="pct"/>
            <w:tcBorders>
              <w:top w:val="nil"/>
              <w:left w:val="nil"/>
              <w:bottom w:val="nil"/>
              <w:right w:val="nil"/>
            </w:tcBorders>
            <w:shd w:val="clear" w:color="auto" w:fill="auto"/>
            <w:vAlign w:val="center"/>
            <w:hideMark/>
          </w:tcPr>
          <w:p w:rsidR="00A1700F" w:rsidRDefault="00A1700F">
            <w:pPr>
              <w:rPr>
                <w:rFonts w:ascii="Arial" w:hAnsi="Arial" w:cs="Arial"/>
                <w:b/>
                <w:bCs/>
                <w:color w:val="000000"/>
                <w:sz w:val="16"/>
                <w:szCs w:val="16"/>
              </w:rPr>
            </w:pPr>
            <w:r>
              <w:rPr>
                <w:rFonts w:ascii="Arial" w:hAnsi="Arial" w:cs="Arial"/>
                <w:b/>
                <w:bCs/>
                <w:color w:val="000000"/>
                <w:sz w:val="16"/>
                <w:szCs w:val="16"/>
              </w:rPr>
              <w:t>Aktywa</w:t>
            </w:r>
          </w:p>
        </w:tc>
        <w:tc>
          <w:tcPr>
            <w:tcW w:w="1101" w:type="pct"/>
            <w:tcBorders>
              <w:top w:val="nil"/>
              <w:left w:val="nil"/>
              <w:bottom w:val="nil"/>
              <w:right w:val="nil"/>
            </w:tcBorders>
            <w:shd w:val="clear" w:color="000000" w:fill="FFFFFF"/>
            <w:noWrap/>
            <w:vAlign w:val="center"/>
            <w:hideMark/>
          </w:tcPr>
          <w:p w:rsidR="00A1700F" w:rsidRDefault="00A1700F">
            <w:pPr>
              <w:jc w:val="center"/>
              <w:rPr>
                <w:rFonts w:ascii="Arial" w:hAnsi="Arial" w:cs="Arial"/>
                <w:color w:val="000000"/>
                <w:sz w:val="16"/>
                <w:szCs w:val="16"/>
              </w:rPr>
            </w:pPr>
            <w:r>
              <w:rPr>
                <w:rFonts w:ascii="Arial" w:hAnsi="Arial" w:cs="Arial"/>
                <w:color w:val="000000"/>
                <w:sz w:val="16"/>
                <w:szCs w:val="16"/>
              </w:rPr>
              <w:t> </w:t>
            </w:r>
          </w:p>
        </w:tc>
        <w:tc>
          <w:tcPr>
            <w:tcW w:w="1100" w:type="pct"/>
            <w:tcBorders>
              <w:top w:val="nil"/>
              <w:left w:val="nil"/>
              <w:bottom w:val="nil"/>
              <w:right w:val="nil"/>
            </w:tcBorders>
            <w:shd w:val="clear" w:color="000000" w:fill="FFFFFF"/>
            <w:noWrap/>
            <w:vAlign w:val="center"/>
            <w:hideMark/>
          </w:tcPr>
          <w:p w:rsidR="00A1700F" w:rsidRDefault="00A1700F">
            <w:pPr>
              <w:jc w:val="center"/>
              <w:rPr>
                <w:rFonts w:ascii="Arial" w:hAnsi="Arial" w:cs="Arial"/>
                <w:color w:val="000000"/>
                <w:sz w:val="16"/>
                <w:szCs w:val="16"/>
              </w:rPr>
            </w:pPr>
            <w:r>
              <w:rPr>
                <w:rFonts w:ascii="Arial" w:hAnsi="Arial" w:cs="Arial"/>
                <w:color w:val="000000"/>
                <w:sz w:val="16"/>
                <w:szCs w:val="16"/>
              </w:rPr>
              <w:t> </w:t>
            </w:r>
          </w:p>
        </w:tc>
      </w:tr>
      <w:tr w:rsidR="00A1700F" w:rsidTr="00A1700F">
        <w:trPr>
          <w:trHeight w:val="283"/>
        </w:trPr>
        <w:tc>
          <w:tcPr>
            <w:tcW w:w="2799" w:type="pct"/>
            <w:tcBorders>
              <w:top w:val="nil"/>
              <w:left w:val="nil"/>
              <w:bottom w:val="nil"/>
              <w:right w:val="nil"/>
            </w:tcBorders>
            <w:shd w:val="clear" w:color="auto" w:fill="auto"/>
            <w:vAlign w:val="center"/>
            <w:hideMark/>
          </w:tcPr>
          <w:p w:rsidR="00A1700F" w:rsidRDefault="00A1700F">
            <w:pPr>
              <w:rPr>
                <w:rFonts w:ascii="Arial" w:hAnsi="Arial" w:cs="Arial"/>
                <w:b/>
                <w:bCs/>
                <w:color w:val="000000"/>
                <w:sz w:val="16"/>
                <w:szCs w:val="16"/>
              </w:rPr>
            </w:pPr>
            <w:r>
              <w:rPr>
                <w:rFonts w:ascii="Arial" w:hAnsi="Arial" w:cs="Arial"/>
                <w:b/>
                <w:bCs/>
                <w:color w:val="000000"/>
                <w:sz w:val="16"/>
                <w:szCs w:val="16"/>
              </w:rPr>
              <w:t>Aktywa trwałe</w:t>
            </w:r>
          </w:p>
        </w:tc>
        <w:tc>
          <w:tcPr>
            <w:tcW w:w="1101" w:type="pct"/>
            <w:tcBorders>
              <w:top w:val="nil"/>
              <w:left w:val="nil"/>
              <w:bottom w:val="nil"/>
              <w:right w:val="nil"/>
            </w:tcBorders>
            <w:shd w:val="clear" w:color="000000" w:fill="FFFFFF"/>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173 197</w:t>
            </w:r>
          </w:p>
        </w:tc>
        <w:tc>
          <w:tcPr>
            <w:tcW w:w="1100" w:type="pct"/>
            <w:tcBorders>
              <w:top w:val="nil"/>
              <w:left w:val="nil"/>
              <w:bottom w:val="nil"/>
              <w:right w:val="nil"/>
            </w:tcBorders>
            <w:shd w:val="clear" w:color="000000" w:fill="FFFFFF"/>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169 037</w:t>
            </w:r>
          </w:p>
        </w:tc>
      </w:tr>
      <w:tr w:rsidR="00A1700F" w:rsidTr="00A1700F">
        <w:trPr>
          <w:trHeight w:val="283"/>
        </w:trPr>
        <w:tc>
          <w:tcPr>
            <w:tcW w:w="2799"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Rzeczowe aktywa trwałe</w:t>
            </w:r>
          </w:p>
        </w:tc>
        <w:tc>
          <w:tcPr>
            <w:tcW w:w="1101" w:type="pct"/>
            <w:tcBorders>
              <w:top w:val="nil"/>
              <w:left w:val="nil"/>
              <w:bottom w:val="nil"/>
              <w:right w:val="nil"/>
            </w:tcBorders>
            <w:shd w:val="clear" w:color="000000" w:fill="FFFFFF"/>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150 490</w:t>
            </w:r>
          </w:p>
        </w:tc>
        <w:tc>
          <w:tcPr>
            <w:tcW w:w="1100" w:type="pct"/>
            <w:tcBorders>
              <w:top w:val="nil"/>
              <w:left w:val="nil"/>
              <w:bottom w:val="nil"/>
              <w:right w:val="nil"/>
            </w:tcBorders>
            <w:shd w:val="clear" w:color="000000" w:fill="FFFFFF"/>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146 537</w:t>
            </w:r>
          </w:p>
        </w:tc>
      </w:tr>
      <w:tr w:rsidR="00A1700F" w:rsidTr="00A1700F">
        <w:trPr>
          <w:trHeight w:val="283"/>
        </w:trPr>
        <w:tc>
          <w:tcPr>
            <w:tcW w:w="2799"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Wartości niematerialne</w:t>
            </w:r>
          </w:p>
        </w:tc>
        <w:tc>
          <w:tcPr>
            <w:tcW w:w="1101" w:type="pct"/>
            <w:tcBorders>
              <w:top w:val="nil"/>
              <w:left w:val="nil"/>
              <w:bottom w:val="nil"/>
              <w:right w:val="nil"/>
            </w:tcBorders>
            <w:shd w:val="clear" w:color="000000" w:fill="FFFFFF"/>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27</w:t>
            </w:r>
          </w:p>
        </w:tc>
        <w:tc>
          <w:tcPr>
            <w:tcW w:w="1100" w:type="pct"/>
            <w:tcBorders>
              <w:top w:val="nil"/>
              <w:left w:val="nil"/>
              <w:bottom w:val="nil"/>
              <w:right w:val="nil"/>
            </w:tcBorders>
            <w:shd w:val="clear" w:color="000000" w:fill="FFFFFF"/>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39</w:t>
            </w:r>
          </w:p>
        </w:tc>
      </w:tr>
      <w:tr w:rsidR="00A1700F" w:rsidTr="00A1700F">
        <w:trPr>
          <w:trHeight w:val="283"/>
        </w:trPr>
        <w:tc>
          <w:tcPr>
            <w:tcW w:w="2799"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 xml:space="preserve">Inwestycje w jednostkach stowarzyszonych </w:t>
            </w:r>
          </w:p>
        </w:tc>
        <w:tc>
          <w:tcPr>
            <w:tcW w:w="1101" w:type="pct"/>
            <w:tcBorders>
              <w:top w:val="nil"/>
              <w:left w:val="nil"/>
              <w:bottom w:val="nil"/>
              <w:right w:val="nil"/>
            </w:tcBorders>
            <w:shd w:val="clear" w:color="000000" w:fill="FFFFFF"/>
            <w:noWrap/>
            <w:vAlign w:val="center"/>
            <w:hideMark/>
          </w:tcPr>
          <w:p w:rsidR="00A1700F" w:rsidRDefault="00A1700F" w:rsidP="00C729AD">
            <w:pPr>
              <w:jc w:val="right"/>
              <w:rPr>
                <w:rFonts w:ascii="Arial" w:hAnsi="Arial" w:cs="Arial"/>
                <w:color w:val="000000"/>
                <w:sz w:val="16"/>
                <w:szCs w:val="16"/>
              </w:rPr>
            </w:pPr>
            <w:r>
              <w:rPr>
                <w:rFonts w:ascii="Arial" w:hAnsi="Arial" w:cs="Arial"/>
                <w:color w:val="000000"/>
                <w:sz w:val="16"/>
                <w:szCs w:val="16"/>
              </w:rPr>
              <w:t>22 10</w:t>
            </w:r>
            <w:r w:rsidR="00C729AD">
              <w:rPr>
                <w:rFonts w:ascii="Arial" w:hAnsi="Arial" w:cs="Arial"/>
                <w:color w:val="000000"/>
                <w:sz w:val="16"/>
                <w:szCs w:val="16"/>
              </w:rPr>
              <w:t>4</w:t>
            </w:r>
          </w:p>
        </w:tc>
        <w:tc>
          <w:tcPr>
            <w:tcW w:w="1100" w:type="pct"/>
            <w:tcBorders>
              <w:top w:val="nil"/>
              <w:left w:val="nil"/>
              <w:bottom w:val="nil"/>
              <w:right w:val="nil"/>
            </w:tcBorders>
            <w:shd w:val="clear" w:color="000000" w:fill="FFFFFF"/>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21 855</w:t>
            </w:r>
          </w:p>
        </w:tc>
      </w:tr>
      <w:tr w:rsidR="00A1700F" w:rsidTr="00A1700F">
        <w:trPr>
          <w:trHeight w:val="283"/>
        </w:trPr>
        <w:tc>
          <w:tcPr>
            <w:tcW w:w="2799"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Aktywa finansowe wyceniane w wartości godziwej przez pozostałe całkowite dochody za wyjątkiem instrumentów pochodnych</w:t>
            </w:r>
          </w:p>
        </w:tc>
        <w:tc>
          <w:tcPr>
            <w:tcW w:w="1101" w:type="pct"/>
            <w:tcBorders>
              <w:top w:val="nil"/>
              <w:left w:val="nil"/>
              <w:bottom w:val="nil"/>
              <w:right w:val="nil"/>
            </w:tcBorders>
            <w:shd w:val="clear" w:color="000000" w:fill="FFFFFF"/>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387</w:t>
            </w:r>
          </w:p>
        </w:tc>
        <w:tc>
          <w:tcPr>
            <w:tcW w:w="1100" w:type="pct"/>
            <w:tcBorders>
              <w:top w:val="nil"/>
              <w:left w:val="nil"/>
              <w:bottom w:val="nil"/>
              <w:right w:val="nil"/>
            </w:tcBorders>
            <w:shd w:val="clear" w:color="000000" w:fill="FFFFFF"/>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387</w:t>
            </w:r>
          </w:p>
        </w:tc>
      </w:tr>
      <w:tr w:rsidR="00A1700F" w:rsidTr="00A1700F">
        <w:trPr>
          <w:trHeight w:val="283"/>
        </w:trPr>
        <w:tc>
          <w:tcPr>
            <w:tcW w:w="2799"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 xml:space="preserve">Pozostałe aktywa </w:t>
            </w:r>
          </w:p>
        </w:tc>
        <w:tc>
          <w:tcPr>
            <w:tcW w:w="1101" w:type="pct"/>
            <w:tcBorders>
              <w:top w:val="nil"/>
              <w:left w:val="nil"/>
              <w:bottom w:val="nil"/>
              <w:right w:val="nil"/>
            </w:tcBorders>
            <w:shd w:val="clear" w:color="000000" w:fill="FFFFFF"/>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189</w:t>
            </w:r>
          </w:p>
        </w:tc>
        <w:tc>
          <w:tcPr>
            <w:tcW w:w="1100" w:type="pct"/>
            <w:tcBorders>
              <w:top w:val="nil"/>
              <w:left w:val="nil"/>
              <w:bottom w:val="nil"/>
              <w:right w:val="nil"/>
            </w:tcBorders>
            <w:shd w:val="clear" w:color="000000" w:fill="FFFFFF"/>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219</w:t>
            </w:r>
          </w:p>
        </w:tc>
      </w:tr>
      <w:tr w:rsidR="00A1700F" w:rsidTr="00A1700F">
        <w:trPr>
          <w:trHeight w:val="283"/>
        </w:trPr>
        <w:tc>
          <w:tcPr>
            <w:tcW w:w="2799" w:type="pct"/>
            <w:tcBorders>
              <w:top w:val="nil"/>
              <w:left w:val="nil"/>
              <w:bottom w:val="nil"/>
              <w:right w:val="nil"/>
            </w:tcBorders>
            <w:shd w:val="clear" w:color="auto" w:fill="auto"/>
            <w:vAlign w:val="center"/>
            <w:hideMark/>
          </w:tcPr>
          <w:p w:rsidR="00A1700F" w:rsidRDefault="00A1700F">
            <w:pPr>
              <w:rPr>
                <w:rFonts w:ascii="Arial" w:hAnsi="Arial" w:cs="Arial"/>
                <w:b/>
                <w:bCs/>
                <w:color w:val="000000"/>
                <w:sz w:val="16"/>
                <w:szCs w:val="16"/>
              </w:rPr>
            </w:pPr>
            <w:r>
              <w:rPr>
                <w:rFonts w:ascii="Arial" w:hAnsi="Arial" w:cs="Arial"/>
                <w:b/>
                <w:bCs/>
                <w:color w:val="000000"/>
                <w:sz w:val="16"/>
                <w:szCs w:val="16"/>
              </w:rPr>
              <w:t>Aktywa obrotowe</w:t>
            </w:r>
          </w:p>
        </w:tc>
        <w:tc>
          <w:tcPr>
            <w:tcW w:w="1101" w:type="pct"/>
            <w:tcBorders>
              <w:top w:val="nil"/>
              <w:left w:val="nil"/>
              <w:bottom w:val="nil"/>
              <w:right w:val="nil"/>
            </w:tcBorders>
            <w:shd w:val="clear" w:color="000000" w:fill="FFFFFF"/>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14 754</w:t>
            </w:r>
          </w:p>
        </w:tc>
        <w:tc>
          <w:tcPr>
            <w:tcW w:w="1100" w:type="pct"/>
            <w:tcBorders>
              <w:top w:val="nil"/>
              <w:left w:val="nil"/>
              <w:bottom w:val="nil"/>
              <w:right w:val="nil"/>
            </w:tcBorders>
            <w:shd w:val="clear" w:color="000000" w:fill="FFFFFF"/>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2 973</w:t>
            </w:r>
          </w:p>
        </w:tc>
      </w:tr>
      <w:tr w:rsidR="00A1700F" w:rsidTr="00A1700F">
        <w:trPr>
          <w:trHeight w:val="283"/>
        </w:trPr>
        <w:tc>
          <w:tcPr>
            <w:tcW w:w="2799"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Zapasy</w:t>
            </w:r>
          </w:p>
        </w:tc>
        <w:tc>
          <w:tcPr>
            <w:tcW w:w="1101" w:type="pct"/>
            <w:tcBorders>
              <w:top w:val="nil"/>
              <w:left w:val="nil"/>
              <w:bottom w:val="nil"/>
              <w:right w:val="nil"/>
            </w:tcBorders>
            <w:shd w:val="clear" w:color="auto" w:fill="auto"/>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332</w:t>
            </w:r>
          </w:p>
        </w:tc>
        <w:tc>
          <w:tcPr>
            <w:tcW w:w="1100" w:type="pct"/>
            <w:tcBorders>
              <w:top w:val="nil"/>
              <w:left w:val="nil"/>
              <w:bottom w:val="nil"/>
              <w:right w:val="nil"/>
            </w:tcBorders>
            <w:shd w:val="clear" w:color="000000" w:fill="FFFFFF"/>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217</w:t>
            </w:r>
          </w:p>
        </w:tc>
      </w:tr>
      <w:tr w:rsidR="00A1700F" w:rsidTr="00A1700F">
        <w:trPr>
          <w:trHeight w:val="283"/>
        </w:trPr>
        <w:tc>
          <w:tcPr>
            <w:tcW w:w="2799"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 xml:space="preserve">Należności z tytułu bieżącego podatku dochodowego </w:t>
            </w:r>
          </w:p>
        </w:tc>
        <w:tc>
          <w:tcPr>
            <w:tcW w:w="1101" w:type="pct"/>
            <w:tcBorders>
              <w:top w:val="nil"/>
              <w:left w:val="nil"/>
              <w:bottom w:val="nil"/>
              <w:right w:val="nil"/>
            </w:tcBorders>
            <w:shd w:val="clear" w:color="auto" w:fill="auto"/>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35</w:t>
            </w:r>
          </w:p>
        </w:tc>
        <w:tc>
          <w:tcPr>
            <w:tcW w:w="1100" w:type="pct"/>
            <w:tcBorders>
              <w:top w:val="nil"/>
              <w:left w:val="nil"/>
              <w:bottom w:val="nil"/>
              <w:right w:val="nil"/>
            </w:tcBorders>
            <w:shd w:val="clear" w:color="auto" w:fill="auto"/>
            <w:noWrap/>
            <w:vAlign w:val="bottom"/>
            <w:hideMark/>
          </w:tcPr>
          <w:p w:rsidR="00A1700F" w:rsidRDefault="00A1700F" w:rsidP="00A1700F">
            <w:pPr>
              <w:jc w:val="right"/>
              <w:rPr>
                <w:rFonts w:ascii="Calibri" w:hAnsi="Calibri"/>
                <w:color w:val="000000"/>
                <w:sz w:val="22"/>
                <w:szCs w:val="22"/>
              </w:rPr>
            </w:pPr>
            <w:r>
              <w:rPr>
                <w:rFonts w:ascii="Calibri" w:hAnsi="Calibri"/>
                <w:color w:val="000000"/>
                <w:sz w:val="22"/>
                <w:szCs w:val="22"/>
              </w:rPr>
              <w:t>-</w:t>
            </w:r>
          </w:p>
        </w:tc>
      </w:tr>
      <w:tr w:rsidR="00A1700F" w:rsidTr="00A1700F">
        <w:trPr>
          <w:trHeight w:val="283"/>
        </w:trPr>
        <w:tc>
          <w:tcPr>
            <w:tcW w:w="2799"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Aktywa finansowe wyceniane w zamortyzowanym koszcie</w:t>
            </w:r>
          </w:p>
        </w:tc>
        <w:tc>
          <w:tcPr>
            <w:tcW w:w="1101" w:type="pct"/>
            <w:tcBorders>
              <w:top w:val="nil"/>
              <w:left w:val="nil"/>
              <w:bottom w:val="nil"/>
              <w:right w:val="nil"/>
            </w:tcBorders>
            <w:shd w:val="clear" w:color="auto" w:fill="auto"/>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1 223</w:t>
            </w:r>
          </w:p>
        </w:tc>
        <w:tc>
          <w:tcPr>
            <w:tcW w:w="1100" w:type="pct"/>
            <w:tcBorders>
              <w:top w:val="nil"/>
              <w:left w:val="nil"/>
              <w:bottom w:val="nil"/>
              <w:right w:val="nil"/>
            </w:tcBorders>
            <w:shd w:val="clear" w:color="000000" w:fill="FFFFFF"/>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107</w:t>
            </w:r>
          </w:p>
        </w:tc>
      </w:tr>
      <w:tr w:rsidR="00A1700F" w:rsidTr="00A1700F">
        <w:trPr>
          <w:trHeight w:val="283"/>
        </w:trPr>
        <w:tc>
          <w:tcPr>
            <w:tcW w:w="2799"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Pozostałe aktywa</w:t>
            </w:r>
          </w:p>
        </w:tc>
        <w:tc>
          <w:tcPr>
            <w:tcW w:w="1101" w:type="pct"/>
            <w:tcBorders>
              <w:top w:val="nil"/>
              <w:left w:val="nil"/>
              <w:bottom w:val="nil"/>
              <w:right w:val="nil"/>
            </w:tcBorders>
            <w:shd w:val="clear" w:color="000000" w:fill="FFFFFF"/>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3 462</w:t>
            </w:r>
          </w:p>
        </w:tc>
        <w:tc>
          <w:tcPr>
            <w:tcW w:w="1100" w:type="pct"/>
            <w:tcBorders>
              <w:top w:val="nil"/>
              <w:left w:val="nil"/>
              <w:bottom w:val="nil"/>
              <w:right w:val="nil"/>
            </w:tcBorders>
            <w:shd w:val="clear" w:color="000000" w:fill="FFFFFF"/>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1 293</w:t>
            </w:r>
          </w:p>
        </w:tc>
      </w:tr>
      <w:tr w:rsidR="00A1700F" w:rsidTr="00A1700F">
        <w:trPr>
          <w:trHeight w:val="283"/>
        </w:trPr>
        <w:tc>
          <w:tcPr>
            <w:tcW w:w="2799"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Środki pieniężne i ich ekwiwalenty</w:t>
            </w:r>
          </w:p>
        </w:tc>
        <w:tc>
          <w:tcPr>
            <w:tcW w:w="1101" w:type="pct"/>
            <w:tcBorders>
              <w:top w:val="nil"/>
              <w:left w:val="nil"/>
              <w:bottom w:val="nil"/>
              <w:right w:val="nil"/>
            </w:tcBorders>
            <w:shd w:val="clear" w:color="000000" w:fill="FFFFFF"/>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9 702</w:t>
            </w:r>
          </w:p>
        </w:tc>
        <w:tc>
          <w:tcPr>
            <w:tcW w:w="1100" w:type="pct"/>
            <w:tcBorders>
              <w:top w:val="nil"/>
              <w:left w:val="nil"/>
              <w:bottom w:val="nil"/>
              <w:right w:val="nil"/>
            </w:tcBorders>
            <w:shd w:val="clear" w:color="000000" w:fill="FFFFFF"/>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1 356</w:t>
            </w:r>
          </w:p>
        </w:tc>
      </w:tr>
      <w:tr w:rsidR="00A1700F" w:rsidTr="00A1700F">
        <w:trPr>
          <w:trHeight w:val="283"/>
        </w:trPr>
        <w:tc>
          <w:tcPr>
            <w:tcW w:w="2799" w:type="pct"/>
            <w:tcBorders>
              <w:top w:val="nil"/>
              <w:left w:val="nil"/>
              <w:bottom w:val="nil"/>
              <w:right w:val="nil"/>
            </w:tcBorders>
            <w:shd w:val="clear" w:color="auto" w:fill="auto"/>
            <w:vAlign w:val="center"/>
            <w:hideMark/>
          </w:tcPr>
          <w:p w:rsidR="00A1700F" w:rsidRDefault="00A1700F">
            <w:pPr>
              <w:rPr>
                <w:rFonts w:ascii="Arial" w:hAnsi="Arial" w:cs="Arial"/>
                <w:b/>
                <w:bCs/>
                <w:color w:val="000000"/>
                <w:sz w:val="16"/>
                <w:szCs w:val="16"/>
              </w:rPr>
            </w:pPr>
            <w:r>
              <w:rPr>
                <w:rFonts w:ascii="Arial" w:hAnsi="Arial" w:cs="Arial"/>
                <w:b/>
                <w:bCs/>
                <w:color w:val="000000"/>
                <w:sz w:val="16"/>
                <w:szCs w:val="16"/>
              </w:rPr>
              <w:t xml:space="preserve">Aktywa trwałe przeznaczone do sprzedaży oraz aktywa wchodzące w skład grupy do zbycia </w:t>
            </w:r>
          </w:p>
        </w:tc>
        <w:tc>
          <w:tcPr>
            <w:tcW w:w="1101" w:type="pct"/>
            <w:tcBorders>
              <w:top w:val="nil"/>
              <w:left w:val="nil"/>
              <w:bottom w:val="nil"/>
              <w:right w:val="nil"/>
            </w:tcBorders>
            <w:shd w:val="clear" w:color="000000" w:fill="FFFFFF"/>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2 245</w:t>
            </w:r>
          </w:p>
        </w:tc>
        <w:tc>
          <w:tcPr>
            <w:tcW w:w="1100" w:type="pct"/>
            <w:tcBorders>
              <w:top w:val="nil"/>
              <w:left w:val="nil"/>
              <w:bottom w:val="nil"/>
              <w:right w:val="nil"/>
            </w:tcBorders>
            <w:shd w:val="clear" w:color="000000" w:fill="FFFFFF"/>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 </w:t>
            </w:r>
          </w:p>
        </w:tc>
      </w:tr>
      <w:tr w:rsidR="00A1700F" w:rsidTr="00A1700F">
        <w:trPr>
          <w:trHeight w:val="283"/>
        </w:trPr>
        <w:tc>
          <w:tcPr>
            <w:tcW w:w="2799" w:type="pct"/>
            <w:tcBorders>
              <w:top w:val="nil"/>
              <w:left w:val="nil"/>
              <w:bottom w:val="nil"/>
              <w:right w:val="nil"/>
            </w:tcBorders>
            <w:shd w:val="clear" w:color="auto" w:fill="auto"/>
            <w:vAlign w:val="center"/>
            <w:hideMark/>
          </w:tcPr>
          <w:p w:rsidR="00A1700F" w:rsidRDefault="00A1700F">
            <w:pPr>
              <w:rPr>
                <w:rFonts w:ascii="Arial" w:hAnsi="Arial" w:cs="Arial"/>
                <w:b/>
                <w:bCs/>
                <w:color w:val="000000"/>
                <w:sz w:val="16"/>
                <w:szCs w:val="16"/>
              </w:rPr>
            </w:pPr>
            <w:r>
              <w:rPr>
                <w:rFonts w:ascii="Arial" w:hAnsi="Arial" w:cs="Arial"/>
                <w:b/>
                <w:bCs/>
                <w:color w:val="000000"/>
                <w:sz w:val="16"/>
                <w:szCs w:val="16"/>
              </w:rPr>
              <w:t>RAZEM AKTYWA</w:t>
            </w:r>
          </w:p>
        </w:tc>
        <w:tc>
          <w:tcPr>
            <w:tcW w:w="1101" w:type="pct"/>
            <w:tcBorders>
              <w:top w:val="single" w:sz="8" w:space="0" w:color="auto"/>
              <w:left w:val="nil"/>
              <w:bottom w:val="single" w:sz="8" w:space="0" w:color="auto"/>
              <w:right w:val="nil"/>
            </w:tcBorders>
            <w:shd w:val="clear" w:color="000000" w:fill="FFFFFF"/>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190 19</w:t>
            </w:r>
            <w:r w:rsidR="00C729AD">
              <w:rPr>
                <w:rFonts w:ascii="Arial" w:hAnsi="Arial" w:cs="Arial"/>
                <w:b/>
                <w:bCs/>
                <w:color w:val="000000"/>
                <w:sz w:val="16"/>
                <w:szCs w:val="16"/>
              </w:rPr>
              <w:t>6</w:t>
            </w:r>
          </w:p>
        </w:tc>
        <w:tc>
          <w:tcPr>
            <w:tcW w:w="1100" w:type="pct"/>
            <w:tcBorders>
              <w:top w:val="single" w:sz="8" w:space="0" w:color="auto"/>
              <w:left w:val="nil"/>
              <w:bottom w:val="single" w:sz="8" w:space="0" w:color="auto"/>
              <w:right w:val="nil"/>
            </w:tcBorders>
            <w:shd w:val="clear" w:color="000000" w:fill="FFFFFF"/>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172 010</w:t>
            </w:r>
          </w:p>
        </w:tc>
      </w:tr>
      <w:tr w:rsidR="00A1700F" w:rsidTr="00A1700F">
        <w:trPr>
          <w:trHeight w:val="283"/>
        </w:trPr>
        <w:tc>
          <w:tcPr>
            <w:tcW w:w="2799" w:type="pct"/>
            <w:tcBorders>
              <w:top w:val="nil"/>
              <w:left w:val="nil"/>
              <w:bottom w:val="nil"/>
              <w:right w:val="nil"/>
            </w:tcBorders>
            <w:shd w:val="clear" w:color="auto" w:fill="auto"/>
            <w:vAlign w:val="bottom"/>
            <w:hideMark/>
          </w:tcPr>
          <w:p w:rsidR="00A1700F" w:rsidRDefault="00A1700F">
            <w:pPr>
              <w:rPr>
                <w:color w:val="000000"/>
                <w:sz w:val="22"/>
                <w:szCs w:val="22"/>
              </w:rPr>
            </w:pPr>
          </w:p>
        </w:tc>
        <w:tc>
          <w:tcPr>
            <w:tcW w:w="1101" w:type="pct"/>
            <w:tcBorders>
              <w:top w:val="nil"/>
              <w:left w:val="nil"/>
              <w:bottom w:val="nil"/>
              <w:right w:val="nil"/>
            </w:tcBorders>
            <w:shd w:val="clear" w:color="auto" w:fill="auto"/>
            <w:noWrap/>
            <w:vAlign w:val="bottom"/>
            <w:hideMark/>
          </w:tcPr>
          <w:p w:rsidR="00A1700F" w:rsidRDefault="00A1700F">
            <w:pPr>
              <w:rPr>
                <w:color w:val="000000"/>
                <w:sz w:val="22"/>
                <w:szCs w:val="22"/>
              </w:rPr>
            </w:pPr>
          </w:p>
        </w:tc>
        <w:tc>
          <w:tcPr>
            <w:tcW w:w="1100" w:type="pct"/>
            <w:tcBorders>
              <w:top w:val="nil"/>
              <w:left w:val="nil"/>
              <w:bottom w:val="nil"/>
              <w:right w:val="nil"/>
            </w:tcBorders>
            <w:shd w:val="clear" w:color="auto" w:fill="auto"/>
            <w:noWrap/>
            <w:vAlign w:val="bottom"/>
            <w:hideMark/>
          </w:tcPr>
          <w:p w:rsidR="00A1700F" w:rsidRDefault="00A1700F">
            <w:pPr>
              <w:rPr>
                <w:color w:val="000000"/>
                <w:sz w:val="22"/>
                <w:szCs w:val="22"/>
              </w:rPr>
            </w:pPr>
          </w:p>
        </w:tc>
      </w:tr>
      <w:tr w:rsidR="00A1700F" w:rsidTr="00A1700F">
        <w:trPr>
          <w:trHeight w:val="283"/>
        </w:trPr>
        <w:tc>
          <w:tcPr>
            <w:tcW w:w="2799" w:type="pct"/>
            <w:tcBorders>
              <w:top w:val="nil"/>
              <w:left w:val="nil"/>
              <w:bottom w:val="nil"/>
              <w:right w:val="nil"/>
            </w:tcBorders>
            <w:shd w:val="clear" w:color="auto" w:fill="auto"/>
            <w:vAlign w:val="center"/>
            <w:hideMark/>
          </w:tcPr>
          <w:p w:rsidR="00A1700F" w:rsidRDefault="00A1700F">
            <w:pPr>
              <w:rPr>
                <w:rFonts w:ascii="Arial" w:hAnsi="Arial" w:cs="Arial"/>
                <w:b/>
                <w:bCs/>
                <w:color w:val="000000"/>
                <w:sz w:val="16"/>
                <w:szCs w:val="16"/>
              </w:rPr>
            </w:pPr>
            <w:r>
              <w:rPr>
                <w:rFonts w:ascii="Arial" w:hAnsi="Arial" w:cs="Arial"/>
                <w:b/>
                <w:bCs/>
                <w:color w:val="000000"/>
                <w:sz w:val="16"/>
                <w:szCs w:val="16"/>
              </w:rPr>
              <w:t>Pasywa</w:t>
            </w:r>
          </w:p>
        </w:tc>
        <w:tc>
          <w:tcPr>
            <w:tcW w:w="1101" w:type="pct"/>
            <w:tcBorders>
              <w:top w:val="nil"/>
              <w:left w:val="nil"/>
              <w:bottom w:val="nil"/>
              <w:right w:val="nil"/>
            </w:tcBorders>
            <w:shd w:val="clear" w:color="000000" w:fill="FFFFFF"/>
            <w:noWrap/>
            <w:vAlign w:val="center"/>
            <w:hideMark/>
          </w:tcPr>
          <w:p w:rsidR="00A1700F" w:rsidRDefault="00A1700F">
            <w:pPr>
              <w:rPr>
                <w:rFonts w:ascii="Arial" w:hAnsi="Arial" w:cs="Arial"/>
                <w:b/>
                <w:bCs/>
                <w:color w:val="000000"/>
                <w:sz w:val="16"/>
                <w:szCs w:val="16"/>
              </w:rPr>
            </w:pPr>
            <w:r>
              <w:rPr>
                <w:rFonts w:ascii="Arial" w:hAnsi="Arial" w:cs="Arial"/>
                <w:b/>
                <w:bCs/>
                <w:color w:val="000000"/>
                <w:sz w:val="16"/>
                <w:szCs w:val="16"/>
              </w:rPr>
              <w:t> </w:t>
            </w:r>
          </w:p>
        </w:tc>
        <w:tc>
          <w:tcPr>
            <w:tcW w:w="1100" w:type="pct"/>
            <w:tcBorders>
              <w:top w:val="nil"/>
              <w:left w:val="nil"/>
              <w:bottom w:val="nil"/>
              <w:right w:val="nil"/>
            </w:tcBorders>
            <w:shd w:val="clear" w:color="000000" w:fill="FFFFFF"/>
            <w:noWrap/>
            <w:vAlign w:val="center"/>
            <w:hideMark/>
          </w:tcPr>
          <w:p w:rsidR="00A1700F" w:rsidRDefault="00A1700F">
            <w:pPr>
              <w:rPr>
                <w:rFonts w:ascii="Arial" w:hAnsi="Arial" w:cs="Arial"/>
                <w:b/>
                <w:bCs/>
                <w:color w:val="000000"/>
                <w:sz w:val="16"/>
                <w:szCs w:val="16"/>
              </w:rPr>
            </w:pPr>
            <w:r>
              <w:rPr>
                <w:rFonts w:ascii="Arial" w:hAnsi="Arial" w:cs="Arial"/>
                <w:b/>
                <w:bCs/>
                <w:color w:val="000000"/>
                <w:sz w:val="16"/>
                <w:szCs w:val="16"/>
              </w:rPr>
              <w:t> </w:t>
            </w:r>
          </w:p>
        </w:tc>
      </w:tr>
      <w:tr w:rsidR="00A1700F" w:rsidTr="00A1700F">
        <w:trPr>
          <w:trHeight w:val="283"/>
        </w:trPr>
        <w:tc>
          <w:tcPr>
            <w:tcW w:w="2799" w:type="pct"/>
            <w:tcBorders>
              <w:top w:val="nil"/>
              <w:left w:val="nil"/>
              <w:bottom w:val="nil"/>
              <w:right w:val="nil"/>
            </w:tcBorders>
            <w:shd w:val="clear" w:color="auto" w:fill="auto"/>
            <w:vAlign w:val="center"/>
            <w:hideMark/>
          </w:tcPr>
          <w:p w:rsidR="00A1700F" w:rsidRDefault="00A1700F">
            <w:pPr>
              <w:rPr>
                <w:rFonts w:ascii="Arial" w:hAnsi="Arial" w:cs="Arial"/>
                <w:b/>
                <w:bCs/>
                <w:color w:val="000000"/>
                <w:sz w:val="16"/>
                <w:szCs w:val="16"/>
              </w:rPr>
            </w:pPr>
            <w:r>
              <w:rPr>
                <w:rFonts w:ascii="Arial" w:hAnsi="Arial" w:cs="Arial"/>
                <w:b/>
                <w:bCs/>
                <w:color w:val="000000"/>
                <w:sz w:val="16"/>
                <w:szCs w:val="16"/>
              </w:rPr>
              <w:t>KAPITAŁ WŁASNY</w:t>
            </w:r>
          </w:p>
        </w:tc>
        <w:tc>
          <w:tcPr>
            <w:tcW w:w="1101" w:type="pct"/>
            <w:tcBorders>
              <w:top w:val="nil"/>
              <w:left w:val="nil"/>
              <w:bottom w:val="nil"/>
              <w:right w:val="nil"/>
            </w:tcBorders>
            <w:shd w:val="clear" w:color="000000" w:fill="FFFFFF"/>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126 216</w:t>
            </w:r>
          </w:p>
        </w:tc>
        <w:tc>
          <w:tcPr>
            <w:tcW w:w="1100" w:type="pct"/>
            <w:tcBorders>
              <w:top w:val="nil"/>
              <w:left w:val="nil"/>
              <w:bottom w:val="nil"/>
              <w:right w:val="nil"/>
            </w:tcBorders>
            <w:shd w:val="clear" w:color="000000" w:fill="FFFFFF"/>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122 635</w:t>
            </w:r>
          </w:p>
        </w:tc>
      </w:tr>
      <w:tr w:rsidR="00A1700F" w:rsidTr="00A1700F">
        <w:trPr>
          <w:trHeight w:val="283"/>
        </w:trPr>
        <w:tc>
          <w:tcPr>
            <w:tcW w:w="2799"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 xml:space="preserve">Kapitał akcyjny/podstawowy </w:t>
            </w:r>
          </w:p>
        </w:tc>
        <w:tc>
          <w:tcPr>
            <w:tcW w:w="1101" w:type="pct"/>
            <w:tcBorders>
              <w:top w:val="nil"/>
              <w:left w:val="nil"/>
              <w:bottom w:val="nil"/>
              <w:right w:val="nil"/>
            </w:tcBorders>
            <w:shd w:val="clear" w:color="auto" w:fill="auto"/>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72 821</w:t>
            </w:r>
          </w:p>
        </w:tc>
        <w:tc>
          <w:tcPr>
            <w:tcW w:w="1100" w:type="pct"/>
            <w:tcBorders>
              <w:top w:val="nil"/>
              <w:left w:val="nil"/>
              <w:bottom w:val="nil"/>
              <w:right w:val="nil"/>
            </w:tcBorders>
            <w:shd w:val="clear" w:color="000000" w:fill="FFFFFF"/>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72 821</w:t>
            </w:r>
          </w:p>
        </w:tc>
      </w:tr>
      <w:tr w:rsidR="00A1700F" w:rsidTr="00A1700F">
        <w:trPr>
          <w:trHeight w:val="283"/>
        </w:trPr>
        <w:tc>
          <w:tcPr>
            <w:tcW w:w="2799"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Nadwyżka wartości emisyjnej nad wartością nominalną akcji</w:t>
            </w:r>
          </w:p>
        </w:tc>
        <w:tc>
          <w:tcPr>
            <w:tcW w:w="1101" w:type="pct"/>
            <w:tcBorders>
              <w:top w:val="nil"/>
              <w:left w:val="nil"/>
              <w:bottom w:val="nil"/>
              <w:right w:val="nil"/>
            </w:tcBorders>
            <w:shd w:val="clear" w:color="auto" w:fill="auto"/>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3 873</w:t>
            </w:r>
          </w:p>
        </w:tc>
        <w:tc>
          <w:tcPr>
            <w:tcW w:w="1100" w:type="pct"/>
            <w:tcBorders>
              <w:top w:val="nil"/>
              <w:left w:val="nil"/>
              <w:bottom w:val="nil"/>
              <w:right w:val="nil"/>
            </w:tcBorders>
            <w:shd w:val="clear" w:color="000000" w:fill="FFFFFF"/>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3 873</w:t>
            </w:r>
          </w:p>
        </w:tc>
      </w:tr>
      <w:tr w:rsidR="00A1700F" w:rsidTr="00A1700F">
        <w:trPr>
          <w:trHeight w:val="283"/>
        </w:trPr>
        <w:tc>
          <w:tcPr>
            <w:tcW w:w="2799"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Pozostałe elementy kapitału własnego</w:t>
            </w:r>
          </w:p>
        </w:tc>
        <w:tc>
          <w:tcPr>
            <w:tcW w:w="1101" w:type="pct"/>
            <w:tcBorders>
              <w:top w:val="nil"/>
              <w:left w:val="nil"/>
              <w:bottom w:val="nil"/>
              <w:right w:val="nil"/>
            </w:tcBorders>
            <w:shd w:val="clear" w:color="auto" w:fill="auto"/>
            <w:vAlign w:val="center"/>
            <w:hideMark/>
          </w:tcPr>
          <w:p w:rsidR="00A1700F" w:rsidRDefault="00A1700F" w:rsidP="00C729AD">
            <w:pPr>
              <w:jc w:val="right"/>
              <w:rPr>
                <w:rFonts w:ascii="Arial" w:hAnsi="Arial" w:cs="Arial"/>
                <w:color w:val="000000"/>
                <w:sz w:val="16"/>
                <w:szCs w:val="16"/>
              </w:rPr>
            </w:pPr>
            <w:r>
              <w:rPr>
                <w:rFonts w:ascii="Arial" w:hAnsi="Arial" w:cs="Arial"/>
                <w:color w:val="000000"/>
                <w:sz w:val="16"/>
                <w:szCs w:val="16"/>
              </w:rPr>
              <w:t>-</w:t>
            </w:r>
            <w:r w:rsidR="00C729AD">
              <w:rPr>
                <w:rFonts w:ascii="Arial" w:hAnsi="Arial" w:cs="Arial"/>
                <w:color w:val="000000"/>
                <w:sz w:val="16"/>
                <w:szCs w:val="16"/>
              </w:rPr>
              <w:t>82</w:t>
            </w:r>
          </w:p>
        </w:tc>
        <w:tc>
          <w:tcPr>
            <w:tcW w:w="1100" w:type="pct"/>
            <w:tcBorders>
              <w:top w:val="nil"/>
              <w:left w:val="nil"/>
              <w:bottom w:val="nil"/>
              <w:right w:val="nil"/>
            </w:tcBorders>
            <w:shd w:val="clear" w:color="000000" w:fill="FFFFFF"/>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-82</w:t>
            </w:r>
          </w:p>
        </w:tc>
      </w:tr>
      <w:tr w:rsidR="00A1700F" w:rsidTr="00A1700F">
        <w:trPr>
          <w:trHeight w:val="283"/>
        </w:trPr>
        <w:tc>
          <w:tcPr>
            <w:tcW w:w="2799"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 xml:space="preserve">Zyski zatrzymane  </w:t>
            </w:r>
          </w:p>
        </w:tc>
        <w:tc>
          <w:tcPr>
            <w:tcW w:w="1101" w:type="pct"/>
            <w:tcBorders>
              <w:top w:val="nil"/>
              <w:left w:val="nil"/>
              <w:bottom w:val="nil"/>
              <w:right w:val="nil"/>
            </w:tcBorders>
            <w:shd w:val="clear" w:color="auto" w:fill="auto"/>
            <w:vAlign w:val="center"/>
            <w:hideMark/>
          </w:tcPr>
          <w:p w:rsidR="00A1700F" w:rsidRDefault="00A1700F" w:rsidP="00C729AD">
            <w:pPr>
              <w:jc w:val="right"/>
              <w:rPr>
                <w:rFonts w:ascii="Arial" w:hAnsi="Arial" w:cs="Arial"/>
                <w:color w:val="000000"/>
                <w:sz w:val="16"/>
                <w:szCs w:val="16"/>
              </w:rPr>
            </w:pPr>
            <w:r>
              <w:rPr>
                <w:rFonts w:ascii="Arial" w:hAnsi="Arial" w:cs="Arial"/>
                <w:color w:val="000000"/>
                <w:sz w:val="16"/>
                <w:szCs w:val="16"/>
              </w:rPr>
              <w:t>49 6</w:t>
            </w:r>
            <w:r w:rsidR="00C729AD">
              <w:rPr>
                <w:rFonts w:ascii="Arial" w:hAnsi="Arial" w:cs="Arial"/>
                <w:color w:val="000000"/>
                <w:sz w:val="16"/>
                <w:szCs w:val="16"/>
              </w:rPr>
              <w:t>04</w:t>
            </w:r>
          </w:p>
        </w:tc>
        <w:tc>
          <w:tcPr>
            <w:tcW w:w="1100" w:type="pct"/>
            <w:tcBorders>
              <w:top w:val="nil"/>
              <w:left w:val="nil"/>
              <w:bottom w:val="nil"/>
              <w:right w:val="nil"/>
            </w:tcBorders>
            <w:shd w:val="clear" w:color="000000" w:fill="FFFFFF"/>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46 022</w:t>
            </w:r>
          </w:p>
        </w:tc>
      </w:tr>
      <w:tr w:rsidR="00A1700F" w:rsidTr="00A1700F">
        <w:trPr>
          <w:trHeight w:val="283"/>
        </w:trPr>
        <w:tc>
          <w:tcPr>
            <w:tcW w:w="2799" w:type="pct"/>
            <w:tcBorders>
              <w:top w:val="nil"/>
              <w:left w:val="nil"/>
              <w:bottom w:val="nil"/>
              <w:right w:val="nil"/>
            </w:tcBorders>
            <w:shd w:val="clear" w:color="auto" w:fill="auto"/>
            <w:vAlign w:val="center"/>
            <w:hideMark/>
          </w:tcPr>
          <w:p w:rsidR="00A1700F" w:rsidRDefault="00A1700F">
            <w:pPr>
              <w:rPr>
                <w:rFonts w:ascii="Arial" w:hAnsi="Arial" w:cs="Arial"/>
                <w:b/>
                <w:bCs/>
                <w:color w:val="000000"/>
                <w:sz w:val="16"/>
                <w:szCs w:val="16"/>
              </w:rPr>
            </w:pPr>
            <w:r>
              <w:rPr>
                <w:rFonts w:ascii="Arial" w:hAnsi="Arial" w:cs="Arial"/>
                <w:b/>
                <w:bCs/>
                <w:color w:val="000000"/>
                <w:sz w:val="16"/>
                <w:szCs w:val="16"/>
              </w:rPr>
              <w:t>ZOBOWIĄZANIA</w:t>
            </w:r>
          </w:p>
        </w:tc>
        <w:tc>
          <w:tcPr>
            <w:tcW w:w="1101" w:type="pct"/>
            <w:tcBorders>
              <w:top w:val="nil"/>
              <w:left w:val="nil"/>
              <w:bottom w:val="nil"/>
              <w:right w:val="nil"/>
            </w:tcBorders>
            <w:shd w:val="clear" w:color="000000" w:fill="FFFFFF"/>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63 771</w:t>
            </w:r>
          </w:p>
        </w:tc>
        <w:tc>
          <w:tcPr>
            <w:tcW w:w="1100" w:type="pct"/>
            <w:tcBorders>
              <w:top w:val="nil"/>
              <w:left w:val="nil"/>
              <w:bottom w:val="nil"/>
              <w:right w:val="nil"/>
            </w:tcBorders>
            <w:shd w:val="clear" w:color="000000" w:fill="FFFFFF"/>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49 375</w:t>
            </w:r>
          </w:p>
        </w:tc>
      </w:tr>
      <w:tr w:rsidR="00A1700F" w:rsidTr="00A1700F">
        <w:trPr>
          <w:trHeight w:val="283"/>
        </w:trPr>
        <w:tc>
          <w:tcPr>
            <w:tcW w:w="2799" w:type="pct"/>
            <w:tcBorders>
              <w:top w:val="nil"/>
              <w:left w:val="nil"/>
              <w:bottom w:val="nil"/>
              <w:right w:val="nil"/>
            </w:tcBorders>
            <w:shd w:val="clear" w:color="auto" w:fill="auto"/>
            <w:vAlign w:val="center"/>
            <w:hideMark/>
          </w:tcPr>
          <w:p w:rsidR="00A1700F" w:rsidRDefault="00A1700F">
            <w:pPr>
              <w:rPr>
                <w:rFonts w:ascii="Arial" w:hAnsi="Arial" w:cs="Arial"/>
                <w:b/>
                <w:bCs/>
                <w:color w:val="000000"/>
                <w:sz w:val="16"/>
                <w:szCs w:val="16"/>
              </w:rPr>
            </w:pPr>
            <w:r>
              <w:rPr>
                <w:rFonts w:ascii="Arial" w:hAnsi="Arial" w:cs="Arial"/>
                <w:b/>
                <w:bCs/>
                <w:color w:val="000000"/>
                <w:sz w:val="16"/>
                <w:szCs w:val="16"/>
              </w:rPr>
              <w:t>Zobowiązania długoterminowe</w:t>
            </w:r>
          </w:p>
        </w:tc>
        <w:tc>
          <w:tcPr>
            <w:tcW w:w="1101" w:type="pct"/>
            <w:tcBorders>
              <w:top w:val="nil"/>
              <w:left w:val="nil"/>
              <w:bottom w:val="nil"/>
              <w:right w:val="nil"/>
            </w:tcBorders>
            <w:shd w:val="clear" w:color="000000" w:fill="FFFFFF"/>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44 304</w:t>
            </w:r>
          </w:p>
        </w:tc>
        <w:tc>
          <w:tcPr>
            <w:tcW w:w="1100" w:type="pct"/>
            <w:tcBorders>
              <w:top w:val="nil"/>
              <w:left w:val="nil"/>
              <w:bottom w:val="nil"/>
              <w:right w:val="nil"/>
            </w:tcBorders>
            <w:shd w:val="clear" w:color="000000" w:fill="FFFFFF"/>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29 994</w:t>
            </w:r>
          </w:p>
        </w:tc>
      </w:tr>
      <w:tr w:rsidR="00A1700F" w:rsidTr="00A1700F">
        <w:trPr>
          <w:trHeight w:val="283"/>
        </w:trPr>
        <w:tc>
          <w:tcPr>
            <w:tcW w:w="2799"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Zobowiązania z tytułu dostaw i usług oraz pozostałe zobowiązania</w:t>
            </w:r>
          </w:p>
        </w:tc>
        <w:tc>
          <w:tcPr>
            <w:tcW w:w="1101" w:type="pct"/>
            <w:tcBorders>
              <w:top w:val="nil"/>
              <w:left w:val="nil"/>
              <w:bottom w:val="nil"/>
              <w:right w:val="nil"/>
            </w:tcBorders>
            <w:shd w:val="clear" w:color="auto" w:fill="auto"/>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36</w:t>
            </w:r>
          </w:p>
        </w:tc>
        <w:tc>
          <w:tcPr>
            <w:tcW w:w="1100" w:type="pct"/>
            <w:tcBorders>
              <w:top w:val="nil"/>
              <w:left w:val="nil"/>
              <w:bottom w:val="nil"/>
              <w:right w:val="nil"/>
            </w:tcBorders>
            <w:shd w:val="clear" w:color="000000" w:fill="FFFFFF"/>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29</w:t>
            </w:r>
          </w:p>
        </w:tc>
      </w:tr>
      <w:tr w:rsidR="00A1700F" w:rsidTr="00A1700F">
        <w:trPr>
          <w:trHeight w:val="283"/>
        </w:trPr>
        <w:tc>
          <w:tcPr>
            <w:tcW w:w="2799"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Kredyty, pożyczki i inne źródła finansowania</w:t>
            </w:r>
          </w:p>
        </w:tc>
        <w:tc>
          <w:tcPr>
            <w:tcW w:w="1101" w:type="pct"/>
            <w:tcBorders>
              <w:top w:val="nil"/>
              <w:left w:val="nil"/>
              <w:bottom w:val="nil"/>
              <w:right w:val="nil"/>
            </w:tcBorders>
            <w:shd w:val="clear" w:color="auto" w:fill="auto"/>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43 056</w:t>
            </w:r>
          </w:p>
        </w:tc>
        <w:tc>
          <w:tcPr>
            <w:tcW w:w="1100" w:type="pct"/>
            <w:tcBorders>
              <w:top w:val="nil"/>
              <w:left w:val="nil"/>
              <w:bottom w:val="nil"/>
              <w:right w:val="nil"/>
            </w:tcBorders>
            <w:shd w:val="clear" w:color="000000" w:fill="FFFFFF"/>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28 843</w:t>
            </w:r>
          </w:p>
        </w:tc>
      </w:tr>
      <w:tr w:rsidR="00A1700F" w:rsidTr="00A1700F">
        <w:trPr>
          <w:trHeight w:val="283"/>
        </w:trPr>
        <w:tc>
          <w:tcPr>
            <w:tcW w:w="2799"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Zobowiązanie z tytułu odroczonego podatku dochodowego</w:t>
            </w:r>
          </w:p>
        </w:tc>
        <w:tc>
          <w:tcPr>
            <w:tcW w:w="1101" w:type="pct"/>
            <w:tcBorders>
              <w:top w:val="nil"/>
              <w:left w:val="nil"/>
              <w:bottom w:val="nil"/>
              <w:right w:val="nil"/>
            </w:tcBorders>
            <w:shd w:val="clear" w:color="auto" w:fill="auto"/>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338</w:t>
            </w:r>
          </w:p>
        </w:tc>
        <w:tc>
          <w:tcPr>
            <w:tcW w:w="1100" w:type="pct"/>
            <w:tcBorders>
              <w:top w:val="nil"/>
              <w:left w:val="nil"/>
              <w:bottom w:val="nil"/>
              <w:right w:val="nil"/>
            </w:tcBorders>
            <w:shd w:val="clear" w:color="000000" w:fill="FFFFFF"/>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248</w:t>
            </w:r>
          </w:p>
        </w:tc>
      </w:tr>
      <w:tr w:rsidR="00A1700F" w:rsidTr="00A1700F">
        <w:trPr>
          <w:trHeight w:val="283"/>
        </w:trPr>
        <w:tc>
          <w:tcPr>
            <w:tcW w:w="2799"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Zobowiązania z tytułu świadczeń pracowniczych</w:t>
            </w:r>
          </w:p>
        </w:tc>
        <w:tc>
          <w:tcPr>
            <w:tcW w:w="1101" w:type="pct"/>
            <w:tcBorders>
              <w:top w:val="nil"/>
              <w:left w:val="nil"/>
              <w:bottom w:val="nil"/>
              <w:right w:val="nil"/>
            </w:tcBorders>
            <w:shd w:val="clear" w:color="auto" w:fill="auto"/>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874</w:t>
            </w:r>
          </w:p>
        </w:tc>
        <w:tc>
          <w:tcPr>
            <w:tcW w:w="1100" w:type="pct"/>
            <w:tcBorders>
              <w:top w:val="nil"/>
              <w:left w:val="nil"/>
              <w:bottom w:val="nil"/>
              <w:right w:val="nil"/>
            </w:tcBorders>
            <w:shd w:val="clear" w:color="000000" w:fill="FFFFFF"/>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874</w:t>
            </w:r>
          </w:p>
        </w:tc>
      </w:tr>
      <w:tr w:rsidR="00A1700F" w:rsidTr="00A1700F">
        <w:trPr>
          <w:trHeight w:val="283"/>
        </w:trPr>
        <w:tc>
          <w:tcPr>
            <w:tcW w:w="2799" w:type="pct"/>
            <w:tcBorders>
              <w:top w:val="nil"/>
              <w:left w:val="nil"/>
              <w:bottom w:val="nil"/>
              <w:right w:val="nil"/>
            </w:tcBorders>
            <w:shd w:val="clear" w:color="auto" w:fill="auto"/>
            <w:vAlign w:val="center"/>
            <w:hideMark/>
          </w:tcPr>
          <w:p w:rsidR="00A1700F" w:rsidRDefault="00A1700F">
            <w:pPr>
              <w:rPr>
                <w:rFonts w:ascii="Arial" w:hAnsi="Arial" w:cs="Arial"/>
                <w:b/>
                <w:bCs/>
                <w:color w:val="000000"/>
                <w:sz w:val="16"/>
                <w:szCs w:val="16"/>
              </w:rPr>
            </w:pPr>
            <w:r>
              <w:rPr>
                <w:rFonts w:ascii="Arial" w:hAnsi="Arial" w:cs="Arial"/>
                <w:b/>
                <w:bCs/>
                <w:color w:val="000000"/>
                <w:sz w:val="16"/>
                <w:szCs w:val="16"/>
              </w:rPr>
              <w:t>Zobowiązania krótkoterminowe</w:t>
            </w:r>
          </w:p>
        </w:tc>
        <w:tc>
          <w:tcPr>
            <w:tcW w:w="1101" w:type="pct"/>
            <w:tcBorders>
              <w:top w:val="nil"/>
              <w:left w:val="nil"/>
              <w:bottom w:val="nil"/>
              <w:right w:val="nil"/>
            </w:tcBorders>
            <w:shd w:val="clear" w:color="000000" w:fill="FFFFFF"/>
            <w:noWrap/>
            <w:vAlign w:val="center"/>
            <w:hideMark/>
          </w:tcPr>
          <w:p w:rsidR="00A1700F" w:rsidRDefault="00A1700F" w:rsidP="00C729AD">
            <w:pPr>
              <w:jc w:val="right"/>
              <w:rPr>
                <w:rFonts w:ascii="Arial" w:hAnsi="Arial" w:cs="Arial"/>
                <w:b/>
                <w:bCs/>
                <w:color w:val="000000"/>
                <w:sz w:val="16"/>
                <w:szCs w:val="16"/>
              </w:rPr>
            </w:pPr>
            <w:r>
              <w:rPr>
                <w:rFonts w:ascii="Arial" w:hAnsi="Arial" w:cs="Arial"/>
                <w:b/>
                <w:bCs/>
                <w:color w:val="000000"/>
                <w:sz w:val="16"/>
                <w:szCs w:val="16"/>
              </w:rPr>
              <w:t>19 46</w:t>
            </w:r>
            <w:r w:rsidR="00C729AD">
              <w:rPr>
                <w:rFonts w:ascii="Arial" w:hAnsi="Arial" w:cs="Arial"/>
                <w:b/>
                <w:bCs/>
                <w:color w:val="000000"/>
                <w:sz w:val="16"/>
                <w:szCs w:val="16"/>
              </w:rPr>
              <w:t>6</w:t>
            </w:r>
          </w:p>
        </w:tc>
        <w:tc>
          <w:tcPr>
            <w:tcW w:w="1100" w:type="pct"/>
            <w:tcBorders>
              <w:top w:val="nil"/>
              <w:left w:val="nil"/>
              <w:bottom w:val="nil"/>
              <w:right w:val="nil"/>
            </w:tcBorders>
            <w:shd w:val="clear" w:color="000000" w:fill="FFFFFF"/>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19 381</w:t>
            </w:r>
          </w:p>
        </w:tc>
      </w:tr>
      <w:tr w:rsidR="00A1700F" w:rsidTr="00A1700F">
        <w:trPr>
          <w:trHeight w:val="283"/>
        </w:trPr>
        <w:tc>
          <w:tcPr>
            <w:tcW w:w="2799"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Zobowiązania z tytułu dostaw i usług oraz pozostałe zobowiązania</w:t>
            </w:r>
          </w:p>
        </w:tc>
        <w:tc>
          <w:tcPr>
            <w:tcW w:w="1101" w:type="pct"/>
            <w:tcBorders>
              <w:top w:val="nil"/>
              <w:left w:val="nil"/>
              <w:bottom w:val="nil"/>
              <w:right w:val="nil"/>
            </w:tcBorders>
            <w:shd w:val="clear" w:color="auto" w:fill="auto"/>
            <w:vAlign w:val="center"/>
            <w:hideMark/>
          </w:tcPr>
          <w:p w:rsidR="00A1700F" w:rsidRDefault="00A1700F" w:rsidP="00C729AD">
            <w:pPr>
              <w:jc w:val="right"/>
              <w:rPr>
                <w:rFonts w:ascii="Arial" w:hAnsi="Arial" w:cs="Arial"/>
                <w:color w:val="000000"/>
                <w:sz w:val="16"/>
                <w:szCs w:val="16"/>
              </w:rPr>
            </w:pPr>
            <w:r>
              <w:rPr>
                <w:rFonts w:ascii="Arial" w:hAnsi="Arial" w:cs="Arial"/>
                <w:color w:val="000000"/>
                <w:sz w:val="16"/>
                <w:szCs w:val="16"/>
              </w:rPr>
              <w:t>16 24</w:t>
            </w:r>
            <w:r w:rsidR="00C729AD">
              <w:rPr>
                <w:rFonts w:ascii="Arial" w:hAnsi="Arial" w:cs="Arial"/>
                <w:color w:val="000000"/>
                <w:sz w:val="16"/>
                <w:szCs w:val="16"/>
              </w:rPr>
              <w:t>6</w:t>
            </w:r>
          </w:p>
        </w:tc>
        <w:tc>
          <w:tcPr>
            <w:tcW w:w="1100" w:type="pct"/>
            <w:tcBorders>
              <w:top w:val="nil"/>
              <w:left w:val="nil"/>
              <w:bottom w:val="nil"/>
              <w:right w:val="nil"/>
            </w:tcBorders>
            <w:shd w:val="clear" w:color="000000" w:fill="FFFFFF"/>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13 657</w:t>
            </w:r>
          </w:p>
        </w:tc>
      </w:tr>
      <w:tr w:rsidR="00A1700F" w:rsidTr="00A1700F">
        <w:trPr>
          <w:trHeight w:val="283"/>
        </w:trPr>
        <w:tc>
          <w:tcPr>
            <w:tcW w:w="2799"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Kredyty, pożyczki i inne źródła finansowania</w:t>
            </w:r>
          </w:p>
        </w:tc>
        <w:tc>
          <w:tcPr>
            <w:tcW w:w="1101" w:type="pct"/>
            <w:tcBorders>
              <w:top w:val="nil"/>
              <w:left w:val="nil"/>
              <w:bottom w:val="nil"/>
              <w:right w:val="nil"/>
            </w:tcBorders>
            <w:shd w:val="clear" w:color="auto" w:fill="auto"/>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3 062</w:t>
            </w:r>
          </w:p>
        </w:tc>
        <w:tc>
          <w:tcPr>
            <w:tcW w:w="1100" w:type="pct"/>
            <w:tcBorders>
              <w:top w:val="nil"/>
              <w:left w:val="nil"/>
              <w:bottom w:val="nil"/>
              <w:right w:val="nil"/>
            </w:tcBorders>
            <w:shd w:val="clear" w:color="000000" w:fill="FFFFFF"/>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5 507</w:t>
            </w:r>
          </w:p>
        </w:tc>
      </w:tr>
      <w:tr w:rsidR="00A1700F" w:rsidTr="00A1700F">
        <w:trPr>
          <w:trHeight w:val="283"/>
        </w:trPr>
        <w:tc>
          <w:tcPr>
            <w:tcW w:w="2799"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Zobowiązania z tytułu bieżącego podatku dochodowego</w:t>
            </w:r>
          </w:p>
        </w:tc>
        <w:tc>
          <w:tcPr>
            <w:tcW w:w="1101" w:type="pct"/>
            <w:tcBorders>
              <w:top w:val="nil"/>
              <w:left w:val="nil"/>
              <w:bottom w:val="nil"/>
              <w:right w:val="nil"/>
            </w:tcBorders>
            <w:shd w:val="clear" w:color="auto" w:fill="auto"/>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158</w:t>
            </w:r>
          </w:p>
        </w:tc>
        <w:tc>
          <w:tcPr>
            <w:tcW w:w="1100" w:type="pct"/>
            <w:tcBorders>
              <w:top w:val="nil"/>
              <w:left w:val="nil"/>
              <w:bottom w:val="nil"/>
              <w:right w:val="nil"/>
            </w:tcBorders>
            <w:shd w:val="clear" w:color="000000" w:fill="FFFFFF"/>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158</w:t>
            </w:r>
          </w:p>
        </w:tc>
      </w:tr>
      <w:tr w:rsidR="00A1700F" w:rsidTr="00A1700F">
        <w:trPr>
          <w:trHeight w:val="283"/>
        </w:trPr>
        <w:tc>
          <w:tcPr>
            <w:tcW w:w="2799"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Zobowiązania z tytułu świadczeń pracowniczych</w:t>
            </w:r>
          </w:p>
        </w:tc>
        <w:tc>
          <w:tcPr>
            <w:tcW w:w="1101" w:type="pct"/>
            <w:tcBorders>
              <w:top w:val="nil"/>
              <w:left w:val="nil"/>
              <w:bottom w:val="nil"/>
              <w:right w:val="nil"/>
            </w:tcBorders>
            <w:shd w:val="clear" w:color="auto" w:fill="auto"/>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w:t>
            </w:r>
          </w:p>
        </w:tc>
        <w:tc>
          <w:tcPr>
            <w:tcW w:w="1100" w:type="pct"/>
            <w:tcBorders>
              <w:top w:val="nil"/>
              <w:left w:val="nil"/>
              <w:bottom w:val="nil"/>
              <w:right w:val="nil"/>
            </w:tcBorders>
            <w:shd w:val="clear" w:color="000000" w:fill="FFFFFF"/>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59</w:t>
            </w:r>
          </w:p>
        </w:tc>
      </w:tr>
      <w:tr w:rsidR="00A1700F" w:rsidTr="00A1700F">
        <w:trPr>
          <w:trHeight w:val="283"/>
        </w:trPr>
        <w:tc>
          <w:tcPr>
            <w:tcW w:w="2799" w:type="pct"/>
            <w:tcBorders>
              <w:top w:val="nil"/>
              <w:left w:val="nil"/>
              <w:bottom w:val="nil"/>
              <w:right w:val="nil"/>
            </w:tcBorders>
            <w:shd w:val="clear" w:color="auto" w:fill="auto"/>
            <w:vAlign w:val="center"/>
            <w:hideMark/>
          </w:tcPr>
          <w:p w:rsidR="00A1700F" w:rsidRDefault="00A1700F">
            <w:pPr>
              <w:rPr>
                <w:rFonts w:ascii="Arial" w:hAnsi="Arial" w:cs="Arial"/>
                <w:b/>
                <w:bCs/>
                <w:color w:val="000000"/>
                <w:sz w:val="16"/>
                <w:szCs w:val="16"/>
              </w:rPr>
            </w:pPr>
            <w:r>
              <w:rPr>
                <w:rFonts w:ascii="Arial" w:hAnsi="Arial" w:cs="Arial"/>
                <w:b/>
                <w:bCs/>
                <w:color w:val="000000"/>
                <w:sz w:val="16"/>
                <w:szCs w:val="16"/>
              </w:rPr>
              <w:t>Zobowiązania wchodzące w skład  grupy zbycia</w:t>
            </w:r>
          </w:p>
        </w:tc>
        <w:tc>
          <w:tcPr>
            <w:tcW w:w="1101" w:type="pct"/>
            <w:tcBorders>
              <w:top w:val="nil"/>
              <w:left w:val="nil"/>
              <w:bottom w:val="nil"/>
              <w:right w:val="nil"/>
            </w:tcBorders>
            <w:shd w:val="clear" w:color="auto" w:fill="auto"/>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210</w:t>
            </w:r>
          </w:p>
        </w:tc>
        <w:tc>
          <w:tcPr>
            <w:tcW w:w="1100" w:type="pct"/>
            <w:tcBorders>
              <w:top w:val="nil"/>
              <w:left w:val="nil"/>
              <w:bottom w:val="nil"/>
              <w:right w:val="nil"/>
            </w:tcBorders>
            <w:shd w:val="clear" w:color="auto" w:fill="auto"/>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w:t>
            </w:r>
          </w:p>
        </w:tc>
      </w:tr>
      <w:tr w:rsidR="00A1700F" w:rsidTr="00A1700F">
        <w:trPr>
          <w:trHeight w:val="283"/>
        </w:trPr>
        <w:tc>
          <w:tcPr>
            <w:tcW w:w="2799" w:type="pct"/>
            <w:tcBorders>
              <w:top w:val="nil"/>
              <w:left w:val="nil"/>
              <w:bottom w:val="nil"/>
              <w:right w:val="nil"/>
            </w:tcBorders>
            <w:shd w:val="clear" w:color="auto" w:fill="auto"/>
            <w:vAlign w:val="center"/>
            <w:hideMark/>
          </w:tcPr>
          <w:p w:rsidR="00A1700F" w:rsidRDefault="00A1700F">
            <w:pPr>
              <w:rPr>
                <w:rFonts w:ascii="Arial" w:hAnsi="Arial" w:cs="Arial"/>
                <w:b/>
                <w:bCs/>
                <w:color w:val="000000"/>
                <w:sz w:val="16"/>
                <w:szCs w:val="16"/>
              </w:rPr>
            </w:pPr>
            <w:r>
              <w:rPr>
                <w:rFonts w:ascii="Arial" w:hAnsi="Arial" w:cs="Arial"/>
                <w:b/>
                <w:bCs/>
                <w:color w:val="000000"/>
                <w:sz w:val="16"/>
                <w:szCs w:val="16"/>
              </w:rPr>
              <w:t>RAZEM PASYWA</w:t>
            </w:r>
          </w:p>
        </w:tc>
        <w:tc>
          <w:tcPr>
            <w:tcW w:w="1101" w:type="pct"/>
            <w:tcBorders>
              <w:top w:val="single" w:sz="8" w:space="0" w:color="auto"/>
              <w:left w:val="nil"/>
              <w:bottom w:val="single" w:sz="8" w:space="0" w:color="auto"/>
              <w:right w:val="nil"/>
            </w:tcBorders>
            <w:shd w:val="clear" w:color="000000" w:fill="FFFFFF"/>
            <w:noWrap/>
            <w:vAlign w:val="center"/>
            <w:hideMark/>
          </w:tcPr>
          <w:p w:rsidR="00A1700F" w:rsidRDefault="00A1700F" w:rsidP="00C729AD">
            <w:pPr>
              <w:jc w:val="right"/>
              <w:rPr>
                <w:rFonts w:ascii="Arial" w:hAnsi="Arial" w:cs="Arial"/>
                <w:b/>
                <w:bCs/>
                <w:color w:val="000000"/>
                <w:sz w:val="16"/>
                <w:szCs w:val="16"/>
              </w:rPr>
            </w:pPr>
            <w:r>
              <w:rPr>
                <w:rFonts w:ascii="Arial" w:hAnsi="Arial" w:cs="Arial"/>
                <w:b/>
                <w:bCs/>
                <w:color w:val="000000"/>
                <w:sz w:val="16"/>
                <w:szCs w:val="16"/>
              </w:rPr>
              <w:t>190 19</w:t>
            </w:r>
            <w:r w:rsidR="00C729AD">
              <w:rPr>
                <w:rFonts w:ascii="Arial" w:hAnsi="Arial" w:cs="Arial"/>
                <w:b/>
                <w:bCs/>
                <w:color w:val="000000"/>
                <w:sz w:val="16"/>
                <w:szCs w:val="16"/>
              </w:rPr>
              <w:t>6</w:t>
            </w:r>
          </w:p>
        </w:tc>
        <w:tc>
          <w:tcPr>
            <w:tcW w:w="1100" w:type="pct"/>
            <w:tcBorders>
              <w:top w:val="single" w:sz="8" w:space="0" w:color="auto"/>
              <w:left w:val="nil"/>
              <w:bottom w:val="single" w:sz="8" w:space="0" w:color="auto"/>
              <w:right w:val="nil"/>
            </w:tcBorders>
            <w:shd w:val="clear" w:color="000000" w:fill="FFFFFF"/>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172 010</w:t>
            </w:r>
          </w:p>
        </w:tc>
      </w:tr>
    </w:tbl>
    <w:p w:rsidR="00997255" w:rsidRDefault="00997255" w:rsidP="008866A0">
      <w:pPr>
        <w:tabs>
          <w:tab w:val="left" w:pos="540"/>
        </w:tabs>
        <w:rPr>
          <w:rFonts w:ascii="Arial" w:hAnsi="Arial" w:cs="Arial"/>
          <w:sz w:val="18"/>
          <w:szCs w:val="18"/>
          <w:highlight w:val="yellow"/>
        </w:rPr>
      </w:pPr>
    </w:p>
    <w:p w:rsidR="00997255" w:rsidRPr="00F451D4" w:rsidRDefault="00997255" w:rsidP="008866A0">
      <w:pPr>
        <w:tabs>
          <w:tab w:val="left" w:pos="540"/>
        </w:tabs>
        <w:rPr>
          <w:rFonts w:ascii="Arial" w:hAnsi="Arial" w:cs="Arial"/>
          <w:sz w:val="18"/>
          <w:szCs w:val="18"/>
          <w:highlight w:val="yellow"/>
        </w:rPr>
      </w:pPr>
    </w:p>
    <w:p w:rsidR="00640A95" w:rsidRDefault="00640A95">
      <w:pPr>
        <w:rPr>
          <w:rFonts w:ascii="Arial" w:hAnsi="Arial" w:cs="Arial"/>
          <w:b/>
        </w:rPr>
      </w:pPr>
      <w:r>
        <w:rPr>
          <w:rFonts w:ascii="Arial" w:hAnsi="Arial" w:cs="Arial"/>
          <w:b/>
        </w:rPr>
        <w:br w:type="page"/>
      </w:r>
    </w:p>
    <w:p w:rsidR="008866A0" w:rsidRPr="00D80B55" w:rsidRDefault="008866A0" w:rsidP="008866A0">
      <w:pPr>
        <w:tabs>
          <w:tab w:val="left" w:pos="540"/>
        </w:tabs>
        <w:rPr>
          <w:rFonts w:ascii="Arial" w:hAnsi="Arial" w:cs="Arial"/>
          <w:b/>
        </w:rPr>
      </w:pPr>
      <w:r w:rsidRPr="00D80B55">
        <w:rPr>
          <w:rFonts w:ascii="Arial" w:hAnsi="Arial" w:cs="Arial"/>
          <w:b/>
        </w:rPr>
        <w:lastRenderedPageBreak/>
        <w:t>Śródroczne skrócone sprawozdanie z całkowitych dochodów</w:t>
      </w:r>
    </w:p>
    <w:p w:rsidR="008866A0" w:rsidRPr="00F451D4" w:rsidRDefault="008866A0" w:rsidP="00A1700F">
      <w:pPr>
        <w:tabs>
          <w:tab w:val="left" w:pos="540"/>
        </w:tabs>
        <w:rPr>
          <w:rFonts w:ascii="Arial" w:hAnsi="Arial" w:cs="Arial"/>
          <w:b/>
          <w:highlight w:val="yellow"/>
        </w:rPr>
      </w:pPr>
    </w:p>
    <w:tbl>
      <w:tblPr>
        <w:tblW w:w="5000" w:type="pct"/>
        <w:tblCellMar>
          <w:left w:w="70" w:type="dxa"/>
          <w:right w:w="70" w:type="dxa"/>
        </w:tblCellMar>
        <w:tblLook w:val="04A0" w:firstRow="1" w:lastRow="0" w:firstColumn="1" w:lastColumn="0" w:noHBand="0" w:noVBand="1"/>
      </w:tblPr>
      <w:tblGrid>
        <w:gridCol w:w="3482"/>
        <w:gridCol w:w="1432"/>
        <w:gridCol w:w="1432"/>
        <w:gridCol w:w="1432"/>
        <w:gridCol w:w="1432"/>
      </w:tblGrid>
      <w:tr w:rsidR="00A1700F" w:rsidTr="00A1700F">
        <w:trPr>
          <w:trHeight w:val="340"/>
        </w:trPr>
        <w:tc>
          <w:tcPr>
            <w:tcW w:w="1935" w:type="pct"/>
            <w:tcBorders>
              <w:top w:val="nil"/>
              <w:left w:val="nil"/>
              <w:bottom w:val="nil"/>
              <w:right w:val="nil"/>
            </w:tcBorders>
            <w:shd w:val="clear" w:color="auto" w:fill="auto"/>
            <w:noWrap/>
            <w:vAlign w:val="bottom"/>
            <w:hideMark/>
          </w:tcPr>
          <w:p w:rsidR="00A1700F" w:rsidRDefault="00A1700F">
            <w:pPr>
              <w:rPr>
                <w:color w:val="000000"/>
                <w:sz w:val="22"/>
                <w:szCs w:val="22"/>
              </w:rPr>
            </w:pPr>
          </w:p>
        </w:tc>
        <w:tc>
          <w:tcPr>
            <w:tcW w:w="761" w:type="pct"/>
            <w:tcBorders>
              <w:top w:val="nil"/>
              <w:left w:val="nil"/>
              <w:bottom w:val="nil"/>
              <w:right w:val="nil"/>
            </w:tcBorders>
            <w:shd w:val="clear" w:color="auto" w:fill="auto"/>
            <w:noWrap/>
            <w:vAlign w:val="center"/>
            <w:hideMark/>
          </w:tcPr>
          <w:p w:rsidR="00A1700F" w:rsidRDefault="00A1700F">
            <w:pPr>
              <w:jc w:val="center"/>
              <w:rPr>
                <w:rFonts w:ascii="Arial" w:hAnsi="Arial" w:cs="Arial"/>
                <w:b/>
                <w:bCs/>
                <w:color w:val="000000"/>
                <w:sz w:val="16"/>
                <w:szCs w:val="16"/>
              </w:rPr>
            </w:pPr>
            <w:r>
              <w:rPr>
                <w:rFonts w:ascii="Arial" w:hAnsi="Arial" w:cs="Arial"/>
                <w:b/>
                <w:bCs/>
                <w:color w:val="000000"/>
                <w:sz w:val="16"/>
                <w:szCs w:val="16"/>
              </w:rPr>
              <w:t>za 3 miesiące</w:t>
            </w:r>
          </w:p>
        </w:tc>
        <w:tc>
          <w:tcPr>
            <w:tcW w:w="761" w:type="pct"/>
            <w:tcBorders>
              <w:top w:val="nil"/>
              <w:left w:val="nil"/>
              <w:bottom w:val="nil"/>
              <w:right w:val="nil"/>
            </w:tcBorders>
            <w:shd w:val="clear" w:color="auto" w:fill="auto"/>
            <w:noWrap/>
            <w:vAlign w:val="center"/>
            <w:hideMark/>
          </w:tcPr>
          <w:p w:rsidR="00A1700F" w:rsidRDefault="00A1700F">
            <w:pPr>
              <w:jc w:val="center"/>
              <w:rPr>
                <w:rFonts w:ascii="Arial" w:hAnsi="Arial" w:cs="Arial"/>
                <w:b/>
                <w:bCs/>
                <w:color w:val="000000"/>
                <w:sz w:val="16"/>
                <w:szCs w:val="16"/>
              </w:rPr>
            </w:pPr>
            <w:r>
              <w:rPr>
                <w:rFonts w:ascii="Arial" w:hAnsi="Arial" w:cs="Arial"/>
                <w:b/>
                <w:bCs/>
                <w:color w:val="000000"/>
                <w:sz w:val="16"/>
                <w:szCs w:val="16"/>
              </w:rPr>
              <w:t>za 9 miesięcy</w:t>
            </w:r>
          </w:p>
        </w:tc>
        <w:tc>
          <w:tcPr>
            <w:tcW w:w="761" w:type="pct"/>
            <w:tcBorders>
              <w:top w:val="nil"/>
              <w:left w:val="nil"/>
              <w:bottom w:val="nil"/>
              <w:right w:val="nil"/>
            </w:tcBorders>
            <w:shd w:val="clear" w:color="auto" w:fill="auto"/>
            <w:noWrap/>
            <w:vAlign w:val="center"/>
            <w:hideMark/>
          </w:tcPr>
          <w:p w:rsidR="00A1700F" w:rsidRDefault="00A1700F">
            <w:pPr>
              <w:jc w:val="center"/>
              <w:rPr>
                <w:rFonts w:ascii="Arial" w:hAnsi="Arial" w:cs="Arial"/>
                <w:b/>
                <w:bCs/>
                <w:color w:val="000000"/>
                <w:sz w:val="16"/>
                <w:szCs w:val="16"/>
              </w:rPr>
            </w:pPr>
            <w:r>
              <w:rPr>
                <w:rFonts w:ascii="Arial" w:hAnsi="Arial" w:cs="Arial"/>
                <w:b/>
                <w:bCs/>
                <w:color w:val="000000"/>
                <w:sz w:val="16"/>
                <w:szCs w:val="16"/>
              </w:rPr>
              <w:t>za 3 miesiące</w:t>
            </w:r>
          </w:p>
        </w:tc>
        <w:tc>
          <w:tcPr>
            <w:tcW w:w="781" w:type="pct"/>
            <w:tcBorders>
              <w:top w:val="nil"/>
              <w:left w:val="nil"/>
              <w:bottom w:val="nil"/>
              <w:right w:val="nil"/>
            </w:tcBorders>
            <w:shd w:val="clear" w:color="auto" w:fill="auto"/>
            <w:noWrap/>
            <w:vAlign w:val="center"/>
            <w:hideMark/>
          </w:tcPr>
          <w:p w:rsidR="00A1700F" w:rsidRDefault="00A1700F">
            <w:pPr>
              <w:jc w:val="center"/>
              <w:rPr>
                <w:rFonts w:ascii="Arial" w:hAnsi="Arial" w:cs="Arial"/>
                <w:b/>
                <w:bCs/>
                <w:color w:val="000000"/>
                <w:sz w:val="16"/>
                <w:szCs w:val="16"/>
              </w:rPr>
            </w:pPr>
            <w:r>
              <w:rPr>
                <w:rFonts w:ascii="Arial" w:hAnsi="Arial" w:cs="Arial"/>
                <w:b/>
                <w:bCs/>
                <w:color w:val="000000"/>
                <w:sz w:val="16"/>
                <w:szCs w:val="16"/>
              </w:rPr>
              <w:t>za 9 miesięcy</w:t>
            </w:r>
          </w:p>
        </w:tc>
      </w:tr>
      <w:tr w:rsidR="00A1700F" w:rsidTr="00A1700F">
        <w:trPr>
          <w:trHeight w:val="340"/>
        </w:trPr>
        <w:tc>
          <w:tcPr>
            <w:tcW w:w="1935" w:type="pct"/>
            <w:tcBorders>
              <w:top w:val="nil"/>
              <w:left w:val="nil"/>
              <w:bottom w:val="nil"/>
              <w:right w:val="nil"/>
            </w:tcBorders>
            <w:shd w:val="clear" w:color="auto" w:fill="auto"/>
            <w:noWrap/>
            <w:vAlign w:val="bottom"/>
            <w:hideMark/>
          </w:tcPr>
          <w:p w:rsidR="00A1700F" w:rsidRDefault="00A1700F">
            <w:pPr>
              <w:rPr>
                <w:color w:val="000000"/>
                <w:sz w:val="22"/>
                <w:szCs w:val="22"/>
              </w:rPr>
            </w:pPr>
          </w:p>
        </w:tc>
        <w:tc>
          <w:tcPr>
            <w:tcW w:w="761" w:type="pct"/>
            <w:tcBorders>
              <w:top w:val="nil"/>
              <w:left w:val="nil"/>
              <w:bottom w:val="nil"/>
              <w:right w:val="nil"/>
            </w:tcBorders>
            <w:shd w:val="clear" w:color="auto" w:fill="auto"/>
            <w:noWrap/>
            <w:vAlign w:val="center"/>
            <w:hideMark/>
          </w:tcPr>
          <w:p w:rsidR="00A1700F" w:rsidRDefault="00A1700F">
            <w:pPr>
              <w:jc w:val="center"/>
              <w:rPr>
                <w:rFonts w:ascii="Arial" w:hAnsi="Arial" w:cs="Arial"/>
                <w:b/>
                <w:bCs/>
                <w:color w:val="000000"/>
                <w:sz w:val="16"/>
                <w:szCs w:val="16"/>
              </w:rPr>
            </w:pPr>
            <w:r>
              <w:rPr>
                <w:rFonts w:ascii="Arial" w:hAnsi="Arial" w:cs="Arial"/>
                <w:b/>
                <w:bCs/>
                <w:color w:val="000000"/>
                <w:sz w:val="16"/>
                <w:szCs w:val="16"/>
              </w:rPr>
              <w:t xml:space="preserve">kończące się </w:t>
            </w:r>
          </w:p>
        </w:tc>
        <w:tc>
          <w:tcPr>
            <w:tcW w:w="761" w:type="pct"/>
            <w:tcBorders>
              <w:top w:val="nil"/>
              <w:left w:val="nil"/>
              <w:bottom w:val="nil"/>
              <w:right w:val="nil"/>
            </w:tcBorders>
            <w:shd w:val="clear" w:color="auto" w:fill="auto"/>
            <w:noWrap/>
            <w:vAlign w:val="center"/>
            <w:hideMark/>
          </w:tcPr>
          <w:p w:rsidR="00A1700F" w:rsidRDefault="00A1700F">
            <w:pPr>
              <w:jc w:val="center"/>
              <w:rPr>
                <w:rFonts w:ascii="Arial" w:hAnsi="Arial" w:cs="Arial"/>
                <w:b/>
                <w:bCs/>
                <w:color w:val="000000"/>
                <w:sz w:val="16"/>
                <w:szCs w:val="16"/>
              </w:rPr>
            </w:pPr>
            <w:r>
              <w:rPr>
                <w:rFonts w:ascii="Arial" w:hAnsi="Arial" w:cs="Arial"/>
                <w:b/>
                <w:bCs/>
                <w:color w:val="000000"/>
                <w:sz w:val="16"/>
                <w:szCs w:val="16"/>
              </w:rPr>
              <w:t>kończące się</w:t>
            </w:r>
          </w:p>
        </w:tc>
        <w:tc>
          <w:tcPr>
            <w:tcW w:w="761" w:type="pct"/>
            <w:tcBorders>
              <w:top w:val="nil"/>
              <w:left w:val="nil"/>
              <w:bottom w:val="nil"/>
              <w:right w:val="nil"/>
            </w:tcBorders>
            <w:shd w:val="clear" w:color="auto" w:fill="auto"/>
            <w:noWrap/>
            <w:vAlign w:val="center"/>
            <w:hideMark/>
          </w:tcPr>
          <w:p w:rsidR="00A1700F" w:rsidRDefault="00A1700F">
            <w:pPr>
              <w:jc w:val="center"/>
              <w:rPr>
                <w:rFonts w:ascii="Arial" w:hAnsi="Arial" w:cs="Arial"/>
                <w:b/>
                <w:bCs/>
                <w:color w:val="000000"/>
                <w:sz w:val="16"/>
                <w:szCs w:val="16"/>
              </w:rPr>
            </w:pPr>
            <w:r>
              <w:rPr>
                <w:rFonts w:ascii="Arial" w:hAnsi="Arial" w:cs="Arial"/>
                <w:b/>
                <w:bCs/>
                <w:color w:val="000000"/>
                <w:sz w:val="16"/>
                <w:szCs w:val="16"/>
              </w:rPr>
              <w:t xml:space="preserve">kończące się </w:t>
            </w:r>
          </w:p>
        </w:tc>
        <w:tc>
          <w:tcPr>
            <w:tcW w:w="781" w:type="pct"/>
            <w:tcBorders>
              <w:top w:val="nil"/>
              <w:left w:val="nil"/>
              <w:bottom w:val="nil"/>
              <w:right w:val="nil"/>
            </w:tcBorders>
            <w:shd w:val="clear" w:color="auto" w:fill="auto"/>
            <w:noWrap/>
            <w:vAlign w:val="center"/>
            <w:hideMark/>
          </w:tcPr>
          <w:p w:rsidR="00A1700F" w:rsidRDefault="00A1700F">
            <w:pPr>
              <w:jc w:val="center"/>
              <w:rPr>
                <w:rFonts w:ascii="Arial" w:hAnsi="Arial" w:cs="Arial"/>
                <w:b/>
                <w:bCs/>
                <w:color w:val="000000"/>
                <w:sz w:val="16"/>
                <w:szCs w:val="16"/>
              </w:rPr>
            </w:pPr>
            <w:r>
              <w:rPr>
                <w:rFonts w:ascii="Arial" w:hAnsi="Arial" w:cs="Arial"/>
                <w:b/>
                <w:bCs/>
                <w:color w:val="000000"/>
                <w:sz w:val="16"/>
                <w:szCs w:val="16"/>
              </w:rPr>
              <w:t>kończące się</w:t>
            </w:r>
          </w:p>
        </w:tc>
      </w:tr>
      <w:tr w:rsidR="00A1700F" w:rsidTr="00A1700F">
        <w:trPr>
          <w:trHeight w:val="340"/>
        </w:trPr>
        <w:tc>
          <w:tcPr>
            <w:tcW w:w="1935" w:type="pct"/>
            <w:tcBorders>
              <w:top w:val="nil"/>
              <w:left w:val="nil"/>
              <w:bottom w:val="single" w:sz="8" w:space="0" w:color="auto"/>
              <w:right w:val="nil"/>
            </w:tcBorders>
            <w:shd w:val="clear" w:color="auto" w:fill="auto"/>
            <w:noWrap/>
            <w:vAlign w:val="center"/>
            <w:hideMark/>
          </w:tcPr>
          <w:p w:rsidR="00A1700F" w:rsidRDefault="00A1700F">
            <w:pPr>
              <w:rPr>
                <w:rFonts w:ascii="Arial" w:hAnsi="Arial" w:cs="Arial"/>
                <w:b/>
                <w:bCs/>
                <w:color w:val="000000"/>
                <w:sz w:val="16"/>
                <w:szCs w:val="16"/>
                <w:u w:val="single"/>
              </w:rPr>
            </w:pPr>
            <w:r>
              <w:rPr>
                <w:rFonts w:ascii="Arial" w:hAnsi="Arial" w:cs="Arial"/>
                <w:b/>
                <w:bCs/>
                <w:color w:val="000000"/>
                <w:sz w:val="16"/>
                <w:szCs w:val="16"/>
                <w:u w:val="single"/>
              </w:rPr>
              <w:t>Rachunek zysków i strat</w:t>
            </w:r>
          </w:p>
        </w:tc>
        <w:tc>
          <w:tcPr>
            <w:tcW w:w="761" w:type="pct"/>
            <w:tcBorders>
              <w:top w:val="nil"/>
              <w:left w:val="nil"/>
              <w:bottom w:val="single" w:sz="8" w:space="0" w:color="auto"/>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30 września 2021</w:t>
            </w:r>
          </w:p>
        </w:tc>
        <w:tc>
          <w:tcPr>
            <w:tcW w:w="761" w:type="pct"/>
            <w:tcBorders>
              <w:top w:val="nil"/>
              <w:left w:val="nil"/>
              <w:bottom w:val="single" w:sz="8" w:space="0" w:color="auto"/>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30 września 2021</w:t>
            </w:r>
          </w:p>
        </w:tc>
        <w:tc>
          <w:tcPr>
            <w:tcW w:w="761" w:type="pct"/>
            <w:tcBorders>
              <w:top w:val="nil"/>
              <w:left w:val="nil"/>
              <w:bottom w:val="single" w:sz="8" w:space="0" w:color="auto"/>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30 września 2020</w:t>
            </w:r>
          </w:p>
        </w:tc>
        <w:tc>
          <w:tcPr>
            <w:tcW w:w="781" w:type="pct"/>
            <w:tcBorders>
              <w:top w:val="nil"/>
              <w:left w:val="nil"/>
              <w:bottom w:val="single" w:sz="8" w:space="0" w:color="auto"/>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30 września 2020</w:t>
            </w:r>
          </w:p>
        </w:tc>
      </w:tr>
      <w:tr w:rsidR="00A1700F" w:rsidTr="00A1700F">
        <w:trPr>
          <w:trHeight w:val="340"/>
        </w:trPr>
        <w:tc>
          <w:tcPr>
            <w:tcW w:w="1935" w:type="pct"/>
            <w:tcBorders>
              <w:top w:val="nil"/>
              <w:left w:val="nil"/>
              <w:bottom w:val="nil"/>
              <w:right w:val="nil"/>
            </w:tcBorders>
            <w:shd w:val="clear" w:color="auto" w:fill="auto"/>
            <w:noWrap/>
            <w:vAlign w:val="center"/>
            <w:hideMark/>
          </w:tcPr>
          <w:p w:rsidR="00A1700F" w:rsidRDefault="00A1700F">
            <w:pPr>
              <w:rPr>
                <w:rFonts w:ascii="Arial" w:hAnsi="Arial" w:cs="Arial"/>
                <w:color w:val="000000"/>
                <w:sz w:val="16"/>
                <w:szCs w:val="16"/>
              </w:rPr>
            </w:pPr>
            <w:r>
              <w:rPr>
                <w:rFonts w:ascii="Arial" w:hAnsi="Arial" w:cs="Arial"/>
                <w:color w:val="000000"/>
                <w:sz w:val="16"/>
                <w:szCs w:val="16"/>
              </w:rPr>
              <w:t>Przychody ze sprzedaży</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18 965</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31 580</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9 983</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19 460</w:t>
            </w:r>
          </w:p>
        </w:tc>
      </w:tr>
      <w:tr w:rsidR="00A1700F" w:rsidTr="00A1700F">
        <w:trPr>
          <w:trHeight w:val="340"/>
        </w:trPr>
        <w:tc>
          <w:tcPr>
            <w:tcW w:w="1935" w:type="pct"/>
            <w:tcBorders>
              <w:top w:val="nil"/>
              <w:left w:val="nil"/>
              <w:bottom w:val="nil"/>
              <w:right w:val="nil"/>
            </w:tcBorders>
            <w:shd w:val="clear" w:color="auto" w:fill="auto"/>
            <w:noWrap/>
            <w:vAlign w:val="center"/>
            <w:hideMark/>
          </w:tcPr>
          <w:p w:rsidR="00A1700F" w:rsidRDefault="00A1700F">
            <w:pPr>
              <w:rPr>
                <w:rFonts w:ascii="Arial" w:hAnsi="Arial" w:cs="Arial"/>
                <w:color w:val="000000"/>
                <w:sz w:val="16"/>
                <w:szCs w:val="16"/>
              </w:rPr>
            </w:pPr>
            <w:r>
              <w:rPr>
                <w:rFonts w:ascii="Arial" w:hAnsi="Arial" w:cs="Arial"/>
                <w:color w:val="000000"/>
                <w:sz w:val="16"/>
                <w:szCs w:val="16"/>
              </w:rPr>
              <w:t xml:space="preserve">  Przychody ze sprzedaży usług</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18 905</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31 472</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9 936</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19 340</w:t>
            </w:r>
          </w:p>
        </w:tc>
      </w:tr>
      <w:tr w:rsidR="00A1700F" w:rsidTr="00A1700F">
        <w:trPr>
          <w:trHeight w:val="340"/>
        </w:trPr>
        <w:tc>
          <w:tcPr>
            <w:tcW w:w="1935" w:type="pct"/>
            <w:tcBorders>
              <w:top w:val="nil"/>
              <w:left w:val="nil"/>
              <w:bottom w:val="nil"/>
              <w:right w:val="nil"/>
            </w:tcBorders>
            <w:shd w:val="clear" w:color="auto" w:fill="auto"/>
            <w:noWrap/>
            <w:vAlign w:val="center"/>
            <w:hideMark/>
          </w:tcPr>
          <w:p w:rsidR="00A1700F" w:rsidRDefault="00A1700F">
            <w:pPr>
              <w:rPr>
                <w:rFonts w:ascii="Arial" w:hAnsi="Arial" w:cs="Arial"/>
                <w:color w:val="000000"/>
                <w:sz w:val="16"/>
                <w:szCs w:val="16"/>
              </w:rPr>
            </w:pPr>
            <w:r>
              <w:rPr>
                <w:rFonts w:ascii="Arial" w:hAnsi="Arial" w:cs="Arial"/>
                <w:color w:val="000000"/>
                <w:sz w:val="16"/>
                <w:szCs w:val="16"/>
              </w:rPr>
              <w:t xml:space="preserve">  Przychody ze sprzedaży towarów i materiałów</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59</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108</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47</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120</w:t>
            </w:r>
          </w:p>
        </w:tc>
      </w:tr>
      <w:tr w:rsidR="00A1700F" w:rsidTr="00A1700F">
        <w:trPr>
          <w:trHeight w:val="340"/>
        </w:trPr>
        <w:tc>
          <w:tcPr>
            <w:tcW w:w="1935"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Koszty sprzedanych produktów, towarów i materiałów</w:t>
            </w:r>
          </w:p>
        </w:tc>
        <w:tc>
          <w:tcPr>
            <w:tcW w:w="761" w:type="pct"/>
            <w:tcBorders>
              <w:top w:val="nil"/>
              <w:left w:val="nil"/>
              <w:bottom w:val="nil"/>
              <w:right w:val="nil"/>
            </w:tcBorders>
            <w:shd w:val="clear" w:color="auto" w:fill="auto"/>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11 780</w:t>
            </w:r>
          </w:p>
        </w:tc>
        <w:tc>
          <w:tcPr>
            <w:tcW w:w="761" w:type="pct"/>
            <w:tcBorders>
              <w:top w:val="nil"/>
              <w:left w:val="nil"/>
              <w:bottom w:val="nil"/>
              <w:right w:val="nil"/>
            </w:tcBorders>
            <w:shd w:val="clear" w:color="auto" w:fill="auto"/>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24 907</w:t>
            </w:r>
          </w:p>
        </w:tc>
        <w:tc>
          <w:tcPr>
            <w:tcW w:w="761" w:type="pct"/>
            <w:tcBorders>
              <w:top w:val="nil"/>
              <w:left w:val="nil"/>
              <w:bottom w:val="nil"/>
              <w:right w:val="nil"/>
            </w:tcBorders>
            <w:shd w:val="clear" w:color="auto" w:fill="auto"/>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6 753</w:t>
            </w:r>
          </w:p>
        </w:tc>
        <w:tc>
          <w:tcPr>
            <w:tcW w:w="781" w:type="pct"/>
            <w:tcBorders>
              <w:top w:val="nil"/>
              <w:left w:val="nil"/>
              <w:bottom w:val="nil"/>
              <w:right w:val="nil"/>
            </w:tcBorders>
            <w:shd w:val="clear" w:color="auto" w:fill="auto"/>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15 023</w:t>
            </w:r>
          </w:p>
        </w:tc>
      </w:tr>
      <w:tr w:rsidR="00A1700F" w:rsidTr="00A1700F">
        <w:trPr>
          <w:trHeight w:val="340"/>
        </w:trPr>
        <w:tc>
          <w:tcPr>
            <w:tcW w:w="1935" w:type="pct"/>
            <w:tcBorders>
              <w:top w:val="nil"/>
              <w:left w:val="nil"/>
              <w:bottom w:val="nil"/>
              <w:right w:val="nil"/>
            </w:tcBorders>
            <w:shd w:val="clear" w:color="auto" w:fill="auto"/>
            <w:noWrap/>
            <w:vAlign w:val="center"/>
            <w:hideMark/>
          </w:tcPr>
          <w:p w:rsidR="00A1700F" w:rsidRDefault="00A1700F">
            <w:pPr>
              <w:rPr>
                <w:rFonts w:ascii="Arial" w:hAnsi="Arial" w:cs="Arial"/>
                <w:color w:val="000000"/>
                <w:sz w:val="16"/>
                <w:szCs w:val="16"/>
              </w:rPr>
            </w:pPr>
            <w:r>
              <w:rPr>
                <w:rFonts w:ascii="Arial" w:hAnsi="Arial" w:cs="Arial"/>
                <w:color w:val="000000"/>
                <w:sz w:val="16"/>
                <w:szCs w:val="16"/>
              </w:rPr>
              <w:t xml:space="preserve">  Koszty sprzedanych usług</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11 747</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24 852</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6 736</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14 980</w:t>
            </w:r>
          </w:p>
        </w:tc>
      </w:tr>
      <w:tr w:rsidR="00A1700F" w:rsidTr="00A1700F">
        <w:trPr>
          <w:trHeight w:val="340"/>
        </w:trPr>
        <w:tc>
          <w:tcPr>
            <w:tcW w:w="1935"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 xml:space="preserve">  Wartość sprzedanych towarów i materiałów</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34</w:t>
            </w:r>
          </w:p>
        </w:tc>
        <w:tc>
          <w:tcPr>
            <w:tcW w:w="761" w:type="pct"/>
            <w:tcBorders>
              <w:top w:val="nil"/>
              <w:left w:val="nil"/>
              <w:bottom w:val="nil"/>
              <w:right w:val="nil"/>
            </w:tcBorders>
            <w:shd w:val="clear" w:color="auto" w:fill="auto"/>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55</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17</w:t>
            </w:r>
          </w:p>
        </w:tc>
        <w:tc>
          <w:tcPr>
            <w:tcW w:w="781" w:type="pct"/>
            <w:tcBorders>
              <w:top w:val="nil"/>
              <w:left w:val="nil"/>
              <w:bottom w:val="nil"/>
              <w:right w:val="nil"/>
            </w:tcBorders>
            <w:shd w:val="clear" w:color="auto" w:fill="auto"/>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43</w:t>
            </w:r>
          </w:p>
        </w:tc>
      </w:tr>
      <w:tr w:rsidR="00A1700F" w:rsidTr="00A1700F">
        <w:trPr>
          <w:trHeight w:val="340"/>
        </w:trPr>
        <w:tc>
          <w:tcPr>
            <w:tcW w:w="1935" w:type="pct"/>
            <w:tcBorders>
              <w:top w:val="nil"/>
              <w:left w:val="nil"/>
              <w:bottom w:val="nil"/>
              <w:right w:val="nil"/>
            </w:tcBorders>
            <w:shd w:val="clear" w:color="auto" w:fill="auto"/>
            <w:noWrap/>
            <w:vAlign w:val="center"/>
            <w:hideMark/>
          </w:tcPr>
          <w:p w:rsidR="00A1700F" w:rsidRDefault="00A1700F">
            <w:pPr>
              <w:rPr>
                <w:rFonts w:ascii="Arial" w:hAnsi="Arial" w:cs="Arial"/>
                <w:b/>
                <w:bCs/>
                <w:color w:val="000000"/>
                <w:sz w:val="16"/>
                <w:szCs w:val="16"/>
              </w:rPr>
            </w:pPr>
            <w:r>
              <w:rPr>
                <w:rFonts w:ascii="Arial" w:hAnsi="Arial" w:cs="Arial"/>
                <w:b/>
                <w:bCs/>
                <w:color w:val="000000"/>
                <w:sz w:val="16"/>
                <w:szCs w:val="16"/>
              </w:rPr>
              <w:t>Zysk brutto ze sprzedaży</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7 184</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6 673</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3 230</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4 437</w:t>
            </w:r>
          </w:p>
        </w:tc>
      </w:tr>
      <w:tr w:rsidR="00A1700F" w:rsidTr="00A1700F">
        <w:trPr>
          <w:trHeight w:val="340"/>
        </w:trPr>
        <w:tc>
          <w:tcPr>
            <w:tcW w:w="1935" w:type="pct"/>
            <w:tcBorders>
              <w:top w:val="nil"/>
              <w:left w:val="nil"/>
              <w:bottom w:val="nil"/>
              <w:right w:val="nil"/>
            </w:tcBorders>
            <w:shd w:val="clear" w:color="auto" w:fill="auto"/>
            <w:noWrap/>
            <w:vAlign w:val="center"/>
            <w:hideMark/>
          </w:tcPr>
          <w:p w:rsidR="00A1700F" w:rsidRDefault="00A1700F">
            <w:pPr>
              <w:rPr>
                <w:rFonts w:ascii="Arial" w:hAnsi="Arial" w:cs="Arial"/>
                <w:color w:val="000000"/>
                <w:sz w:val="16"/>
                <w:szCs w:val="16"/>
              </w:rPr>
            </w:pPr>
            <w:r>
              <w:rPr>
                <w:rFonts w:ascii="Arial" w:hAnsi="Arial" w:cs="Arial"/>
                <w:color w:val="000000"/>
                <w:sz w:val="16"/>
                <w:szCs w:val="16"/>
              </w:rPr>
              <w:t xml:space="preserve">Koszty sprzedaży </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632</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1 227</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505</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1 117</w:t>
            </w:r>
          </w:p>
        </w:tc>
      </w:tr>
      <w:tr w:rsidR="00A1700F" w:rsidTr="00A1700F">
        <w:trPr>
          <w:trHeight w:val="340"/>
        </w:trPr>
        <w:tc>
          <w:tcPr>
            <w:tcW w:w="1935" w:type="pct"/>
            <w:tcBorders>
              <w:top w:val="nil"/>
              <w:left w:val="nil"/>
              <w:bottom w:val="nil"/>
              <w:right w:val="nil"/>
            </w:tcBorders>
            <w:shd w:val="clear" w:color="auto" w:fill="auto"/>
            <w:noWrap/>
            <w:vAlign w:val="center"/>
            <w:hideMark/>
          </w:tcPr>
          <w:p w:rsidR="00A1700F" w:rsidRDefault="00A1700F">
            <w:pPr>
              <w:rPr>
                <w:rFonts w:ascii="Arial" w:hAnsi="Arial" w:cs="Arial"/>
                <w:color w:val="000000"/>
                <w:sz w:val="16"/>
                <w:szCs w:val="16"/>
              </w:rPr>
            </w:pPr>
            <w:r>
              <w:rPr>
                <w:rFonts w:ascii="Arial" w:hAnsi="Arial" w:cs="Arial"/>
                <w:color w:val="000000"/>
                <w:sz w:val="16"/>
                <w:szCs w:val="16"/>
              </w:rPr>
              <w:t>Koszty ogólnego zarządu</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1 498</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4 122</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1 018</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3 726</w:t>
            </w:r>
          </w:p>
        </w:tc>
      </w:tr>
      <w:tr w:rsidR="00A1700F" w:rsidTr="00A1700F">
        <w:trPr>
          <w:trHeight w:val="340"/>
        </w:trPr>
        <w:tc>
          <w:tcPr>
            <w:tcW w:w="1935" w:type="pct"/>
            <w:tcBorders>
              <w:top w:val="nil"/>
              <w:left w:val="nil"/>
              <w:bottom w:val="nil"/>
              <w:right w:val="nil"/>
            </w:tcBorders>
            <w:shd w:val="clear" w:color="auto" w:fill="auto"/>
            <w:noWrap/>
            <w:vAlign w:val="center"/>
            <w:hideMark/>
          </w:tcPr>
          <w:p w:rsidR="00A1700F" w:rsidRDefault="00A1700F">
            <w:pPr>
              <w:rPr>
                <w:rFonts w:ascii="Arial" w:hAnsi="Arial" w:cs="Arial"/>
                <w:color w:val="000000"/>
                <w:sz w:val="16"/>
                <w:szCs w:val="16"/>
              </w:rPr>
            </w:pPr>
            <w:r>
              <w:rPr>
                <w:rFonts w:ascii="Arial" w:hAnsi="Arial" w:cs="Arial"/>
                <w:color w:val="000000"/>
                <w:sz w:val="16"/>
                <w:szCs w:val="16"/>
              </w:rPr>
              <w:t>Pozostałe przychody i zyski operacyjne</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2 413</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2 960</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54</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2 024</w:t>
            </w:r>
          </w:p>
        </w:tc>
      </w:tr>
      <w:tr w:rsidR="00A1700F" w:rsidTr="00A1700F">
        <w:trPr>
          <w:trHeight w:val="340"/>
        </w:trPr>
        <w:tc>
          <w:tcPr>
            <w:tcW w:w="1935" w:type="pct"/>
            <w:tcBorders>
              <w:top w:val="nil"/>
              <w:left w:val="nil"/>
              <w:bottom w:val="nil"/>
              <w:right w:val="nil"/>
            </w:tcBorders>
            <w:shd w:val="clear" w:color="auto" w:fill="auto"/>
            <w:noWrap/>
            <w:vAlign w:val="center"/>
            <w:hideMark/>
          </w:tcPr>
          <w:p w:rsidR="00A1700F" w:rsidRDefault="00A1700F">
            <w:pPr>
              <w:rPr>
                <w:rFonts w:ascii="Arial" w:hAnsi="Arial" w:cs="Arial"/>
                <w:color w:val="000000"/>
                <w:sz w:val="16"/>
                <w:szCs w:val="16"/>
              </w:rPr>
            </w:pPr>
            <w:r>
              <w:rPr>
                <w:rFonts w:ascii="Arial" w:hAnsi="Arial" w:cs="Arial"/>
                <w:color w:val="000000"/>
                <w:sz w:val="16"/>
                <w:szCs w:val="16"/>
              </w:rPr>
              <w:t>Pozostałe koszty i straty operacyjne</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130</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328</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1 700</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7 634</w:t>
            </w:r>
          </w:p>
        </w:tc>
      </w:tr>
      <w:tr w:rsidR="00A1700F" w:rsidTr="00A1700F">
        <w:trPr>
          <w:trHeight w:val="340"/>
        </w:trPr>
        <w:tc>
          <w:tcPr>
            <w:tcW w:w="1935" w:type="pct"/>
            <w:tcBorders>
              <w:top w:val="nil"/>
              <w:left w:val="nil"/>
              <w:bottom w:val="nil"/>
              <w:right w:val="nil"/>
            </w:tcBorders>
            <w:shd w:val="clear" w:color="auto" w:fill="auto"/>
            <w:noWrap/>
            <w:vAlign w:val="center"/>
            <w:hideMark/>
          </w:tcPr>
          <w:p w:rsidR="00A1700F" w:rsidRDefault="00A1700F">
            <w:pPr>
              <w:rPr>
                <w:rFonts w:ascii="Arial" w:hAnsi="Arial" w:cs="Arial"/>
                <w:b/>
                <w:bCs/>
                <w:color w:val="000000"/>
                <w:sz w:val="16"/>
                <w:szCs w:val="16"/>
              </w:rPr>
            </w:pPr>
            <w:r>
              <w:rPr>
                <w:rFonts w:ascii="Arial" w:hAnsi="Arial" w:cs="Arial"/>
                <w:b/>
                <w:bCs/>
                <w:color w:val="000000"/>
                <w:sz w:val="16"/>
                <w:szCs w:val="16"/>
              </w:rPr>
              <w:t>Zysk z działalności operacyjnej</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7 337</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3 956</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61</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-6 016</w:t>
            </w:r>
          </w:p>
        </w:tc>
      </w:tr>
      <w:tr w:rsidR="00A1700F" w:rsidTr="00A1700F">
        <w:trPr>
          <w:trHeight w:val="340"/>
        </w:trPr>
        <w:tc>
          <w:tcPr>
            <w:tcW w:w="1935" w:type="pct"/>
            <w:tcBorders>
              <w:top w:val="nil"/>
              <w:left w:val="nil"/>
              <w:bottom w:val="nil"/>
              <w:right w:val="nil"/>
            </w:tcBorders>
            <w:shd w:val="clear" w:color="auto" w:fill="auto"/>
            <w:noWrap/>
            <w:vAlign w:val="center"/>
            <w:hideMark/>
          </w:tcPr>
          <w:p w:rsidR="00A1700F" w:rsidRDefault="00A1700F">
            <w:pPr>
              <w:rPr>
                <w:rFonts w:ascii="Arial" w:hAnsi="Arial" w:cs="Arial"/>
                <w:color w:val="000000"/>
                <w:sz w:val="16"/>
                <w:szCs w:val="16"/>
              </w:rPr>
            </w:pPr>
            <w:r>
              <w:rPr>
                <w:rFonts w:ascii="Arial" w:hAnsi="Arial" w:cs="Arial"/>
                <w:color w:val="000000"/>
                <w:sz w:val="16"/>
                <w:szCs w:val="16"/>
              </w:rPr>
              <w:t>Przychody finansowe</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53</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110</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w:t>
            </w:r>
          </w:p>
        </w:tc>
      </w:tr>
      <w:tr w:rsidR="00A1700F" w:rsidTr="00A1700F">
        <w:trPr>
          <w:trHeight w:val="340"/>
        </w:trPr>
        <w:tc>
          <w:tcPr>
            <w:tcW w:w="1935" w:type="pct"/>
            <w:tcBorders>
              <w:top w:val="nil"/>
              <w:left w:val="nil"/>
              <w:bottom w:val="nil"/>
              <w:right w:val="nil"/>
            </w:tcBorders>
            <w:shd w:val="clear" w:color="auto" w:fill="auto"/>
            <w:noWrap/>
            <w:vAlign w:val="center"/>
            <w:hideMark/>
          </w:tcPr>
          <w:p w:rsidR="00A1700F" w:rsidRDefault="00A1700F">
            <w:pPr>
              <w:rPr>
                <w:rFonts w:ascii="Arial" w:hAnsi="Arial" w:cs="Arial"/>
                <w:color w:val="000000"/>
                <w:sz w:val="16"/>
                <w:szCs w:val="16"/>
              </w:rPr>
            </w:pPr>
            <w:r>
              <w:rPr>
                <w:rFonts w:ascii="Arial" w:hAnsi="Arial" w:cs="Arial"/>
                <w:color w:val="000000"/>
                <w:sz w:val="16"/>
                <w:szCs w:val="16"/>
              </w:rPr>
              <w:t>Koszty finansowe</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361</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726</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286</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835</w:t>
            </w:r>
          </w:p>
        </w:tc>
      </w:tr>
      <w:tr w:rsidR="00A1700F" w:rsidTr="00A1700F">
        <w:trPr>
          <w:trHeight w:val="340"/>
        </w:trPr>
        <w:tc>
          <w:tcPr>
            <w:tcW w:w="1935"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Udziały w zyskach jednostek stowarzyszonych wycenianych metodą praw własności</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1 339</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250</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1 347</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50</w:t>
            </w:r>
          </w:p>
        </w:tc>
      </w:tr>
      <w:tr w:rsidR="00A1700F" w:rsidTr="00A1700F">
        <w:trPr>
          <w:trHeight w:val="340"/>
        </w:trPr>
        <w:tc>
          <w:tcPr>
            <w:tcW w:w="1935" w:type="pct"/>
            <w:tcBorders>
              <w:top w:val="nil"/>
              <w:left w:val="nil"/>
              <w:bottom w:val="nil"/>
              <w:right w:val="nil"/>
            </w:tcBorders>
            <w:shd w:val="clear" w:color="auto" w:fill="auto"/>
            <w:noWrap/>
            <w:vAlign w:val="center"/>
            <w:hideMark/>
          </w:tcPr>
          <w:p w:rsidR="00A1700F" w:rsidRDefault="00A1700F">
            <w:pPr>
              <w:rPr>
                <w:rFonts w:ascii="Arial" w:hAnsi="Arial" w:cs="Arial"/>
                <w:b/>
                <w:bCs/>
                <w:color w:val="000000"/>
                <w:sz w:val="16"/>
                <w:szCs w:val="16"/>
              </w:rPr>
            </w:pPr>
            <w:r>
              <w:rPr>
                <w:rFonts w:ascii="Arial" w:hAnsi="Arial" w:cs="Arial"/>
                <w:b/>
                <w:bCs/>
                <w:color w:val="000000"/>
                <w:sz w:val="16"/>
                <w:szCs w:val="16"/>
              </w:rPr>
              <w:t>Zysk przed opodatkowaniem</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8 369</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3 591</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1 120</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-6 801</w:t>
            </w:r>
          </w:p>
        </w:tc>
      </w:tr>
      <w:tr w:rsidR="00A1700F" w:rsidTr="00A1700F">
        <w:trPr>
          <w:trHeight w:val="340"/>
        </w:trPr>
        <w:tc>
          <w:tcPr>
            <w:tcW w:w="1935" w:type="pct"/>
            <w:tcBorders>
              <w:top w:val="nil"/>
              <w:left w:val="nil"/>
              <w:bottom w:val="nil"/>
              <w:right w:val="nil"/>
            </w:tcBorders>
            <w:shd w:val="clear" w:color="auto" w:fill="auto"/>
            <w:noWrap/>
            <w:vAlign w:val="center"/>
            <w:hideMark/>
          </w:tcPr>
          <w:p w:rsidR="00A1700F" w:rsidRDefault="00A1700F">
            <w:pPr>
              <w:rPr>
                <w:rFonts w:ascii="Arial" w:hAnsi="Arial" w:cs="Arial"/>
                <w:color w:val="000000"/>
                <w:sz w:val="16"/>
                <w:szCs w:val="16"/>
              </w:rPr>
            </w:pPr>
            <w:r>
              <w:rPr>
                <w:rFonts w:ascii="Arial" w:hAnsi="Arial" w:cs="Arial"/>
                <w:color w:val="000000"/>
                <w:sz w:val="16"/>
                <w:szCs w:val="16"/>
              </w:rPr>
              <w:t xml:space="preserve">Podatek dochodowy </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894</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8</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52</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-31</w:t>
            </w:r>
          </w:p>
        </w:tc>
      </w:tr>
      <w:tr w:rsidR="00A1700F" w:rsidTr="00A1700F">
        <w:trPr>
          <w:trHeight w:val="340"/>
        </w:trPr>
        <w:tc>
          <w:tcPr>
            <w:tcW w:w="1935" w:type="pct"/>
            <w:tcBorders>
              <w:top w:val="nil"/>
              <w:left w:val="nil"/>
              <w:bottom w:val="nil"/>
              <w:right w:val="nil"/>
            </w:tcBorders>
            <w:shd w:val="clear" w:color="auto" w:fill="auto"/>
            <w:noWrap/>
            <w:vAlign w:val="center"/>
            <w:hideMark/>
          </w:tcPr>
          <w:p w:rsidR="00A1700F" w:rsidRDefault="00A1700F">
            <w:pPr>
              <w:rPr>
                <w:rFonts w:ascii="Arial" w:hAnsi="Arial" w:cs="Arial"/>
                <w:color w:val="000000"/>
                <w:sz w:val="16"/>
                <w:szCs w:val="16"/>
              </w:rPr>
            </w:pPr>
            <w:r>
              <w:rPr>
                <w:rFonts w:ascii="Arial" w:hAnsi="Arial" w:cs="Arial"/>
                <w:color w:val="000000"/>
                <w:sz w:val="16"/>
                <w:szCs w:val="16"/>
              </w:rPr>
              <w:t>część bieżąca</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147</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-81</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40</w:t>
            </w:r>
          </w:p>
        </w:tc>
      </w:tr>
      <w:tr w:rsidR="00A1700F" w:rsidTr="00A1700F">
        <w:trPr>
          <w:trHeight w:val="340"/>
        </w:trPr>
        <w:tc>
          <w:tcPr>
            <w:tcW w:w="1935" w:type="pct"/>
            <w:tcBorders>
              <w:top w:val="nil"/>
              <w:left w:val="nil"/>
              <w:bottom w:val="nil"/>
              <w:right w:val="nil"/>
            </w:tcBorders>
            <w:shd w:val="clear" w:color="auto" w:fill="auto"/>
            <w:noWrap/>
            <w:vAlign w:val="center"/>
            <w:hideMark/>
          </w:tcPr>
          <w:p w:rsidR="00A1700F" w:rsidRDefault="00A1700F">
            <w:pPr>
              <w:rPr>
                <w:rFonts w:ascii="Arial" w:hAnsi="Arial" w:cs="Arial"/>
                <w:color w:val="000000"/>
                <w:sz w:val="16"/>
                <w:szCs w:val="16"/>
              </w:rPr>
            </w:pPr>
            <w:r>
              <w:rPr>
                <w:rFonts w:ascii="Arial" w:hAnsi="Arial" w:cs="Arial"/>
                <w:color w:val="000000"/>
                <w:sz w:val="16"/>
                <w:szCs w:val="16"/>
              </w:rPr>
              <w:t>część odroczona</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747</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89</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52</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-71</w:t>
            </w:r>
          </w:p>
        </w:tc>
      </w:tr>
      <w:tr w:rsidR="00A1700F" w:rsidTr="00A1700F">
        <w:trPr>
          <w:trHeight w:val="340"/>
        </w:trPr>
        <w:tc>
          <w:tcPr>
            <w:tcW w:w="1935" w:type="pct"/>
            <w:tcBorders>
              <w:top w:val="nil"/>
              <w:left w:val="nil"/>
              <w:bottom w:val="nil"/>
              <w:right w:val="nil"/>
            </w:tcBorders>
            <w:shd w:val="clear" w:color="auto" w:fill="auto"/>
            <w:noWrap/>
            <w:vAlign w:val="center"/>
            <w:hideMark/>
          </w:tcPr>
          <w:p w:rsidR="00A1700F" w:rsidRDefault="00A1700F">
            <w:pPr>
              <w:rPr>
                <w:rFonts w:ascii="Arial" w:hAnsi="Arial" w:cs="Arial"/>
                <w:b/>
                <w:bCs/>
                <w:color w:val="000000"/>
                <w:sz w:val="16"/>
                <w:szCs w:val="16"/>
              </w:rPr>
            </w:pPr>
            <w:r>
              <w:rPr>
                <w:rFonts w:ascii="Arial" w:hAnsi="Arial" w:cs="Arial"/>
                <w:b/>
                <w:bCs/>
                <w:color w:val="000000"/>
                <w:sz w:val="16"/>
                <w:szCs w:val="16"/>
              </w:rPr>
              <w:t xml:space="preserve">Zysk netto </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7 475</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3 582</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1 069</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-6 770</w:t>
            </w:r>
          </w:p>
        </w:tc>
      </w:tr>
      <w:tr w:rsidR="00A1700F" w:rsidTr="00A1700F">
        <w:trPr>
          <w:trHeight w:val="340"/>
        </w:trPr>
        <w:tc>
          <w:tcPr>
            <w:tcW w:w="1935"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Inne całkowite dochody, które nie zostaną przekwalifikowane na zyski lub straty:</w:t>
            </w:r>
          </w:p>
        </w:tc>
        <w:tc>
          <w:tcPr>
            <w:tcW w:w="761" w:type="pct"/>
            <w:tcBorders>
              <w:top w:val="nil"/>
              <w:left w:val="nil"/>
              <w:bottom w:val="nil"/>
              <w:right w:val="nil"/>
            </w:tcBorders>
            <w:shd w:val="clear" w:color="auto" w:fill="auto"/>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w:t>
            </w:r>
          </w:p>
        </w:tc>
        <w:tc>
          <w:tcPr>
            <w:tcW w:w="761" w:type="pct"/>
            <w:tcBorders>
              <w:top w:val="nil"/>
              <w:left w:val="nil"/>
              <w:bottom w:val="nil"/>
              <w:right w:val="nil"/>
            </w:tcBorders>
            <w:shd w:val="clear" w:color="auto" w:fill="auto"/>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w:t>
            </w:r>
          </w:p>
        </w:tc>
        <w:tc>
          <w:tcPr>
            <w:tcW w:w="761" w:type="pct"/>
            <w:tcBorders>
              <w:top w:val="nil"/>
              <w:left w:val="nil"/>
              <w:bottom w:val="nil"/>
              <w:right w:val="nil"/>
            </w:tcBorders>
            <w:shd w:val="clear" w:color="auto" w:fill="auto"/>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w:t>
            </w:r>
          </w:p>
        </w:tc>
        <w:tc>
          <w:tcPr>
            <w:tcW w:w="781" w:type="pct"/>
            <w:tcBorders>
              <w:top w:val="nil"/>
              <w:left w:val="nil"/>
              <w:bottom w:val="nil"/>
              <w:right w:val="nil"/>
            </w:tcBorders>
            <w:shd w:val="clear" w:color="auto" w:fill="auto"/>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w:t>
            </w:r>
          </w:p>
        </w:tc>
      </w:tr>
      <w:tr w:rsidR="00A1700F" w:rsidTr="00A1700F">
        <w:trPr>
          <w:trHeight w:val="340"/>
        </w:trPr>
        <w:tc>
          <w:tcPr>
            <w:tcW w:w="1935"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 xml:space="preserve">   Zyski/Straty aktuarialne z tytułu wyceny świadczeń po okresie zatrudnienia</w:t>
            </w:r>
          </w:p>
        </w:tc>
        <w:tc>
          <w:tcPr>
            <w:tcW w:w="761" w:type="pct"/>
            <w:tcBorders>
              <w:top w:val="nil"/>
              <w:left w:val="nil"/>
              <w:bottom w:val="nil"/>
              <w:right w:val="nil"/>
            </w:tcBorders>
            <w:shd w:val="clear" w:color="auto" w:fill="auto"/>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w:t>
            </w:r>
          </w:p>
        </w:tc>
        <w:tc>
          <w:tcPr>
            <w:tcW w:w="761" w:type="pct"/>
            <w:tcBorders>
              <w:top w:val="nil"/>
              <w:left w:val="nil"/>
              <w:bottom w:val="nil"/>
              <w:right w:val="nil"/>
            </w:tcBorders>
            <w:shd w:val="clear" w:color="auto" w:fill="auto"/>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w:t>
            </w:r>
          </w:p>
        </w:tc>
        <w:tc>
          <w:tcPr>
            <w:tcW w:w="761" w:type="pct"/>
            <w:tcBorders>
              <w:top w:val="nil"/>
              <w:left w:val="nil"/>
              <w:bottom w:val="nil"/>
              <w:right w:val="nil"/>
            </w:tcBorders>
            <w:shd w:val="clear" w:color="auto" w:fill="auto"/>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w:t>
            </w:r>
          </w:p>
        </w:tc>
        <w:tc>
          <w:tcPr>
            <w:tcW w:w="781" w:type="pct"/>
            <w:tcBorders>
              <w:top w:val="nil"/>
              <w:left w:val="nil"/>
              <w:bottom w:val="nil"/>
              <w:right w:val="nil"/>
            </w:tcBorders>
            <w:shd w:val="clear" w:color="auto" w:fill="auto"/>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w:t>
            </w:r>
          </w:p>
        </w:tc>
      </w:tr>
      <w:tr w:rsidR="00A1700F" w:rsidTr="00A1700F">
        <w:trPr>
          <w:trHeight w:val="340"/>
        </w:trPr>
        <w:tc>
          <w:tcPr>
            <w:tcW w:w="1935"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 xml:space="preserve">   Podatek dochodowy dotyczący zysków/strat aktuarialnych</w:t>
            </w:r>
          </w:p>
        </w:tc>
        <w:tc>
          <w:tcPr>
            <w:tcW w:w="761" w:type="pct"/>
            <w:tcBorders>
              <w:top w:val="nil"/>
              <w:left w:val="nil"/>
              <w:bottom w:val="nil"/>
              <w:right w:val="nil"/>
            </w:tcBorders>
            <w:shd w:val="clear" w:color="auto" w:fill="auto"/>
            <w:vAlign w:val="center"/>
            <w:hideMark/>
          </w:tcPr>
          <w:p w:rsidR="00A1700F" w:rsidRDefault="00A1700F">
            <w:pPr>
              <w:jc w:val="right"/>
              <w:rPr>
                <w:rFonts w:ascii="Arial" w:hAnsi="Arial" w:cs="Arial"/>
                <w:sz w:val="16"/>
                <w:szCs w:val="16"/>
              </w:rPr>
            </w:pPr>
            <w:r>
              <w:rPr>
                <w:rFonts w:ascii="Arial" w:hAnsi="Arial" w:cs="Arial"/>
                <w:sz w:val="16"/>
                <w:szCs w:val="16"/>
              </w:rPr>
              <w:t>-</w:t>
            </w:r>
          </w:p>
        </w:tc>
        <w:tc>
          <w:tcPr>
            <w:tcW w:w="761" w:type="pct"/>
            <w:tcBorders>
              <w:top w:val="nil"/>
              <w:left w:val="nil"/>
              <w:bottom w:val="nil"/>
              <w:right w:val="nil"/>
            </w:tcBorders>
            <w:shd w:val="clear" w:color="auto" w:fill="auto"/>
            <w:vAlign w:val="center"/>
            <w:hideMark/>
          </w:tcPr>
          <w:p w:rsidR="00A1700F" w:rsidRDefault="00A1700F">
            <w:pPr>
              <w:jc w:val="right"/>
              <w:rPr>
                <w:rFonts w:ascii="Arial" w:hAnsi="Arial" w:cs="Arial"/>
                <w:sz w:val="16"/>
                <w:szCs w:val="16"/>
              </w:rPr>
            </w:pPr>
            <w:r>
              <w:rPr>
                <w:rFonts w:ascii="Arial" w:hAnsi="Arial" w:cs="Arial"/>
                <w:sz w:val="16"/>
                <w:szCs w:val="16"/>
              </w:rPr>
              <w:t>-</w:t>
            </w:r>
          </w:p>
        </w:tc>
        <w:tc>
          <w:tcPr>
            <w:tcW w:w="761" w:type="pct"/>
            <w:tcBorders>
              <w:top w:val="nil"/>
              <w:left w:val="nil"/>
              <w:bottom w:val="nil"/>
              <w:right w:val="nil"/>
            </w:tcBorders>
            <w:shd w:val="clear" w:color="auto" w:fill="auto"/>
            <w:vAlign w:val="center"/>
            <w:hideMark/>
          </w:tcPr>
          <w:p w:rsidR="00A1700F" w:rsidRDefault="00A1700F">
            <w:pPr>
              <w:jc w:val="right"/>
              <w:rPr>
                <w:rFonts w:ascii="Arial" w:hAnsi="Arial" w:cs="Arial"/>
                <w:sz w:val="16"/>
                <w:szCs w:val="16"/>
              </w:rPr>
            </w:pPr>
            <w:r>
              <w:rPr>
                <w:rFonts w:ascii="Arial" w:hAnsi="Arial" w:cs="Arial"/>
                <w:sz w:val="16"/>
                <w:szCs w:val="16"/>
              </w:rPr>
              <w:t>-</w:t>
            </w:r>
          </w:p>
        </w:tc>
        <w:tc>
          <w:tcPr>
            <w:tcW w:w="781" w:type="pct"/>
            <w:tcBorders>
              <w:top w:val="nil"/>
              <w:left w:val="nil"/>
              <w:bottom w:val="nil"/>
              <w:right w:val="nil"/>
            </w:tcBorders>
            <w:shd w:val="clear" w:color="auto" w:fill="auto"/>
            <w:vAlign w:val="center"/>
            <w:hideMark/>
          </w:tcPr>
          <w:p w:rsidR="00A1700F" w:rsidRDefault="00A1700F">
            <w:pPr>
              <w:jc w:val="right"/>
              <w:rPr>
                <w:rFonts w:ascii="Arial" w:hAnsi="Arial" w:cs="Arial"/>
                <w:sz w:val="16"/>
                <w:szCs w:val="16"/>
              </w:rPr>
            </w:pPr>
            <w:r>
              <w:rPr>
                <w:rFonts w:ascii="Arial" w:hAnsi="Arial" w:cs="Arial"/>
                <w:sz w:val="16"/>
                <w:szCs w:val="16"/>
              </w:rPr>
              <w:t>-</w:t>
            </w:r>
          </w:p>
        </w:tc>
      </w:tr>
      <w:tr w:rsidR="00A1700F" w:rsidTr="00A1700F">
        <w:trPr>
          <w:trHeight w:val="340"/>
        </w:trPr>
        <w:tc>
          <w:tcPr>
            <w:tcW w:w="1935" w:type="pct"/>
            <w:tcBorders>
              <w:top w:val="single" w:sz="8" w:space="0" w:color="auto"/>
              <w:left w:val="nil"/>
              <w:bottom w:val="single" w:sz="8" w:space="0" w:color="auto"/>
              <w:right w:val="nil"/>
            </w:tcBorders>
            <w:shd w:val="clear" w:color="auto" w:fill="auto"/>
            <w:noWrap/>
            <w:vAlign w:val="center"/>
            <w:hideMark/>
          </w:tcPr>
          <w:p w:rsidR="00A1700F" w:rsidRDefault="00A1700F">
            <w:pPr>
              <w:rPr>
                <w:rFonts w:ascii="Arial" w:hAnsi="Arial" w:cs="Arial"/>
                <w:b/>
                <w:bCs/>
                <w:color w:val="000000"/>
                <w:sz w:val="16"/>
                <w:szCs w:val="16"/>
              </w:rPr>
            </w:pPr>
            <w:r>
              <w:rPr>
                <w:rFonts w:ascii="Arial" w:hAnsi="Arial" w:cs="Arial"/>
                <w:b/>
                <w:bCs/>
                <w:color w:val="000000"/>
                <w:sz w:val="16"/>
                <w:szCs w:val="16"/>
              </w:rPr>
              <w:t>CAŁKOWITE DOCHODY</w:t>
            </w:r>
          </w:p>
        </w:tc>
        <w:tc>
          <w:tcPr>
            <w:tcW w:w="761" w:type="pct"/>
            <w:tcBorders>
              <w:top w:val="single" w:sz="8" w:space="0" w:color="auto"/>
              <w:left w:val="nil"/>
              <w:bottom w:val="single" w:sz="8" w:space="0" w:color="auto"/>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7 475</w:t>
            </w:r>
          </w:p>
        </w:tc>
        <w:tc>
          <w:tcPr>
            <w:tcW w:w="761" w:type="pct"/>
            <w:tcBorders>
              <w:top w:val="single" w:sz="8" w:space="0" w:color="auto"/>
              <w:left w:val="nil"/>
              <w:bottom w:val="single" w:sz="8" w:space="0" w:color="auto"/>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3 582</w:t>
            </w:r>
          </w:p>
        </w:tc>
        <w:tc>
          <w:tcPr>
            <w:tcW w:w="761" w:type="pct"/>
            <w:tcBorders>
              <w:top w:val="single" w:sz="8" w:space="0" w:color="auto"/>
              <w:left w:val="nil"/>
              <w:bottom w:val="single" w:sz="8" w:space="0" w:color="auto"/>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1 069</w:t>
            </w:r>
          </w:p>
        </w:tc>
        <w:tc>
          <w:tcPr>
            <w:tcW w:w="781" w:type="pct"/>
            <w:tcBorders>
              <w:top w:val="single" w:sz="8" w:space="0" w:color="auto"/>
              <w:left w:val="nil"/>
              <w:bottom w:val="single" w:sz="8" w:space="0" w:color="auto"/>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-6 770</w:t>
            </w:r>
          </w:p>
        </w:tc>
      </w:tr>
      <w:tr w:rsidR="00A1700F" w:rsidTr="00A1700F">
        <w:trPr>
          <w:trHeight w:val="340"/>
        </w:trPr>
        <w:tc>
          <w:tcPr>
            <w:tcW w:w="1935" w:type="pct"/>
            <w:tcBorders>
              <w:top w:val="nil"/>
              <w:left w:val="nil"/>
              <w:bottom w:val="nil"/>
              <w:right w:val="nil"/>
            </w:tcBorders>
            <w:shd w:val="clear" w:color="auto" w:fill="auto"/>
            <w:noWrap/>
            <w:vAlign w:val="center"/>
            <w:hideMark/>
          </w:tcPr>
          <w:p w:rsidR="00A1700F" w:rsidRDefault="00A1700F">
            <w:pPr>
              <w:rPr>
                <w:rFonts w:ascii="Arial" w:hAnsi="Arial" w:cs="Arial"/>
                <w:color w:val="000000"/>
                <w:sz w:val="16"/>
                <w:szCs w:val="16"/>
              </w:rPr>
            </w:pPr>
            <w:r>
              <w:rPr>
                <w:rFonts w:ascii="Arial" w:hAnsi="Arial" w:cs="Arial"/>
                <w:color w:val="000000"/>
                <w:sz w:val="16"/>
                <w:szCs w:val="16"/>
              </w:rPr>
              <w:t>Zysk przypadający:</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b/>
                <w:bCs/>
                <w:color w:val="000000"/>
                <w:sz w:val="16"/>
                <w:szCs w:val="16"/>
              </w:rPr>
            </w:pP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b/>
                <w:bCs/>
                <w:color w:val="000000"/>
                <w:sz w:val="16"/>
                <w:szCs w:val="16"/>
              </w:rPr>
            </w:pPr>
          </w:p>
        </w:tc>
        <w:tc>
          <w:tcPr>
            <w:tcW w:w="761" w:type="pct"/>
            <w:tcBorders>
              <w:top w:val="nil"/>
              <w:left w:val="nil"/>
              <w:bottom w:val="nil"/>
              <w:right w:val="nil"/>
            </w:tcBorders>
            <w:shd w:val="clear" w:color="auto" w:fill="auto"/>
            <w:noWrap/>
            <w:vAlign w:val="bottom"/>
            <w:hideMark/>
          </w:tcPr>
          <w:p w:rsidR="00A1700F" w:rsidRDefault="00A1700F">
            <w:pPr>
              <w:rPr>
                <w:sz w:val="22"/>
                <w:szCs w:val="22"/>
              </w:rPr>
            </w:pPr>
          </w:p>
        </w:tc>
        <w:tc>
          <w:tcPr>
            <w:tcW w:w="781" w:type="pct"/>
            <w:tcBorders>
              <w:top w:val="nil"/>
              <w:left w:val="nil"/>
              <w:bottom w:val="nil"/>
              <w:right w:val="nil"/>
            </w:tcBorders>
            <w:shd w:val="clear" w:color="auto" w:fill="auto"/>
            <w:noWrap/>
            <w:vAlign w:val="bottom"/>
            <w:hideMark/>
          </w:tcPr>
          <w:p w:rsidR="00A1700F" w:rsidRDefault="00A1700F">
            <w:pPr>
              <w:rPr>
                <w:color w:val="000000"/>
                <w:sz w:val="22"/>
                <w:szCs w:val="22"/>
              </w:rPr>
            </w:pPr>
          </w:p>
        </w:tc>
      </w:tr>
      <w:tr w:rsidR="00A1700F" w:rsidTr="00A1700F">
        <w:trPr>
          <w:trHeight w:val="340"/>
        </w:trPr>
        <w:tc>
          <w:tcPr>
            <w:tcW w:w="1935" w:type="pct"/>
            <w:tcBorders>
              <w:top w:val="nil"/>
              <w:left w:val="nil"/>
              <w:bottom w:val="nil"/>
              <w:right w:val="nil"/>
            </w:tcBorders>
            <w:shd w:val="clear" w:color="auto" w:fill="auto"/>
            <w:noWrap/>
            <w:vAlign w:val="center"/>
            <w:hideMark/>
          </w:tcPr>
          <w:p w:rsidR="00A1700F" w:rsidRDefault="00A1700F">
            <w:pPr>
              <w:rPr>
                <w:rFonts w:ascii="Arial" w:hAnsi="Arial" w:cs="Arial"/>
                <w:color w:val="000000"/>
                <w:sz w:val="16"/>
                <w:szCs w:val="16"/>
              </w:rPr>
            </w:pPr>
            <w:r>
              <w:rPr>
                <w:rFonts w:ascii="Arial" w:hAnsi="Arial" w:cs="Arial"/>
                <w:color w:val="000000"/>
                <w:sz w:val="16"/>
                <w:szCs w:val="16"/>
              </w:rPr>
              <w:t>akcjonariuszom Jednostki Dominującej</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7 475</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3 582</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1 069</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-6 770</w:t>
            </w:r>
          </w:p>
        </w:tc>
      </w:tr>
      <w:tr w:rsidR="00A1700F" w:rsidTr="00A1700F">
        <w:trPr>
          <w:trHeight w:val="340"/>
        </w:trPr>
        <w:tc>
          <w:tcPr>
            <w:tcW w:w="1935" w:type="pct"/>
            <w:tcBorders>
              <w:top w:val="nil"/>
              <w:left w:val="nil"/>
              <w:bottom w:val="nil"/>
              <w:right w:val="nil"/>
            </w:tcBorders>
            <w:shd w:val="clear" w:color="auto" w:fill="auto"/>
            <w:noWrap/>
            <w:vAlign w:val="center"/>
            <w:hideMark/>
          </w:tcPr>
          <w:p w:rsidR="00A1700F" w:rsidRDefault="00A1700F">
            <w:pPr>
              <w:rPr>
                <w:rFonts w:ascii="Arial" w:hAnsi="Arial" w:cs="Arial"/>
                <w:color w:val="000000"/>
                <w:sz w:val="16"/>
                <w:szCs w:val="16"/>
              </w:rPr>
            </w:pPr>
            <w:r>
              <w:rPr>
                <w:rFonts w:ascii="Arial" w:hAnsi="Arial" w:cs="Arial"/>
                <w:color w:val="000000"/>
                <w:sz w:val="16"/>
                <w:szCs w:val="16"/>
              </w:rPr>
              <w:t>Łączne całkowite dochody przypadające:</w:t>
            </w:r>
          </w:p>
        </w:tc>
        <w:tc>
          <w:tcPr>
            <w:tcW w:w="761" w:type="pct"/>
            <w:tcBorders>
              <w:top w:val="nil"/>
              <w:left w:val="nil"/>
              <w:bottom w:val="nil"/>
              <w:right w:val="nil"/>
            </w:tcBorders>
            <w:shd w:val="clear" w:color="auto" w:fill="auto"/>
            <w:noWrap/>
            <w:vAlign w:val="center"/>
            <w:hideMark/>
          </w:tcPr>
          <w:p w:rsidR="00A1700F" w:rsidRDefault="00A1700F">
            <w:pPr>
              <w:rPr>
                <w:rFonts w:ascii="Arial" w:hAnsi="Arial" w:cs="Arial"/>
                <w:color w:val="000000"/>
                <w:sz w:val="16"/>
                <w:szCs w:val="16"/>
              </w:rPr>
            </w:pPr>
          </w:p>
        </w:tc>
        <w:tc>
          <w:tcPr>
            <w:tcW w:w="761" w:type="pct"/>
            <w:tcBorders>
              <w:top w:val="nil"/>
              <w:left w:val="nil"/>
              <w:bottom w:val="nil"/>
              <w:right w:val="nil"/>
            </w:tcBorders>
            <w:shd w:val="clear" w:color="auto" w:fill="auto"/>
            <w:noWrap/>
            <w:vAlign w:val="center"/>
            <w:hideMark/>
          </w:tcPr>
          <w:p w:rsidR="00A1700F" w:rsidRDefault="00A1700F">
            <w:pPr>
              <w:rPr>
                <w:rFonts w:ascii="Arial" w:hAnsi="Arial" w:cs="Arial"/>
                <w:color w:val="000000"/>
                <w:sz w:val="16"/>
                <w:szCs w:val="16"/>
              </w:rPr>
            </w:pPr>
          </w:p>
        </w:tc>
        <w:tc>
          <w:tcPr>
            <w:tcW w:w="761" w:type="pct"/>
            <w:tcBorders>
              <w:top w:val="nil"/>
              <w:left w:val="nil"/>
              <w:bottom w:val="nil"/>
              <w:right w:val="nil"/>
            </w:tcBorders>
            <w:shd w:val="clear" w:color="auto" w:fill="auto"/>
            <w:noWrap/>
            <w:vAlign w:val="bottom"/>
            <w:hideMark/>
          </w:tcPr>
          <w:p w:rsidR="00A1700F" w:rsidRDefault="00A1700F">
            <w:pPr>
              <w:rPr>
                <w:sz w:val="22"/>
                <w:szCs w:val="22"/>
              </w:rPr>
            </w:pPr>
          </w:p>
        </w:tc>
        <w:tc>
          <w:tcPr>
            <w:tcW w:w="781" w:type="pct"/>
            <w:tcBorders>
              <w:top w:val="nil"/>
              <w:left w:val="nil"/>
              <w:bottom w:val="nil"/>
              <w:right w:val="nil"/>
            </w:tcBorders>
            <w:shd w:val="clear" w:color="auto" w:fill="auto"/>
            <w:noWrap/>
            <w:vAlign w:val="bottom"/>
            <w:hideMark/>
          </w:tcPr>
          <w:p w:rsidR="00A1700F" w:rsidRDefault="00A1700F">
            <w:pPr>
              <w:rPr>
                <w:color w:val="000000"/>
                <w:sz w:val="22"/>
                <w:szCs w:val="22"/>
              </w:rPr>
            </w:pPr>
          </w:p>
        </w:tc>
      </w:tr>
      <w:tr w:rsidR="00A1700F" w:rsidTr="00A1700F">
        <w:trPr>
          <w:trHeight w:val="340"/>
        </w:trPr>
        <w:tc>
          <w:tcPr>
            <w:tcW w:w="1935" w:type="pct"/>
            <w:tcBorders>
              <w:top w:val="nil"/>
              <w:left w:val="nil"/>
              <w:bottom w:val="nil"/>
              <w:right w:val="nil"/>
            </w:tcBorders>
            <w:shd w:val="clear" w:color="auto" w:fill="auto"/>
            <w:noWrap/>
            <w:vAlign w:val="center"/>
            <w:hideMark/>
          </w:tcPr>
          <w:p w:rsidR="00A1700F" w:rsidRDefault="00A1700F">
            <w:pPr>
              <w:rPr>
                <w:rFonts w:ascii="Arial" w:hAnsi="Arial" w:cs="Arial"/>
                <w:color w:val="000000"/>
                <w:sz w:val="16"/>
                <w:szCs w:val="16"/>
              </w:rPr>
            </w:pPr>
            <w:r>
              <w:rPr>
                <w:rFonts w:ascii="Arial" w:hAnsi="Arial" w:cs="Arial"/>
                <w:color w:val="000000"/>
                <w:sz w:val="16"/>
                <w:szCs w:val="16"/>
              </w:rPr>
              <w:t>akcjonariuszom Jednostki Dominującej</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7 475</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3 582</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1 069</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-6 770</w:t>
            </w:r>
          </w:p>
        </w:tc>
      </w:tr>
      <w:tr w:rsidR="00A1700F" w:rsidTr="00A1700F">
        <w:trPr>
          <w:trHeight w:val="340"/>
        </w:trPr>
        <w:tc>
          <w:tcPr>
            <w:tcW w:w="1935" w:type="pct"/>
            <w:tcBorders>
              <w:top w:val="nil"/>
              <w:left w:val="nil"/>
              <w:bottom w:val="nil"/>
              <w:right w:val="nil"/>
            </w:tcBorders>
            <w:shd w:val="clear" w:color="auto" w:fill="auto"/>
            <w:noWrap/>
            <w:vAlign w:val="bottom"/>
            <w:hideMark/>
          </w:tcPr>
          <w:p w:rsidR="00A1700F" w:rsidRDefault="00A1700F">
            <w:pPr>
              <w:rPr>
                <w:rFonts w:ascii="Calibri" w:hAnsi="Calibri"/>
                <w:color w:val="000000"/>
                <w:sz w:val="22"/>
                <w:szCs w:val="22"/>
              </w:rPr>
            </w:pPr>
          </w:p>
        </w:tc>
        <w:tc>
          <w:tcPr>
            <w:tcW w:w="761" w:type="pct"/>
            <w:tcBorders>
              <w:top w:val="nil"/>
              <w:left w:val="nil"/>
              <w:bottom w:val="nil"/>
              <w:right w:val="nil"/>
            </w:tcBorders>
            <w:shd w:val="clear" w:color="auto" w:fill="auto"/>
            <w:noWrap/>
            <w:vAlign w:val="bottom"/>
            <w:hideMark/>
          </w:tcPr>
          <w:p w:rsidR="00A1700F" w:rsidRDefault="00A1700F">
            <w:pPr>
              <w:rPr>
                <w:rFonts w:ascii="Calibri" w:hAnsi="Calibri"/>
                <w:color w:val="000000"/>
                <w:sz w:val="22"/>
                <w:szCs w:val="22"/>
              </w:rPr>
            </w:pPr>
          </w:p>
        </w:tc>
        <w:tc>
          <w:tcPr>
            <w:tcW w:w="761" w:type="pct"/>
            <w:tcBorders>
              <w:top w:val="nil"/>
              <w:left w:val="nil"/>
              <w:bottom w:val="nil"/>
              <w:right w:val="nil"/>
            </w:tcBorders>
            <w:shd w:val="clear" w:color="auto" w:fill="auto"/>
            <w:noWrap/>
            <w:vAlign w:val="bottom"/>
            <w:hideMark/>
          </w:tcPr>
          <w:p w:rsidR="00A1700F" w:rsidRDefault="00A1700F">
            <w:pPr>
              <w:rPr>
                <w:rFonts w:ascii="Calibri" w:hAnsi="Calibri"/>
                <w:color w:val="000000"/>
                <w:sz w:val="22"/>
                <w:szCs w:val="22"/>
              </w:rPr>
            </w:pPr>
          </w:p>
        </w:tc>
        <w:tc>
          <w:tcPr>
            <w:tcW w:w="761" w:type="pct"/>
            <w:tcBorders>
              <w:top w:val="nil"/>
              <w:left w:val="nil"/>
              <w:bottom w:val="nil"/>
              <w:right w:val="nil"/>
            </w:tcBorders>
            <w:shd w:val="clear" w:color="auto" w:fill="auto"/>
            <w:noWrap/>
            <w:vAlign w:val="bottom"/>
            <w:hideMark/>
          </w:tcPr>
          <w:p w:rsidR="00A1700F" w:rsidRDefault="00A1700F">
            <w:pPr>
              <w:rPr>
                <w:rFonts w:ascii="Calibri" w:hAnsi="Calibri"/>
                <w:sz w:val="22"/>
                <w:szCs w:val="22"/>
              </w:rPr>
            </w:pPr>
          </w:p>
        </w:tc>
        <w:tc>
          <w:tcPr>
            <w:tcW w:w="781" w:type="pct"/>
            <w:tcBorders>
              <w:top w:val="nil"/>
              <w:left w:val="nil"/>
              <w:bottom w:val="nil"/>
              <w:right w:val="nil"/>
            </w:tcBorders>
            <w:shd w:val="clear" w:color="auto" w:fill="auto"/>
            <w:noWrap/>
            <w:vAlign w:val="bottom"/>
            <w:hideMark/>
          </w:tcPr>
          <w:p w:rsidR="00A1700F" w:rsidRDefault="00A1700F">
            <w:pPr>
              <w:rPr>
                <w:rFonts w:ascii="Calibri" w:hAnsi="Calibri"/>
                <w:color w:val="000000"/>
                <w:sz w:val="22"/>
                <w:szCs w:val="22"/>
              </w:rPr>
            </w:pPr>
          </w:p>
        </w:tc>
      </w:tr>
      <w:tr w:rsidR="00A1700F" w:rsidTr="00A1700F">
        <w:trPr>
          <w:trHeight w:val="340"/>
        </w:trPr>
        <w:tc>
          <w:tcPr>
            <w:tcW w:w="1935" w:type="pct"/>
            <w:tcBorders>
              <w:top w:val="nil"/>
              <w:left w:val="nil"/>
              <w:bottom w:val="nil"/>
              <w:right w:val="nil"/>
            </w:tcBorders>
            <w:shd w:val="clear" w:color="auto" w:fill="auto"/>
            <w:noWrap/>
            <w:vAlign w:val="bottom"/>
            <w:hideMark/>
          </w:tcPr>
          <w:p w:rsidR="00A1700F" w:rsidRDefault="00A1700F">
            <w:pPr>
              <w:rPr>
                <w:rFonts w:ascii="Calibri" w:hAnsi="Calibri"/>
                <w:color w:val="000000"/>
                <w:sz w:val="22"/>
                <w:szCs w:val="22"/>
              </w:rPr>
            </w:pPr>
          </w:p>
        </w:tc>
        <w:tc>
          <w:tcPr>
            <w:tcW w:w="761" w:type="pct"/>
            <w:tcBorders>
              <w:top w:val="nil"/>
              <w:left w:val="nil"/>
              <w:bottom w:val="nil"/>
              <w:right w:val="nil"/>
            </w:tcBorders>
            <w:shd w:val="clear" w:color="auto" w:fill="auto"/>
            <w:noWrap/>
            <w:vAlign w:val="bottom"/>
            <w:hideMark/>
          </w:tcPr>
          <w:p w:rsidR="00A1700F" w:rsidRDefault="00A1700F">
            <w:pPr>
              <w:rPr>
                <w:rFonts w:ascii="Calibri" w:hAnsi="Calibri"/>
                <w:color w:val="000000"/>
                <w:sz w:val="22"/>
                <w:szCs w:val="22"/>
              </w:rPr>
            </w:pPr>
          </w:p>
        </w:tc>
        <w:tc>
          <w:tcPr>
            <w:tcW w:w="761" w:type="pct"/>
            <w:tcBorders>
              <w:top w:val="nil"/>
              <w:left w:val="nil"/>
              <w:bottom w:val="nil"/>
              <w:right w:val="nil"/>
            </w:tcBorders>
            <w:shd w:val="clear" w:color="auto" w:fill="auto"/>
            <w:noWrap/>
            <w:vAlign w:val="bottom"/>
            <w:hideMark/>
          </w:tcPr>
          <w:p w:rsidR="00A1700F" w:rsidRDefault="00A1700F">
            <w:pPr>
              <w:rPr>
                <w:rFonts w:ascii="Calibri" w:hAnsi="Calibri"/>
                <w:color w:val="000000"/>
                <w:sz w:val="22"/>
                <w:szCs w:val="22"/>
              </w:rPr>
            </w:pPr>
          </w:p>
        </w:tc>
        <w:tc>
          <w:tcPr>
            <w:tcW w:w="761" w:type="pct"/>
            <w:tcBorders>
              <w:top w:val="nil"/>
              <w:left w:val="nil"/>
              <w:bottom w:val="nil"/>
              <w:right w:val="nil"/>
            </w:tcBorders>
            <w:shd w:val="clear" w:color="auto" w:fill="auto"/>
            <w:noWrap/>
            <w:vAlign w:val="bottom"/>
            <w:hideMark/>
          </w:tcPr>
          <w:p w:rsidR="00A1700F" w:rsidRDefault="00A1700F">
            <w:pPr>
              <w:rPr>
                <w:rFonts w:ascii="Calibri" w:hAnsi="Calibri"/>
                <w:color w:val="000000"/>
                <w:sz w:val="22"/>
                <w:szCs w:val="22"/>
              </w:rPr>
            </w:pPr>
          </w:p>
        </w:tc>
        <w:tc>
          <w:tcPr>
            <w:tcW w:w="781" w:type="pct"/>
            <w:tcBorders>
              <w:top w:val="nil"/>
              <w:left w:val="nil"/>
              <w:bottom w:val="nil"/>
              <w:right w:val="nil"/>
            </w:tcBorders>
            <w:shd w:val="clear" w:color="auto" w:fill="auto"/>
            <w:noWrap/>
            <w:vAlign w:val="bottom"/>
            <w:hideMark/>
          </w:tcPr>
          <w:p w:rsidR="00A1700F" w:rsidRDefault="00A1700F">
            <w:pPr>
              <w:rPr>
                <w:rFonts w:ascii="Calibri" w:hAnsi="Calibri"/>
                <w:color w:val="000000"/>
                <w:sz w:val="22"/>
                <w:szCs w:val="22"/>
              </w:rPr>
            </w:pPr>
          </w:p>
        </w:tc>
      </w:tr>
      <w:tr w:rsidR="00A1700F" w:rsidTr="00A1700F">
        <w:trPr>
          <w:trHeight w:val="340"/>
        </w:trPr>
        <w:tc>
          <w:tcPr>
            <w:tcW w:w="1935" w:type="pct"/>
            <w:tcBorders>
              <w:top w:val="nil"/>
              <w:left w:val="nil"/>
              <w:bottom w:val="nil"/>
              <w:right w:val="nil"/>
            </w:tcBorders>
            <w:shd w:val="clear" w:color="auto" w:fill="auto"/>
            <w:noWrap/>
            <w:vAlign w:val="center"/>
            <w:hideMark/>
          </w:tcPr>
          <w:p w:rsidR="00A1700F" w:rsidRDefault="00A1700F">
            <w:pPr>
              <w:rPr>
                <w:rFonts w:ascii="Arial" w:hAnsi="Arial" w:cs="Arial"/>
                <w:color w:val="000000"/>
                <w:sz w:val="16"/>
                <w:szCs w:val="16"/>
              </w:rPr>
            </w:pPr>
            <w:r>
              <w:rPr>
                <w:rFonts w:ascii="Arial" w:hAnsi="Arial" w:cs="Arial"/>
                <w:color w:val="000000"/>
                <w:sz w:val="16"/>
                <w:szCs w:val="16"/>
              </w:rPr>
              <w:t>Ilość akcji (w szt.)</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14 564 200</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14 564 200</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14 564 200</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14 564 200</w:t>
            </w:r>
          </w:p>
        </w:tc>
      </w:tr>
      <w:tr w:rsidR="00A1700F" w:rsidTr="00A1700F">
        <w:trPr>
          <w:trHeight w:val="340"/>
        </w:trPr>
        <w:tc>
          <w:tcPr>
            <w:tcW w:w="1935" w:type="pct"/>
            <w:tcBorders>
              <w:top w:val="nil"/>
              <w:left w:val="nil"/>
              <w:bottom w:val="nil"/>
              <w:right w:val="nil"/>
            </w:tcBorders>
            <w:shd w:val="clear" w:color="auto" w:fill="auto"/>
            <w:noWrap/>
            <w:vAlign w:val="center"/>
            <w:hideMark/>
          </w:tcPr>
          <w:p w:rsidR="00A1700F" w:rsidRDefault="00A1700F">
            <w:pPr>
              <w:rPr>
                <w:rFonts w:ascii="Arial" w:hAnsi="Arial" w:cs="Arial"/>
                <w:color w:val="000000"/>
                <w:sz w:val="16"/>
                <w:szCs w:val="16"/>
              </w:rPr>
            </w:pPr>
            <w:r>
              <w:rPr>
                <w:rFonts w:ascii="Arial" w:hAnsi="Arial" w:cs="Arial"/>
                <w:color w:val="000000"/>
                <w:sz w:val="16"/>
                <w:szCs w:val="16"/>
              </w:rPr>
              <w:t>Zysk netto na jedną akcję zwykłą (w zł)</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0,51</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0,25</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0,07</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-0,46</w:t>
            </w:r>
          </w:p>
        </w:tc>
      </w:tr>
      <w:tr w:rsidR="00A1700F" w:rsidTr="00A1700F">
        <w:trPr>
          <w:trHeight w:val="340"/>
        </w:trPr>
        <w:tc>
          <w:tcPr>
            <w:tcW w:w="1935" w:type="pct"/>
            <w:tcBorders>
              <w:top w:val="nil"/>
              <w:left w:val="nil"/>
              <w:bottom w:val="nil"/>
              <w:right w:val="nil"/>
            </w:tcBorders>
            <w:shd w:val="clear" w:color="auto" w:fill="auto"/>
            <w:noWrap/>
            <w:vAlign w:val="center"/>
            <w:hideMark/>
          </w:tcPr>
          <w:p w:rsidR="00A1700F" w:rsidRDefault="00A1700F">
            <w:pPr>
              <w:rPr>
                <w:rFonts w:ascii="Arial" w:hAnsi="Arial" w:cs="Arial"/>
                <w:color w:val="000000"/>
                <w:sz w:val="16"/>
                <w:szCs w:val="16"/>
              </w:rPr>
            </w:pPr>
            <w:r>
              <w:rPr>
                <w:rFonts w:ascii="Arial" w:hAnsi="Arial" w:cs="Arial"/>
                <w:color w:val="000000"/>
                <w:sz w:val="16"/>
                <w:szCs w:val="16"/>
              </w:rPr>
              <w:t>Rozwodniony zysk na jedną akcję (w zł)</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0,51</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0,25</w:t>
            </w:r>
          </w:p>
        </w:tc>
        <w:tc>
          <w:tcPr>
            <w:tcW w:w="76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0,07</w:t>
            </w:r>
          </w:p>
        </w:tc>
        <w:tc>
          <w:tcPr>
            <w:tcW w:w="781"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-0,46</w:t>
            </w:r>
          </w:p>
        </w:tc>
      </w:tr>
    </w:tbl>
    <w:p w:rsidR="008866A0" w:rsidRPr="00F451D4" w:rsidRDefault="008866A0" w:rsidP="008866A0">
      <w:pPr>
        <w:tabs>
          <w:tab w:val="left" w:pos="540"/>
        </w:tabs>
        <w:rPr>
          <w:rFonts w:ascii="Arial" w:hAnsi="Arial" w:cs="Arial"/>
          <w:sz w:val="18"/>
          <w:szCs w:val="18"/>
          <w:highlight w:val="yellow"/>
        </w:rPr>
      </w:pPr>
    </w:p>
    <w:p w:rsidR="008866A0" w:rsidRPr="00F451D4" w:rsidRDefault="008866A0" w:rsidP="008866A0">
      <w:pPr>
        <w:tabs>
          <w:tab w:val="left" w:pos="540"/>
        </w:tabs>
        <w:rPr>
          <w:rFonts w:ascii="Arial" w:hAnsi="Arial" w:cs="Arial"/>
          <w:sz w:val="18"/>
          <w:szCs w:val="18"/>
          <w:highlight w:val="yellow"/>
        </w:rPr>
      </w:pPr>
    </w:p>
    <w:p w:rsidR="008866A0" w:rsidRPr="00F451D4" w:rsidRDefault="008866A0" w:rsidP="008866A0">
      <w:pPr>
        <w:tabs>
          <w:tab w:val="left" w:pos="540"/>
        </w:tabs>
        <w:rPr>
          <w:rFonts w:ascii="Arial" w:hAnsi="Arial" w:cs="Arial"/>
          <w:sz w:val="18"/>
          <w:szCs w:val="18"/>
          <w:highlight w:val="yellow"/>
        </w:rPr>
      </w:pPr>
      <w:r w:rsidRPr="00F451D4">
        <w:rPr>
          <w:rFonts w:ascii="Arial" w:hAnsi="Arial" w:cs="Arial"/>
          <w:b/>
          <w:color w:val="FF0000"/>
          <w:highlight w:val="yellow"/>
        </w:rPr>
        <w:br w:type="page"/>
      </w:r>
      <w:r w:rsidRPr="00D80B55">
        <w:rPr>
          <w:rFonts w:ascii="Arial" w:hAnsi="Arial" w:cs="Arial"/>
          <w:b/>
        </w:rPr>
        <w:lastRenderedPageBreak/>
        <w:t>Śródroczne skrócone sprawozdanie ze zmian w kapitale własnym</w:t>
      </w:r>
    </w:p>
    <w:p w:rsidR="008866A0" w:rsidRPr="00F451D4" w:rsidRDefault="008866A0" w:rsidP="008866A0">
      <w:pPr>
        <w:tabs>
          <w:tab w:val="left" w:pos="540"/>
        </w:tabs>
        <w:jc w:val="center"/>
        <w:rPr>
          <w:rFonts w:ascii="Arial" w:hAnsi="Arial" w:cs="Arial"/>
          <w:sz w:val="18"/>
          <w:szCs w:val="18"/>
          <w:highlight w:val="yellow"/>
        </w:rPr>
      </w:pPr>
    </w:p>
    <w:p w:rsidR="008866A0" w:rsidRPr="00CD083C" w:rsidRDefault="008866A0" w:rsidP="008866A0">
      <w:pPr>
        <w:tabs>
          <w:tab w:val="left" w:pos="540"/>
        </w:tabs>
        <w:jc w:val="center"/>
        <w:rPr>
          <w:rFonts w:ascii="Arial" w:hAnsi="Arial" w:cs="Arial"/>
          <w:sz w:val="18"/>
          <w:szCs w:val="18"/>
          <w:highlight w:val="yellow"/>
        </w:rPr>
      </w:pPr>
    </w:p>
    <w:tbl>
      <w:tblPr>
        <w:tblW w:w="5000" w:type="pct"/>
        <w:tblCellMar>
          <w:left w:w="70" w:type="dxa"/>
          <w:right w:w="70" w:type="dxa"/>
        </w:tblCellMar>
        <w:tblLook w:val="04A0" w:firstRow="1" w:lastRow="0" w:firstColumn="1" w:lastColumn="0" w:noHBand="0" w:noVBand="1"/>
      </w:tblPr>
      <w:tblGrid>
        <w:gridCol w:w="2480"/>
        <w:gridCol w:w="1135"/>
        <w:gridCol w:w="1477"/>
        <w:gridCol w:w="1216"/>
        <w:gridCol w:w="1277"/>
        <w:gridCol w:w="1625"/>
      </w:tblGrid>
      <w:tr w:rsidR="00A1700F" w:rsidTr="00A1700F">
        <w:trPr>
          <w:trHeight w:val="345"/>
        </w:trPr>
        <w:tc>
          <w:tcPr>
            <w:tcW w:w="1346" w:type="pct"/>
            <w:tcBorders>
              <w:top w:val="nil"/>
              <w:left w:val="nil"/>
              <w:bottom w:val="nil"/>
              <w:right w:val="nil"/>
            </w:tcBorders>
            <w:shd w:val="clear" w:color="auto" w:fill="auto"/>
            <w:vAlign w:val="bottom"/>
            <w:hideMark/>
          </w:tcPr>
          <w:p w:rsidR="00A1700F" w:rsidRDefault="00A1700F">
            <w:pPr>
              <w:rPr>
                <w:sz w:val="22"/>
                <w:szCs w:val="22"/>
              </w:rPr>
            </w:pPr>
          </w:p>
        </w:tc>
        <w:tc>
          <w:tcPr>
            <w:tcW w:w="616" w:type="pct"/>
            <w:vMerge w:val="restart"/>
            <w:tcBorders>
              <w:top w:val="nil"/>
              <w:left w:val="nil"/>
              <w:bottom w:val="single" w:sz="8" w:space="0" w:color="000000"/>
              <w:right w:val="nil"/>
            </w:tcBorders>
            <w:shd w:val="clear" w:color="auto" w:fill="auto"/>
            <w:vAlign w:val="center"/>
            <w:hideMark/>
          </w:tcPr>
          <w:p w:rsidR="00A1700F" w:rsidRDefault="00A1700F">
            <w:pPr>
              <w:rPr>
                <w:rFonts w:ascii="Arial" w:hAnsi="Arial" w:cs="Arial"/>
                <w:b/>
                <w:bCs/>
                <w:sz w:val="16"/>
                <w:szCs w:val="16"/>
              </w:rPr>
            </w:pPr>
            <w:r>
              <w:rPr>
                <w:rFonts w:ascii="Arial" w:hAnsi="Arial" w:cs="Arial"/>
                <w:b/>
                <w:bCs/>
                <w:sz w:val="16"/>
                <w:szCs w:val="16"/>
              </w:rPr>
              <w:t>Kapitał akcyjny / podstawowy</w:t>
            </w:r>
          </w:p>
        </w:tc>
        <w:tc>
          <w:tcPr>
            <w:tcW w:w="802" w:type="pct"/>
            <w:vMerge w:val="restart"/>
            <w:tcBorders>
              <w:top w:val="nil"/>
              <w:left w:val="nil"/>
              <w:bottom w:val="single" w:sz="8" w:space="0" w:color="000000"/>
              <w:right w:val="nil"/>
            </w:tcBorders>
            <w:shd w:val="clear" w:color="auto" w:fill="auto"/>
            <w:vAlign w:val="center"/>
            <w:hideMark/>
          </w:tcPr>
          <w:p w:rsidR="00A1700F" w:rsidRDefault="00A1700F">
            <w:pPr>
              <w:jc w:val="center"/>
              <w:rPr>
                <w:rFonts w:ascii="Arial" w:hAnsi="Arial" w:cs="Arial"/>
                <w:b/>
                <w:bCs/>
                <w:sz w:val="16"/>
                <w:szCs w:val="16"/>
              </w:rPr>
            </w:pPr>
            <w:r>
              <w:rPr>
                <w:rFonts w:ascii="Arial" w:hAnsi="Arial" w:cs="Arial"/>
                <w:b/>
                <w:bCs/>
                <w:sz w:val="16"/>
                <w:szCs w:val="16"/>
              </w:rPr>
              <w:t>Nadwyżka wartości emisyjnej nad wartością nominalną akcji</w:t>
            </w:r>
          </w:p>
        </w:tc>
        <w:tc>
          <w:tcPr>
            <w:tcW w:w="660" w:type="pct"/>
            <w:vMerge w:val="restart"/>
            <w:tcBorders>
              <w:top w:val="nil"/>
              <w:left w:val="nil"/>
              <w:bottom w:val="single" w:sz="8" w:space="0" w:color="000000"/>
              <w:right w:val="nil"/>
            </w:tcBorders>
            <w:shd w:val="clear" w:color="auto" w:fill="auto"/>
            <w:vAlign w:val="center"/>
            <w:hideMark/>
          </w:tcPr>
          <w:p w:rsidR="00A1700F" w:rsidRDefault="00A1700F">
            <w:pPr>
              <w:jc w:val="center"/>
              <w:rPr>
                <w:rFonts w:ascii="Arial" w:hAnsi="Arial" w:cs="Arial"/>
                <w:b/>
                <w:bCs/>
                <w:sz w:val="16"/>
                <w:szCs w:val="16"/>
              </w:rPr>
            </w:pPr>
            <w:r>
              <w:rPr>
                <w:rFonts w:ascii="Arial" w:hAnsi="Arial" w:cs="Arial"/>
                <w:b/>
                <w:bCs/>
                <w:sz w:val="16"/>
                <w:szCs w:val="16"/>
              </w:rPr>
              <w:t>Zyski/Straty zatrzymane</w:t>
            </w:r>
          </w:p>
        </w:tc>
        <w:tc>
          <w:tcPr>
            <w:tcW w:w="693" w:type="pct"/>
            <w:vMerge w:val="restart"/>
            <w:tcBorders>
              <w:top w:val="nil"/>
              <w:left w:val="nil"/>
              <w:bottom w:val="single" w:sz="8" w:space="0" w:color="000000"/>
              <w:right w:val="nil"/>
            </w:tcBorders>
            <w:shd w:val="clear" w:color="auto" w:fill="auto"/>
            <w:vAlign w:val="center"/>
            <w:hideMark/>
          </w:tcPr>
          <w:p w:rsidR="00A1700F" w:rsidRDefault="00A1700F">
            <w:pPr>
              <w:jc w:val="center"/>
              <w:rPr>
                <w:rFonts w:ascii="Arial" w:hAnsi="Arial" w:cs="Arial"/>
                <w:b/>
                <w:bCs/>
                <w:sz w:val="16"/>
                <w:szCs w:val="16"/>
              </w:rPr>
            </w:pPr>
            <w:r>
              <w:rPr>
                <w:rFonts w:ascii="Arial" w:hAnsi="Arial" w:cs="Arial"/>
                <w:b/>
                <w:bCs/>
                <w:sz w:val="16"/>
                <w:szCs w:val="16"/>
              </w:rPr>
              <w:t>Pozostałe elementy kapitału własnego</w:t>
            </w:r>
          </w:p>
        </w:tc>
        <w:tc>
          <w:tcPr>
            <w:tcW w:w="882" w:type="pct"/>
            <w:vMerge w:val="restart"/>
            <w:tcBorders>
              <w:top w:val="nil"/>
              <w:left w:val="nil"/>
              <w:bottom w:val="single" w:sz="8" w:space="0" w:color="000000"/>
              <w:right w:val="nil"/>
            </w:tcBorders>
            <w:shd w:val="clear" w:color="auto" w:fill="auto"/>
            <w:vAlign w:val="center"/>
            <w:hideMark/>
          </w:tcPr>
          <w:p w:rsidR="00A1700F" w:rsidRDefault="00A1700F">
            <w:pPr>
              <w:jc w:val="center"/>
              <w:rPr>
                <w:rFonts w:ascii="Arial" w:hAnsi="Arial" w:cs="Arial"/>
                <w:b/>
                <w:bCs/>
                <w:sz w:val="16"/>
                <w:szCs w:val="16"/>
              </w:rPr>
            </w:pPr>
            <w:r>
              <w:rPr>
                <w:rFonts w:ascii="Arial" w:hAnsi="Arial" w:cs="Arial"/>
                <w:b/>
                <w:bCs/>
                <w:sz w:val="16"/>
                <w:szCs w:val="16"/>
              </w:rPr>
              <w:t>Razem kapitał własny</w:t>
            </w:r>
          </w:p>
        </w:tc>
      </w:tr>
      <w:tr w:rsidR="00A1700F" w:rsidTr="00A1700F">
        <w:trPr>
          <w:trHeight w:val="345"/>
        </w:trPr>
        <w:tc>
          <w:tcPr>
            <w:tcW w:w="1346" w:type="pct"/>
            <w:tcBorders>
              <w:top w:val="nil"/>
              <w:left w:val="nil"/>
              <w:bottom w:val="nil"/>
              <w:right w:val="nil"/>
            </w:tcBorders>
            <w:shd w:val="clear" w:color="auto" w:fill="auto"/>
            <w:vAlign w:val="bottom"/>
            <w:hideMark/>
          </w:tcPr>
          <w:p w:rsidR="00A1700F" w:rsidRDefault="00A1700F">
            <w:pPr>
              <w:rPr>
                <w:sz w:val="22"/>
                <w:szCs w:val="22"/>
              </w:rPr>
            </w:pPr>
          </w:p>
        </w:tc>
        <w:tc>
          <w:tcPr>
            <w:tcW w:w="616" w:type="pct"/>
            <w:vMerge/>
            <w:tcBorders>
              <w:top w:val="nil"/>
              <w:left w:val="nil"/>
              <w:bottom w:val="single" w:sz="8" w:space="0" w:color="000000"/>
              <w:right w:val="nil"/>
            </w:tcBorders>
            <w:vAlign w:val="center"/>
            <w:hideMark/>
          </w:tcPr>
          <w:p w:rsidR="00A1700F" w:rsidRDefault="00A1700F">
            <w:pPr>
              <w:rPr>
                <w:rFonts w:ascii="Arial" w:hAnsi="Arial" w:cs="Arial"/>
                <w:b/>
                <w:bCs/>
                <w:sz w:val="16"/>
                <w:szCs w:val="16"/>
              </w:rPr>
            </w:pPr>
          </w:p>
        </w:tc>
        <w:tc>
          <w:tcPr>
            <w:tcW w:w="802" w:type="pct"/>
            <w:vMerge/>
            <w:tcBorders>
              <w:top w:val="nil"/>
              <w:left w:val="nil"/>
              <w:bottom w:val="single" w:sz="8" w:space="0" w:color="000000"/>
              <w:right w:val="nil"/>
            </w:tcBorders>
            <w:vAlign w:val="center"/>
            <w:hideMark/>
          </w:tcPr>
          <w:p w:rsidR="00A1700F" w:rsidRDefault="00A1700F">
            <w:pPr>
              <w:rPr>
                <w:rFonts w:ascii="Arial" w:hAnsi="Arial" w:cs="Arial"/>
                <w:b/>
                <w:bCs/>
                <w:sz w:val="16"/>
                <w:szCs w:val="16"/>
              </w:rPr>
            </w:pPr>
          </w:p>
        </w:tc>
        <w:tc>
          <w:tcPr>
            <w:tcW w:w="660" w:type="pct"/>
            <w:vMerge/>
            <w:tcBorders>
              <w:top w:val="nil"/>
              <w:left w:val="nil"/>
              <w:bottom w:val="single" w:sz="8" w:space="0" w:color="000000"/>
              <w:right w:val="nil"/>
            </w:tcBorders>
            <w:vAlign w:val="center"/>
            <w:hideMark/>
          </w:tcPr>
          <w:p w:rsidR="00A1700F" w:rsidRDefault="00A1700F">
            <w:pPr>
              <w:rPr>
                <w:rFonts w:ascii="Arial" w:hAnsi="Arial" w:cs="Arial"/>
                <w:b/>
                <w:bCs/>
                <w:sz w:val="16"/>
                <w:szCs w:val="16"/>
              </w:rPr>
            </w:pPr>
          </w:p>
        </w:tc>
        <w:tc>
          <w:tcPr>
            <w:tcW w:w="693" w:type="pct"/>
            <w:vMerge/>
            <w:tcBorders>
              <w:top w:val="nil"/>
              <w:left w:val="nil"/>
              <w:bottom w:val="single" w:sz="8" w:space="0" w:color="000000"/>
              <w:right w:val="nil"/>
            </w:tcBorders>
            <w:vAlign w:val="center"/>
            <w:hideMark/>
          </w:tcPr>
          <w:p w:rsidR="00A1700F" w:rsidRDefault="00A1700F">
            <w:pPr>
              <w:rPr>
                <w:rFonts w:ascii="Arial" w:hAnsi="Arial" w:cs="Arial"/>
                <w:b/>
                <w:bCs/>
                <w:sz w:val="16"/>
                <w:szCs w:val="16"/>
              </w:rPr>
            </w:pPr>
          </w:p>
        </w:tc>
        <w:tc>
          <w:tcPr>
            <w:tcW w:w="882" w:type="pct"/>
            <w:vMerge/>
            <w:tcBorders>
              <w:top w:val="nil"/>
              <w:left w:val="nil"/>
              <w:bottom w:val="single" w:sz="8" w:space="0" w:color="000000"/>
              <w:right w:val="nil"/>
            </w:tcBorders>
            <w:vAlign w:val="center"/>
            <w:hideMark/>
          </w:tcPr>
          <w:p w:rsidR="00A1700F" w:rsidRDefault="00A1700F">
            <w:pPr>
              <w:rPr>
                <w:rFonts w:ascii="Arial" w:hAnsi="Arial" w:cs="Arial"/>
                <w:b/>
                <w:bCs/>
                <w:sz w:val="16"/>
                <w:szCs w:val="16"/>
              </w:rPr>
            </w:pPr>
          </w:p>
        </w:tc>
      </w:tr>
      <w:tr w:rsidR="00A1700F" w:rsidTr="00A1700F">
        <w:trPr>
          <w:trHeight w:val="345"/>
        </w:trPr>
        <w:tc>
          <w:tcPr>
            <w:tcW w:w="1346" w:type="pct"/>
            <w:tcBorders>
              <w:top w:val="nil"/>
              <w:left w:val="nil"/>
              <w:bottom w:val="nil"/>
              <w:right w:val="nil"/>
            </w:tcBorders>
            <w:shd w:val="clear" w:color="auto" w:fill="auto"/>
            <w:noWrap/>
            <w:vAlign w:val="center"/>
            <w:hideMark/>
          </w:tcPr>
          <w:p w:rsidR="00A1700F" w:rsidRDefault="00A1700F">
            <w:pPr>
              <w:rPr>
                <w:rFonts w:ascii="Arial" w:hAnsi="Arial" w:cs="Arial"/>
                <w:b/>
                <w:bCs/>
                <w:sz w:val="16"/>
                <w:szCs w:val="16"/>
              </w:rPr>
            </w:pPr>
            <w:r>
              <w:rPr>
                <w:rFonts w:ascii="Arial" w:hAnsi="Arial" w:cs="Arial"/>
                <w:b/>
                <w:bCs/>
                <w:sz w:val="16"/>
                <w:szCs w:val="16"/>
              </w:rPr>
              <w:t>Stan na 31.12. 2020r.</w:t>
            </w:r>
          </w:p>
        </w:tc>
        <w:tc>
          <w:tcPr>
            <w:tcW w:w="616" w:type="pct"/>
            <w:tcBorders>
              <w:top w:val="nil"/>
              <w:left w:val="nil"/>
              <w:bottom w:val="single" w:sz="8" w:space="0" w:color="auto"/>
              <w:right w:val="nil"/>
            </w:tcBorders>
            <w:shd w:val="clear" w:color="000000" w:fill="FFFFFF"/>
            <w:noWrap/>
            <w:vAlign w:val="center"/>
            <w:hideMark/>
          </w:tcPr>
          <w:p w:rsidR="00A1700F" w:rsidRDefault="00A1700F">
            <w:pPr>
              <w:jc w:val="right"/>
              <w:rPr>
                <w:rFonts w:ascii="Arial" w:hAnsi="Arial" w:cs="Arial"/>
                <w:b/>
                <w:bCs/>
                <w:sz w:val="16"/>
                <w:szCs w:val="16"/>
              </w:rPr>
            </w:pPr>
            <w:r>
              <w:rPr>
                <w:rFonts w:ascii="Arial" w:hAnsi="Arial" w:cs="Arial"/>
                <w:b/>
                <w:bCs/>
                <w:sz w:val="16"/>
                <w:szCs w:val="16"/>
              </w:rPr>
              <w:t>72 821</w:t>
            </w:r>
          </w:p>
        </w:tc>
        <w:tc>
          <w:tcPr>
            <w:tcW w:w="802" w:type="pct"/>
            <w:tcBorders>
              <w:top w:val="nil"/>
              <w:left w:val="nil"/>
              <w:bottom w:val="single" w:sz="8" w:space="0" w:color="auto"/>
              <w:right w:val="nil"/>
            </w:tcBorders>
            <w:shd w:val="clear" w:color="000000" w:fill="FFFFFF"/>
            <w:noWrap/>
            <w:vAlign w:val="center"/>
            <w:hideMark/>
          </w:tcPr>
          <w:p w:rsidR="00A1700F" w:rsidRDefault="00A1700F">
            <w:pPr>
              <w:jc w:val="right"/>
              <w:rPr>
                <w:rFonts w:ascii="Arial" w:hAnsi="Arial" w:cs="Arial"/>
                <w:b/>
                <w:bCs/>
                <w:sz w:val="16"/>
                <w:szCs w:val="16"/>
              </w:rPr>
            </w:pPr>
            <w:r>
              <w:rPr>
                <w:rFonts w:ascii="Arial" w:hAnsi="Arial" w:cs="Arial"/>
                <w:b/>
                <w:bCs/>
                <w:sz w:val="16"/>
                <w:szCs w:val="16"/>
              </w:rPr>
              <w:t>3 873</w:t>
            </w:r>
          </w:p>
        </w:tc>
        <w:tc>
          <w:tcPr>
            <w:tcW w:w="660" w:type="pct"/>
            <w:tcBorders>
              <w:top w:val="nil"/>
              <w:left w:val="nil"/>
              <w:bottom w:val="single" w:sz="8" w:space="0" w:color="auto"/>
              <w:right w:val="nil"/>
            </w:tcBorders>
            <w:shd w:val="clear" w:color="000000" w:fill="FFFFFF"/>
            <w:noWrap/>
            <w:vAlign w:val="center"/>
            <w:hideMark/>
          </w:tcPr>
          <w:p w:rsidR="00A1700F" w:rsidRDefault="00A1700F">
            <w:pPr>
              <w:jc w:val="right"/>
              <w:rPr>
                <w:rFonts w:ascii="Arial" w:hAnsi="Arial" w:cs="Arial"/>
                <w:b/>
                <w:bCs/>
                <w:sz w:val="16"/>
                <w:szCs w:val="16"/>
              </w:rPr>
            </w:pPr>
            <w:r>
              <w:rPr>
                <w:rFonts w:ascii="Arial" w:hAnsi="Arial" w:cs="Arial"/>
                <w:b/>
                <w:bCs/>
                <w:sz w:val="16"/>
                <w:szCs w:val="16"/>
              </w:rPr>
              <w:t>46 022</w:t>
            </w:r>
          </w:p>
        </w:tc>
        <w:tc>
          <w:tcPr>
            <w:tcW w:w="693" w:type="pct"/>
            <w:tcBorders>
              <w:top w:val="nil"/>
              <w:left w:val="nil"/>
              <w:bottom w:val="single" w:sz="8" w:space="0" w:color="auto"/>
              <w:right w:val="nil"/>
            </w:tcBorders>
            <w:shd w:val="clear" w:color="000000" w:fill="FFFFFF"/>
            <w:noWrap/>
            <w:vAlign w:val="center"/>
            <w:hideMark/>
          </w:tcPr>
          <w:p w:rsidR="00A1700F" w:rsidRDefault="00A1700F">
            <w:pPr>
              <w:jc w:val="right"/>
              <w:rPr>
                <w:rFonts w:ascii="Arial" w:hAnsi="Arial" w:cs="Arial"/>
                <w:b/>
                <w:bCs/>
                <w:sz w:val="16"/>
                <w:szCs w:val="16"/>
              </w:rPr>
            </w:pPr>
            <w:r>
              <w:rPr>
                <w:rFonts w:ascii="Arial" w:hAnsi="Arial" w:cs="Arial"/>
                <w:b/>
                <w:bCs/>
                <w:sz w:val="16"/>
                <w:szCs w:val="16"/>
              </w:rPr>
              <w:t>-82</w:t>
            </w:r>
          </w:p>
        </w:tc>
        <w:tc>
          <w:tcPr>
            <w:tcW w:w="882" w:type="pct"/>
            <w:tcBorders>
              <w:top w:val="nil"/>
              <w:left w:val="nil"/>
              <w:bottom w:val="single" w:sz="8" w:space="0" w:color="auto"/>
              <w:right w:val="nil"/>
            </w:tcBorders>
            <w:shd w:val="clear" w:color="000000" w:fill="FFFFFF"/>
            <w:noWrap/>
            <w:vAlign w:val="center"/>
            <w:hideMark/>
          </w:tcPr>
          <w:p w:rsidR="00A1700F" w:rsidRDefault="00A1700F">
            <w:pPr>
              <w:jc w:val="right"/>
              <w:rPr>
                <w:rFonts w:ascii="Arial" w:hAnsi="Arial" w:cs="Arial"/>
                <w:b/>
                <w:bCs/>
                <w:sz w:val="16"/>
                <w:szCs w:val="16"/>
              </w:rPr>
            </w:pPr>
            <w:r>
              <w:rPr>
                <w:rFonts w:ascii="Arial" w:hAnsi="Arial" w:cs="Arial"/>
                <w:b/>
                <w:bCs/>
                <w:sz w:val="16"/>
                <w:szCs w:val="16"/>
              </w:rPr>
              <w:t>122 634</w:t>
            </w:r>
          </w:p>
        </w:tc>
      </w:tr>
      <w:tr w:rsidR="00A1700F" w:rsidTr="00A1700F">
        <w:trPr>
          <w:trHeight w:val="345"/>
        </w:trPr>
        <w:tc>
          <w:tcPr>
            <w:tcW w:w="1346" w:type="pct"/>
            <w:tcBorders>
              <w:top w:val="nil"/>
              <w:left w:val="nil"/>
              <w:bottom w:val="nil"/>
              <w:right w:val="nil"/>
            </w:tcBorders>
            <w:shd w:val="clear" w:color="auto" w:fill="auto"/>
            <w:noWrap/>
            <w:vAlign w:val="center"/>
            <w:hideMark/>
          </w:tcPr>
          <w:p w:rsidR="00A1700F" w:rsidRDefault="00A1700F">
            <w:pPr>
              <w:rPr>
                <w:rFonts w:ascii="Arial" w:hAnsi="Arial" w:cs="Arial"/>
                <w:sz w:val="16"/>
                <w:szCs w:val="16"/>
              </w:rPr>
            </w:pPr>
            <w:r>
              <w:rPr>
                <w:rFonts w:ascii="Arial" w:hAnsi="Arial" w:cs="Arial"/>
                <w:sz w:val="16"/>
                <w:szCs w:val="16"/>
              </w:rPr>
              <w:t>Całkowite dochody</w:t>
            </w:r>
          </w:p>
        </w:tc>
        <w:tc>
          <w:tcPr>
            <w:tcW w:w="616" w:type="pct"/>
            <w:tcBorders>
              <w:top w:val="nil"/>
              <w:left w:val="nil"/>
              <w:bottom w:val="nil"/>
              <w:right w:val="nil"/>
            </w:tcBorders>
            <w:shd w:val="clear" w:color="auto" w:fill="auto"/>
            <w:noWrap/>
            <w:vAlign w:val="bottom"/>
            <w:hideMark/>
          </w:tcPr>
          <w:p w:rsidR="00A1700F" w:rsidRDefault="00A1700F">
            <w:pPr>
              <w:rPr>
                <w:sz w:val="22"/>
                <w:szCs w:val="22"/>
              </w:rPr>
            </w:pPr>
          </w:p>
        </w:tc>
        <w:tc>
          <w:tcPr>
            <w:tcW w:w="802" w:type="pct"/>
            <w:tcBorders>
              <w:top w:val="nil"/>
              <w:left w:val="nil"/>
              <w:bottom w:val="nil"/>
              <w:right w:val="nil"/>
            </w:tcBorders>
            <w:shd w:val="clear" w:color="auto" w:fill="auto"/>
            <w:noWrap/>
            <w:vAlign w:val="bottom"/>
            <w:hideMark/>
          </w:tcPr>
          <w:p w:rsidR="00A1700F" w:rsidRDefault="00A1700F">
            <w:pPr>
              <w:rPr>
                <w:sz w:val="22"/>
                <w:szCs w:val="22"/>
              </w:rPr>
            </w:pPr>
          </w:p>
        </w:tc>
        <w:tc>
          <w:tcPr>
            <w:tcW w:w="660" w:type="pct"/>
            <w:tcBorders>
              <w:top w:val="nil"/>
              <w:left w:val="nil"/>
              <w:bottom w:val="nil"/>
              <w:right w:val="nil"/>
            </w:tcBorders>
            <w:shd w:val="clear" w:color="auto" w:fill="auto"/>
            <w:noWrap/>
            <w:vAlign w:val="center"/>
            <w:hideMark/>
          </w:tcPr>
          <w:p w:rsidR="00A1700F" w:rsidRDefault="00A1700F">
            <w:pPr>
              <w:jc w:val="right"/>
              <w:rPr>
                <w:rFonts w:ascii="Arial" w:hAnsi="Arial" w:cs="Arial"/>
                <w:sz w:val="16"/>
                <w:szCs w:val="16"/>
              </w:rPr>
            </w:pPr>
            <w:r>
              <w:rPr>
                <w:rFonts w:ascii="Arial" w:hAnsi="Arial" w:cs="Arial"/>
                <w:sz w:val="16"/>
                <w:szCs w:val="16"/>
              </w:rPr>
              <w:t>3 582</w:t>
            </w:r>
          </w:p>
        </w:tc>
        <w:tc>
          <w:tcPr>
            <w:tcW w:w="693" w:type="pct"/>
            <w:tcBorders>
              <w:top w:val="nil"/>
              <w:left w:val="nil"/>
              <w:bottom w:val="nil"/>
              <w:right w:val="nil"/>
            </w:tcBorders>
            <w:shd w:val="clear" w:color="auto" w:fill="auto"/>
            <w:noWrap/>
            <w:vAlign w:val="center"/>
            <w:hideMark/>
          </w:tcPr>
          <w:p w:rsidR="00A1700F" w:rsidRDefault="00A1700F">
            <w:pPr>
              <w:jc w:val="right"/>
              <w:rPr>
                <w:rFonts w:ascii="Arial" w:hAnsi="Arial" w:cs="Arial"/>
                <w:sz w:val="16"/>
                <w:szCs w:val="16"/>
              </w:rPr>
            </w:pPr>
          </w:p>
        </w:tc>
        <w:tc>
          <w:tcPr>
            <w:tcW w:w="882" w:type="pct"/>
            <w:tcBorders>
              <w:top w:val="nil"/>
              <w:left w:val="nil"/>
              <w:bottom w:val="nil"/>
              <w:right w:val="nil"/>
            </w:tcBorders>
            <w:shd w:val="clear" w:color="auto" w:fill="auto"/>
            <w:noWrap/>
            <w:vAlign w:val="center"/>
            <w:hideMark/>
          </w:tcPr>
          <w:p w:rsidR="00A1700F" w:rsidRDefault="00A1700F">
            <w:pPr>
              <w:jc w:val="right"/>
              <w:rPr>
                <w:rFonts w:ascii="Arial" w:hAnsi="Arial" w:cs="Arial"/>
                <w:sz w:val="16"/>
                <w:szCs w:val="16"/>
              </w:rPr>
            </w:pPr>
            <w:r>
              <w:rPr>
                <w:rFonts w:ascii="Arial" w:hAnsi="Arial" w:cs="Arial"/>
                <w:sz w:val="16"/>
                <w:szCs w:val="16"/>
              </w:rPr>
              <w:t>3 582</w:t>
            </w:r>
          </w:p>
        </w:tc>
      </w:tr>
      <w:tr w:rsidR="00A1700F" w:rsidTr="00A1700F">
        <w:trPr>
          <w:trHeight w:val="345"/>
        </w:trPr>
        <w:tc>
          <w:tcPr>
            <w:tcW w:w="1346" w:type="pct"/>
            <w:tcBorders>
              <w:top w:val="nil"/>
              <w:left w:val="nil"/>
              <w:bottom w:val="nil"/>
              <w:right w:val="nil"/>
            </w:tcBorders>
            <w:shd w:val="clear" w:color="auto" w:fill="auto"/>
            <w:noWrap/>
            <w:vAlign w:val="center"/>
            <w:hideMark/>
          </w:tcPr>
          <w:p w:rsidR="00A1700F" w:rsidRDefault="00A1700F">
            <w:pPr>
              <w:rPr>
                <w:rFonts w:ascii="Arial" w:hAnsi="Arial" w:cs="Arial"/>
                <w:b/>
                <w:bCs/>
                <w:sz w:val="16"/>
                <w:szCs w:val="16"/>
              </w:rPr>
            </w:pPr>
            <w:r>
              <w:rPr>
                <w:rFonts w:ascii="Arial" w:hAnsi="Arial" w:cs="Arial"/>
                <w:b/>
                <w:bCs/>
                <w:sz w:val="16"/>
                <w:szCs w:val="16"/>
              </w:rPr>
              <w:t>Stan na 30 września 2021 r.</w:t>
            </w:r>
          </w:p>
        </w:tc>
        <w:tc>
          <w:tcPr>
            <w:tcW w:w="616" w:type="pct"/>
            <w:vMerge w:val="restart"/>
            <w:tcBorders>
              <w:top w:val="single" w:sz="8" w:space="0" w:color="auto"/>
              <w:left w:val="nil"/>
              <w:bottom w:val="single" w:sz="8" w:space="0" w:color="000000"/>
              <w:right w:val="nil"/>
            </w:tcBorders>
            <w:shd w:val="clear" w:color="auto" w:fill="auto"/>
            <w:noWrap/>
            <w:vAlign w:val="center"/>
            <w:hideMark/>
          </w:tcPr>
          <w:p w:rsidR="00A1700F" w:rsidRDefault="00A1700F">
            <w:pPr>
              <w:jc w:val="right"/>
              <w:rPr>
                <w:rFonts w:ascii="Arial" w:hAnsi="Arial" w:cs="Arial"/>
                <w:b/>
                <w:bCs/>
                <w:sz w:val="16"/>
                <w:szCs w:val="16"/>
              </w:rPr>
            </w:pPr>
            <w:r>
              <w:rPr>
                <w:rFonts w:ascii="Arial" w:hAnsi="Arial" w:cs="Arial"/>
                <w:b/>
                <w:bCs/>
                <w:sz w:val="16"/>
                <w:szCs w:val="16"/>
              </w:rPr>
              <w:t>72 821</w:t>
            </w:r>
          </w:p>
        </w:tc>
        <w:tc>
          <w:tcPr>
            <w:tcW w:w="802" w:type="pct"/>
            <w:vMerge w:val="restart"/>
            <w:tcBorders>
              <w:top w:val="single" w:sz="8" w:space="0" w:color="auto"/>
              <w:left w:val="nil"/>
              <w:bottom w:val="single" w:sz="8" w:space="0" w:color="000000"/>
              <w:right w:val="nil"/>
            </w:tcBorders>
            <w:shd w:val="clear" w:color="auto" w:fill="auto"/>
            <w:noWrap/>
            <w:vAlign w:val="center"/>
            <w:hideMark/>
          </w:tcPr>
          <w:p w:rsidR="00A1700F" w:rsidRDefault="00A1700F">
            <w:pPr>
              <w:jc w:val="right"/>
              <w:rPr>
                <w:rFonts w:ascii="Arial" w:hAnsi="Arial" w:cs="Arial"/>
                <w:b/>
                <w:bCs/>
                <w:sz w:val="16"/>
                <w:szCs w:val="16"/>
              </w:rPr>
            </w:pPr>
            <w:r>
              <w:rPr>
                <w:rFonts w:ascii="Arial" w:hAnsi="Arial" w:cs="Arial"/>
                <w:b/>
                <w:bCs/>
                <w:sz w:val="16"/>
                <w:szCs w:val="16"/>
              </w:rPr>
              <w:t>3 873</w:t>
            </w:r>
          </w:p>
        </w:tc>
        <w:tc>
          <w:tcPr>
            <w:tcW w:w="660" w:type="pct"/>
            <w:vMerge w:val="restart"/>
            <w:tcBorders>
              <w:top w:val="single" w:sz="8" w:space="0" w:color="auto"/>
              <w:left w:val="nil"/>
              <w:bottom w:val="single" w:sz="8" w:space="0" w:color="000000"/>
              <w:right w:val="nil"/>
            </w:tcBorders>
            <w:shd w:val="clear" w:color="auto" w:fill="auto"/>
            <w:noWrap/>
            <w:vAlign w:val="center"/>
            <w:hideMark/>
          </w:tcPr>
          <w:p w:rsidR="00A1700F" w:rsidRDefault="00A1700F">
            <w:pPr>
              <w:jc w:val="right"/>
              <w:rPr>
                <w:rFonts w:ascii="Arial" w:hAnsi="Arial" w:cs="Arial"/>
                <w:b/>
                <w:bCs/>
                <w:sz w:val="16"/>
                <w:szCs w:val="16"/>
              </w:rPr>
            </w:pPr>
            <w:r>
              <w:rPr>
                <w:rFonts w:ascii="Arial" w:hAnsi="Arial" w:cs="Arial"/>
                <w:b/>
                <w:bCs/>
                <w:sz w:val="16"/>
                <w:szCs w:val="16"/>
              </w:rPr>
              <w:t>49 604</w:t>
            </w:r>
          </w:p>
        </w:tc>
        <w:tc>
          <w:tcPr>
            <w:tcW w:w="693" w:type="pct"/>
            <w:vMerge w:val="restart"/>
            <w:tcBorders>
              <w:top w:val="single" w:sz="8" w:space="0" w:color="auto"/>
              <w:left w:val="nil"/>
              <w:bottom w:val="single" w:sz="8" w:space="0" w:color="000000"/>
              <w:right w:val="nil"/>
            </w:tcBorders>
            <w:shd w:val="clear" w:color="auto" w:fill="auto"/>
            <w:noWrap/>
            <w:vAlign w:val="center"/>
            <w:hideMark/>
          </w:tcPr>
          <w:p w:rsidR="00A1700F" w:rsidRDefault="00A1700F">
            <w:pPr>
              <w:jc w:val="right"/>
              <w:rPr>
                <w:rFonts w:ascii="Arial" w:hAnsi="Arial" w:cs="Arial"/>
                <w:b/>
                <w:bCs/>
                <w:sz w:val="16"/>
                <w:szCs w:val="16"/>
              </w:rPr>
            </w:pPr>
            <w:r>
              <w:rPr>
                <w:rFonts w:ascii="Arial" w:hAnsi="Arial" w:cs="Arial"/>
                <w:b/>
                <w:bCs/>
                <w:sz w:val="16"/>
                <w:szCs w:val="16"/>
              </w:rPr>
              <w:t>-82</w:t>
            </w:r>
          </w:p>
        </w:tc>
        <w:tc>
          <w:tcPr>
            <w:tcW w:w="882" w:type="pct"/>
            <w:vMerge w:val="restart"/>
            <w:tcBorders>
              <w:top w:val="single" w:sz="8" w:space="0" w:color="auto"/>
              <w:left w:val="nil"/>
              <w:bottom w:val="single" w:sz="8" w:space="0" w:color="000000"/>
              <w:right w:val="nil"/>
            </w:tcBorders>
            <w:shd w:val="clear" w:color="auto" w:fill="auto"/>
            <w:noWrap/>
            <w:vAlign w:val="center"/>
            <w:hideMark/>
          </w:tcPr>
          <w:p w:rsidR="00A1700F" w:rsidRDefault="00A1700F">
            <w:pPr>
              <w:jc w:val="right"/>
              <w:rPr>
                <w:rFonts w:ascii="Arial" w:hAnsi="Arial" w:cs="Arial"/>
                <w:b/>
                <w:bCs/>
                <w:sz w:val="16"/>
                <w:szCs w:val="16"/>
              </w:rPr>
            </w:pPr>
            <w:r>
              <w:rPr>
                <w:rFonts w:ascii="Arial" w:hAnsi="Arial" w:cs="Arial"/>
                <w:b/>
                <w:bCs/>
                <w:sz w:val="16"/>
                <w:szCs w:val="16"/>
              </w:rPr>
              <w:t>126 216</w:t>
            </w:r>
          </w:p>
        </w:tc>
      </w:tr>
      <w:tr w:rsidR="00A1700F" w:rsidTr="00A1700F">
        <w:trPr>
          <w:trHeight w:val="345"/>
        </w:trPr>
        <w:tc>
          <w:tcPr>
            <w:tcW w:w="1346" w:type="pct"/>
            <w:tcBorders>
              <w:top w:val="nil"/>
              <w:left w:val="nil"/>
              <w:bottom w:val="nil"/>
              <w:right w:val="nil"/>
            </w:tcBorders>
            <w:shd w:val="clear" w:color="auto" w:fill="auto"/>
            <w:noWrap/>
            <w:vAlign w:val="center"/>
            <w:hideMark/>
          </w:tcPr>
          <w:p w:rsidR="00A1700F" w:rsidRDefault="00A1700F">
            <w:pPr>
              <w:rPr>
                <w:rFonts w:ascii="Arial" w:hAnsi="Arial" w:cs="Arial"/>
                <w:sz w:val="16"/>
                <w:szCs w:val="16"/>
              </w:rPr>
            </w:pPr>
            <w:r>
              <w:rPr>
                <w:rFonts w:ascii="Arial" w:hAnsi="Arial" w:cs="Arial"/>
                <w:sz w:val="16"/>
                <w:szCs w:val="16"/>
              </w:rPr>
              <w:t>(niebadane)</w:t>
            </w:r>
          </w:p>
        </w:tc>
        <w:tc>
          <w:tcPr>
            <w:tcW w:w="616" w:type="pct"/>
            <w:vMerge/>
            <w:tcBorders>
              <w:top w:val="single" w:sz="8" w:space="0" w:color="auto"/>
              <w:left w:val="nil"/>
              <w:bottom w:val="single" w:sz="8" w:space="0" w:color="000000"/>
              <w:right w:val="nil"/>
            </w:tcBorders>
            <w:vAlign w:val="center"/>
            <w:hideMark/>
          </w:tcPr>
          <w:p w:rsidR="00A1700F" w:rsidRDefault="00A1700F">
            <w:pPr>
              <w:rPr>
                <w:rFonts w:ascii="Arial" w:hAnsi="Arial" w:cs="Arial"/>
                <w:b/>
                <w:bCs/>
                <w:sz w:val="16"/>
                <w:szCs w:val="16"/>
              </w:rPr>
            </w:pPr>
          </w:p>
        </w:tc>
        <w:tc>
          <w:tcPr>
            <w:tcW w:w="802" w:type="pct"/>
            <w:vMerge/>
            <w:tcBorders>
              <w:top w:val="single" w:sz="8" w:space="0" w:color="auto"/>
              <w:left w:val="nil"/>
              <w:bottom w:val="single" w:sz="8" w:space="0" w:color="000000"/>
              <w:right w:val="nil"/>
            </w:tcBorders>
            <w:vAlign w:val="center"/>
            <w:hideMark/>
          </w:tcPr>
          <w:p w:rsidR="00A1700F" w:rsidRDefault="00A1700F">
            <w:pPr>
              <w:rPr>
                <w:rFonts w:ascii="Arial" w:hAnsi="Arial" w:cs="Arial"/>
                <w:b/>
                <w:bCs/>
                <w:sz w:val="16"/>
                <w:szCs w:val="16"/>
              </w:rPr>
            </w:pPr>
          </w:p>
        </w:tc>
        <w:tc>
          <w:tcPr>
            <w:tcW w:w="660" w:type="pct"/>
            <w:vMerge/>
            <w:tcBorders>
              <w:top w:val="single" w:sz="8" w:space="0" w:color="auto"/>
              <w:left w:val="nil"/>
              <w:bottom w:val="single" w:sz="8" w:space="0" w:color="000000"/>
              <w:right w:val="nil"/>
            </w:tcBorders>
            <w:vAlign w:val="center"/>
            <w:hideMark/>
          </w:tcPr>
          <w:p w:rsidR="00A1700F" w:rsidRDefault="00A1700F">
            <w:pPr>
              <w:rPr>
                <w:rFonts w:ascii="Arial" w:hAnsi="Arial" w:cs="Arial"/>
                <w:b/>
                <w:bCs/>
                <w:sz w:val="16"/>
                <w:szCs w:val="16"/>
              </w:rPr>
            </w:pPr>
          </w:p>
        </w:tc>
        <w:tc>
          <w:tcPr>
            <w:tcW w:w="693" w:type="pct"/>
            <w:vMerge/>
            <w:tcBorders>
              <w:top w:val="single" w:sz="8" w:space="0" w:color="auto"/>
              <w:left w:val="nil"/>
              <w:bottom w:val="single" w:sz="8" w:space="0" w:color="000000"/>
              <w:right w:val="nil"/>
            </w:tcBorders>
            <w:vAlign w:val="center"/>
            <w:hideMark/>
          </w:tcPr>
          <w:p w:rsidR="00A1700F" w:rsidRDefault="00A1700F">
            <w:pPr>
              <w:rPr>
                <w:rFonts w:ascii="Arial" w:hAnsi="Arial" w:cs="Arial"/>
                <w:b/>
                <w:bCs/>
                <w:sz w:val="16"/>
                <w:szCs w:val="16"/>
              </w:rPr>
            </w:pPr>
          </w:p>
        </w:tc>
        <w:tc>
          <w:tcPr>
            <w:tcW w:w="882" w:type="pct"/>
            <w:vMerge/>
            <w:tcBorders>
              <w:top w:val="single" w:sz="8" w:space="0" w:color="auto"/>
              <w:left w:val="nil"/>
              <w:bottom w:val="single" w:sz="8" w:space="0" w:color="000000"/>
              <w:right w:val="nil"/>
            </w:tcBorders>
            <w:vAlign w:val="center"/>
            <w:hideMark/>
          </w:tcPr>
          <w:p w:rsidR="00A1700F" w:rsidRDefault="00A1700F">
            <w:pPr>
              <w:rPr>
                <w:rFonts w:ascii="Arial" w:hAnsi="Arial" w:cs="Arial"/>
                <w:b/>
                <w:bCs/>
                <w:sz w:val="16"/>
                <w:szCs w:val="16"/>
              </w:rPr>
            </w:pPr>
          </w:p>
        </w:tc>
      </w:tr>
    </w:tbl>
    <w:p w:rsidR="008866A0" w:rsidRDefault="008866A0" w:rsidP="008866A0">
      <w:pPr>
        <w:pStyle w:val="Tekstpodstawowy3"/>
        <w:tabs>
          <w:tab w:val="left" w:pos="540"/>
        </w:tabs>
        <w:rPr>
          <w:b w:val="0"/>
          <w:szCs w:val="18"/>
          <w:highlight w:val="yellow"/>
        </w:rPr>
      </w:pPr>
    </w:p>
    <w:tbl>
      <w:tblPr>
        <w:tblW w:w="5000" w:type="pct"/>
        <w:tblCellMar>
          <w:left w:w="70" w:type="dxa"/>
          <w:right w:w="70" w:type="dxa"/>
        </w:tblCellMar>
        <w:tblLook w:val="04A0" w:firstRow="1" w:lastRow="0" w:firstColumn="1" w:lastColumn="0" w:noHBand="0" w:noVBand="1"/>
      </w:tblPr>
      <w:tblGrid>
        <w:gridCol w:w="2480"/>
        <w:gridCol w:w="1105"/>
        <w:gridCol w:w="1490"/>
        <w:gridCol w:w="1254"/>
        <w:gridCol w:w="1297"/>
        <w:gridCol w:w="1584"/>
      </w:tblGrid>
      <w:tr w:rsidR="00A1700F" w:rsidTr="00A1700F">
        <w:trPr>
          <w:trHeight w:val="810"/>
        </w:trPr>
        <w:tc>
          <w:tcPr>
            <w:tcW w:w="1346" w:type="pct"/>
            <w:vAlign w:val="bottom"/>
            <w:hideMark/>
          </w:tcPr>
          <w:p w:rsidR="00A1700F" w:rsidRDefault="00A1700F">
            <w:pPr>
              <w:rPr>
                <w:sz w:val="22"/>
                <w:szCs w:val="22"/>
              </w:rPr>
            </w:pPr>
          </w:p>
        </w:tc>
        <w:tc>
          <w:tcPr>
            <w:tcW w:w="600" w:type="pct"/>
            <w:vMerge w:val="restart"/>
            <w:tcBorders>
              <w:top w:val="nil"/>
              <w:left w:val="nil"/>
              <w:bottom w:val="single" w:sz="8" w:space="0" w:color="000000"/>
              <w:right w:val="nil"/>
            </w:tcBorders>
            <w:vAlign w:val="center"/>
            <w:hideMark/>
          </w:tcPr>
          <w:p w:rsidR="00A1700F" w:rsidRDefault="00A1700F">
            <w:pPr>
              <w:rPr>
                <w:rFonts w:ascii="Arial" w:hAnsi="Arial" w:cs="Arial"/>
                <w:b/>
                <w:bCs/>
                <w:color w:val="000000"/>
                <w:sz w:val="16"/>
                <w:szCs w:val="16"/>
              </w:rPr>
            </w:pPr>
            <w:r>
              <w:rPr>
                <w:rFonts w:ascii="Arial" w:hAnsi="Arial" w:cs="Arial"/>
                <w:b/>
                <w:bCs/>
                <w:color w:val="000000"/>
                <w:sz w:val="16"/>
                <w:szCs w:val="16"/>
              </w:rPr>
              <w:t>Kapitał akcyjny / podstawowy</w:t>
            </w:r>
          </w:p>
        </w:tc>
        <w:tc>
          <w:tcPr>
            <w:tcW w:w="809" w:type="pct"/>
            <w:vMerge w:val="restart"/>
            <w:tcBorders>
              <w:top w:val="nil"/>
              <w:left w:val="nil"/>
              <w:bottom w:val="single" w:sz="8" w:space="0" w:color="000000"/>
              <w:right w:val="nil"/>
            </w:tcBorders>
            <w:vAlign w:val="center"/>
            <w:hideMark/>
          </w:tcPr>
          <w:p w:rsidR="00A1700F" w:rsidRDefault="00A1700F">
            <w:pPr>
              <w:jc w:val="center"/>
              <w:rPr>
                <w:rFonts w:ascii="Arial" w:hAnsi="Arial" w:cs="Arial"/>
                <w:b/>
                <w:bCs/>
                <w:color w:val="000000"/>
                <w:sz w:val="16"/>
                <w:szCs w:val="16"/>
              </w:rPr>
            </w:pPr>
            <w:r>
              <w:rPr>
                <w:rFonts w:ascii="Arial" w:hAnsi="Arial" w:cs="Arial"/>
                <w:b/>
                <w:bCs/>
                <w:color w:val="000000"/>
                <w:sz w:val="16"/>
                <w:szCs w:val="16"/>
              </w:rPr>
              <w:t>Nadwyżka wartości emisyjnej nad wartością nominalną akcji</w:t>
            </w:r>
          </w:p>
        </w:tc>
        <w:tc>
          <w:tcPr>
            <w:tcW w:w="681" w:type="pct"/>
            <w:vMerge w:val="restart"/>
            <w:tcBorders>
              <w:top w:val="nil"/>
              <w:left w:val="nil"/>
              <w:bottom w:val="single" w:sz="8" w:space="0" w:color="000000"/>
              <w:right w:val="nil"/>
            </w:tcBorders>
            <w:vAlign w:val="center"/>
            <w:hideMark/>
          </w:tcPr>
          <w:p w:rsidR="00A1700F" w:rsidRDefault="00A1700F">
            <w:pPr>
              <w:jc w:val="center"/>
              <w:rPr>
                <w:rFonts w:ascii="Arial" w:hAnsi="Arial" w:cs="Arial"/>
                <w:b/>
                <w:bCs/>
                <w:color w:val="000000"/>
                <w:sz w:val="16"/>
                <w:szCs w:val="16"/>
              </w:rPr>
            </w:pPr>
            <w:r>
              <w:rPr>
                <w:rFonts w:ascii="Arial" w:hAnsi="Arial" w:cs="Arial"/>
                <w:b/>
                <w:bCs/>
                <w:color w:val="000000"/>
                <w:sz w:val="16"/>
                <w:szCs w:val="16"/>
              </w:rPr>
              <w:t>Zyski/Straty zatrzymane</w:t>
            </w:r>
          </w:p>
        </w:tc>
        <w:tc>
          <w:tcPr>
            <w:tcW w:w="704" w:type="pct"/>
            <w:vMerge w:val="restart"/>
            <w:tcBorders>
              <w:top w:val="nil"/>
              <w:left w:val="nil"/>
              <w:bottom w:val="single" w:sz="8" w:space="0" w:color="000000"/>
              <w:right w:val="nil"/>
            </w:tcBorders>
            <w:vAlign w:val="center"/>
            <w:hideMark/>
          </w:tcPr>
          <w:p w:rsidR="00A1700F" w:rsidRDefault="00A1700F">
            <w:pPr>
              <w:jc w:val="center"/>
              <w:rPr>
                <w:rFonts w:ascii="Arial" w:hAnsi="Arial" w:cs="Arial"/>
                <w:b/>
                <w:bCs/>
                <w:color w:val="000000"/>
                <w:sz w:val="16"/>
                <w:szCs w:val="16"/>
              </w:rPr>
            </w:pPr>
            <w:r>
              <w:rPr>
                <w:rFonts w:ascii="Arial" w:hAnsi="Arial" w:cs="Arial"/>
                <w:b/>
                <w:bCs/>
                <w:color w:val="000000"/>
                <w:sz w:val="16"/>
                <w:szCs w:val="16"/>
              </w:rPr>
              <w:t>Pozostałe elementy kapitału własnego</w:t>
            </w:r>
          </w:p>
        </w:tc>
        <w:tc>
          <w:tcPr>
            <w:tcW w:w="860" w:type="pct"/>
            <w:vMerge w:val="restart"/>
            <w:tcBorders>
              <w:top w:val="nil"/>
              <w:left w:val="nil"/>
              <w:bottom w:val="single" w:sz="8" w:space="0" w:color="000000"/>
              <w:right w:val="nil"/>
            </w:tcBorders>
            <w:vAlign w:val="center"/>
            <w:hideMark/>
          </w:tcPr>
          <w:p w:rsidR="00A1700F" w:rsidRDefault="00A1700F">
            <w:pPr>
              <w:jc w:val="center"/>
              <w:rPr>
                <w:rFonts w:ascii="Arial" w:hAnsi="Arial" w:cs="Arial"/>
                <w:b/>
                <w:bCs/>
                <w:color w:val="000000"/>
                <w:sz w:val="16"/>
                <w:szCs w:val="16"/>
              </w:rPr>
            </w:pPr>
            <w:r>
              <w:rPr>
                <w:rFonts w:ascii="Arial" w:hAnsi="Arial" w:cs="Arial"/>
                <w:b/>
                <w:bCs/>
                <w:color w:val="000000"/>
                <w:sz w:val="16"/>
                <w:szCs w:val="16"/>
              </w:rPr>
              <w:t>Razem kapitał własny</w:t>
            </w:r>
          </w:p>
        </w:tc>
      </w:tr>
      <w:tr w:rsidR="00A1700F" w:rsidTr="00A1700F">
        <w:trPr>
          <w:trHeight w:val="315"/>
        </w:trPr>
        <w:tc>
          <w:tcPr>
            <w:tcW w:w="1346" w:type="pct"/>
            <w:vAlign w:val="bottom"/>
            <w:hideMark/>
          </w:tcPr>
          <w:p w:rsidR="00A1700F" w:rsidRDefault="00A1700F">
            <w:pPr>
              <w:rPr>
                <w:sz w:val="22"/>
                <w:szCs w:val="22"/>
              </w:rPr>
            </w:pPr>
          </w:p>
        </w:tc>
        <w:tc>
          <w:tcPr>
            <w:tcW w:w="600" w:type="pct"/>
            <w:vMerge/>
            <w:tcBorders>
              <w:top w:val="nil"/>
              <w:left w:val="nil"/>
              <w:bottom w:val="single" w:sz="8" w:space="0" w:color="000000"/>
              <w:right w:val="nil"/>
            </w:tcBorders>
            <w:vAlign w:val="center"/>
            <w:hideMark/>
          </w:tcPr>
          <w:p w:rsidR="00A1700F" w:rsidRDefault="00A1700F">
            <w:pPr>
              <w:rPr>
                <w:rFonts w:ascii="Arial" w:hAnsi="Arial" w:cs="Arial"/>
                <w:b/>
                <w:bCs/>
                <w:color w:val="000000"/>
                <w:sz w:val="16"/>
                <w:szCs w:val="16"/>
              </w:rPr>
            </w:pPr>
          </w:p>
        </w:tc>
        <w:tc>
          <w:tcPr>
            <w:tcW w:w="809" w:type="pct"/>
            <w:vMerge/>
            <w:tcBorders>
              <w:top w:val="nil"/>
              <w:left w:val="nil"/>
              <w:bottom w:val="single" w:sz="8" w:space="0" w:color="000000"/>
              <w:right w:val="nil"/>
            </w:tcBorders>
            <w:vAlign w:val="center"/>
            <w:hideMark/>
          </w:tcPr>
          <w:p w:rsidR="00A1700F" w:rsidRDefault="00A1700F">
            <w:pPr>
              <w:rPr>
                <w:rFonts w:ascii="Arial" w:hAnsi="Arial" w:cs="Arial"/>
                <w:b/>
                <w:bCs/>
                <w:color w:val="000000"/>
                <w:sz w:val="16"/>
                <w:szCs w:val="16"/>
              </w:rPr>
            </w:pPr>
          </w:p>
        </w:tc>
        <w:tc>
          <w:tcPr>
            <w:tcW w:w="681" w:type="pct"/>
            <w:vMerge/>
            <w:tcBorders>
              <w:top w:val="nil"/>
              <w:left w:val="nil"/>
              <w:bottom w:val="single" w:sz="8" w:space="0" w:color="000000"/>
              <w:right w:val="nil"/>
            </w:tcBorders>
            <w:vAlign w:val="center"/>
            <w:hideMark/>
          </w:tcPr>
          <w:p w:rsidR="00A1700F" w:rsidRDefault="00A1700F">
            <w:pPr>
              <w:rPr>
                <w:rFonts w:ascii="Arial" w:hAnsi="Arial" w:cs="Arial"/>
                <w:b/>
                <w:bCs/>
                <w:color w:val="000000"/>
                <w:sz w:val="16"/>
                <w:szCs w:val="16"/>
              </w:rPr>
            </w:pPr>
          </w:p>
        </w:tc>
        <w:tc>
          <w:tcPr>
            <w:tcW w:w="704" w:type="pct"/>
            <w:vMerge/>
            <w:tcBorders>
              <w:top w:val="nil"/>
              <w:left w:val="nil"/>
              <w:bottom w:val="single" w:sz="8" w:space="0" w:color="000000"/>
              <w:right w:val="nil"/>
            </w:tcBorders>
            <w:vAlign w:val="center"/>
            <w:hideMark/>
          </w:tcPr>
          <w:p w:rsidR="00A1700F" w:rsidRDefault="00A1700F">
            <w:pPr>
              <w:rPr>
                <w:rFonts w:ascii="Arial" w:hAnsi="Arial" w:cs="Arial"/>
                <w:b/>
                <w:bCs/>
                <w:color w:val="000000"/>
                <w:sz w:val="16"/>
                <w:szCs w:val="16"/>
              </w:rPr>
            </w:pPr>
          </w:p>
        </w:tc>
        <w:tc>
          <w:tcPr>
            <w:tcW w:w="860" w:type="pct"/>
            <w:vMerge/>
            <w:tcBorders>
              <w:top w:val="nil"/>
              <w:left w:val="nil"/>
              <w:bottom w:val="single" w:sz="8" w:space="0" w:color="000000"/>
              <w:right w:val="nil"/>
            </w:tcBorders>
            <w:vAlign w:val="center"/>
            <w:hideMark/>
          </w:tcPr>
          <w:p w:rsidR="00A1700F" w:rsidRDefault="00A1700F">
            <w:pPr>
              <w:rPr>
                <w:rFonts w:ascii="Arial" w:hAnsi="Arial" w:cs="Arial"/>
                <w:b/>
                <w:bCs/>
                <w:color w:val="000000"/>
                <w:sz w:val="16"/>
                <w:szCs w:val="16"/>
              </w:rPr>
            </w:pPr>
          </w:p>
        </w:tc>
      </w:tr>
      <w:tr w:rsidR="00A1700F" w:rsidTr="00A1700F">
        <w:trPr>
          <w:trHeight w:val="300"/>
        </w:trPr>
        <w:tc>
          <w:tcPr>
            <w:tcW w:w="1346" w:type="pct"/>
            <w:noWrap/>
            <w:vAlign w:val="center"/>
            <w:hideMark/>
          </w:tcPr>
          <w:p w:rsidR="00A1700F" w:rsidRDefault="00A1700F">
            <w:pPr>
              <w:rPr>
                <w:rFonts w:ascii="Arial" w:hAnsi="Arial" w:cs="Arial"/>
                <w:b/>
                <w:bCs/>
                <w:color w:val="000000"/>
                <w:sz w:val="16"/>
                <w:szCs w:val="16"/>
              </w:rPr>
            </w:pPr>
            <w:r>
              <w:rPr>
                <w:rFonts w:ascii="Arial" w:hAnsi="Arial" w:cs="Arial"/>
                <w:b/>
                <w:bCs/>
                <w:color w:val="000000"/>
                <w:sz w:val="16"/>
                <w:szCs w:val="16"/>
              </w:rPr>
              <w:t>Stan na 31.12. 2019r.</w:t>
            </w:r>
          </w:p>
        </w:tc>
        <w:tc>
          <w:tcPr>
            <w:tcW w:w="600" w:type="pct"/>
            <w:noWrap/>
            <w:vAlign w:val="center"/>
            <w:hideMark/>
          </w:tcPr>
          <w:p w:rsidR="00A1700F" w:rsidRDefault="00A1700F">
            <w:pPr>
              <w:jc w:val="right"/>
              <w:rPr>
                <w:rFonts w:ascii="Arial" w:hAnsi="Arial" w:cs="Arial"/>
                <w:b/>
                <w:bCs/>
                <w:sz w:val="16"/>
                <w:szCs w:val="16"/>
              </w:rPr>
            </w:pPr>
            <w:r>
              <w:rPr>
                <w:rFonts w:ascii="Arial" w:hAnsi="Arial" w:cs="Arial"/>
                <w:b/>
                <w:bCs/>
                <w:sz w:val="16"/>
                <w:szCs w:val="16"/>
              </w:rPr>
              <w:t>72 821</w:t>
            </w:r>
          </w:p>
        </w:tc>
        <w:tc>
          <w:tcPr>
            <w:tcW w:w="809" w:type="pct"/>
            <w:vAlign w:val="center"/>
            <w:hideMark/>
          </w:tcPr>
          <w:p w:rsidR="00A1700F" w:rsidRDefault="00A1700F">
            <w:pPr>
              <w:jc w:val="right"/>
              <w:rPr>
                <w:rFonts w:ascii="Arial" w:hAnsi="Arial" w:cs="Arial"/>
                <w:b/>
                <w:bCs/>
                <w:sz w:val="16"/>
                <w:szCs w:val="16"/>
              </w:rPr>
            </w:pPr>
            <w:r>
              <w:rPr>
                <w:rFonts w:ascii="Arial" w:hAnsi="Arial" w:cs="Arial"/>
                <w:b/>
                <w:bCs/>
                <w:sz w:val="16"/>
                <w:szCs w:val="16"/>
              </w:rPr>
              <w:t>3 873</w:t>
            </w:r>
          </w:p>
        </w:tc>
        <w:tc>
          <w:tcPr>
            <w:tcW w:w="681" w:type="pct"/>
            <w:noWrap/>
            <w:vAlign w:val="center"/>
            <w:hideMark/>
          </w:tcPr>
          <w:p w:rsidR="00A1700F" w:rsidRDefault="00A1700F">
            <w:pPr>
              <w:jc w:val="right"/>
              <w:rPr>
                <w:rFonts w:ascii="Arial" w:hAnsi="Arial" w:cs="Arial"/>
                <w:b/>
                <w:bCs/>
                <w:sz w:val="16"/>
                <w:szCs w:val="16"/>
              </w:rPr>
            </w:pPr>
            <w:r>
              <w:rPr>
                <w:rFonts w:ascii="Arial" w:hAnsi="Arial" w:cs="Arial"/>
                <w:b/>
                <w:bCs/>
                <w:sz w:val="16"/>
                <w:szCs w:val="16"/>
              </w:rPr>
              <w:t>56 132</w:t>
            </w:r>
          </w:p>
        </w:tc>
        <w:tc>
          <w:tcPr>
            <w:tcW w:w="704" w:type="pct"/>
            <w:noWrap/>
            <w:vAlign w:val="center"/>
            <w:hideMark/>
          </w:tcPr>
          <w:p w:rsidR="00A1700F" w:rsidRDefault="00A1700F">
            <w:pPr>
              <w:jc w:val="right"/>
              <w:rPr>
                <w:rFonts w:ascii="Arial" w:hAnsi="Arial" w:cs="Arial"/>
                <w:b/>
                <w:bCs/>
                <w:sz w:val="16"/>
                <w:szCs w:val="16"/>
              </w:rPr>
            </w:pPr>
            <w:r>
              <w:rPr>
                <w:rFonts w:ascii="Arial" w:hAnsi="Arial" w:cs="Arial"/>
                <w:b/>
                <w:bCs/>
                <w:sz w:val="16"/>
                <w:szCs w:val="16"/>
              </w:rPr>
              <w:t>-320</w:t>
            </w:r>
          </w:p>
        </w:tc>
        <w:tc>
          <w:tcPr>
            <w:tcW w:w="860" w:type="pct"/>
            <w:noWrap/>
            <w:vAlign w:val="center"/>
            <w:hideMark/>
          </w:tcPr>
          <w:p w:rsidR="00A1700F" w:rsidRDefault="00A1700F">
            <w:pPr>
              <w:jc w:val="right"/>
              <w:rPr>
                <w:rFonts w:ascii="Arial" w:hAnsi="Arial" w:cs="Arial"/>
                <w:b/>
                <w:bCs/>
                <w:sz w:val="16"/>
                <w:szCs w:val="16"/>
              </w:rPr>
            </w:pPr>
            <w:r>
              <w:rPr>
                <w:rFonts w:ascii="Arial" w:hAnsi="Arial" w:cs="Arial"/>
                <w:b/>
                <w:bCs/>
                <w:sz w:val="16"/>
                <w:szCs w:val="16"/>
              </w:rPr>
              <w:t>132 506</w:t>
            </w:r>
          </w:p>
        </w:tc>
      </w:tr>
      <w:tr w:rsidR="00A1700F" w:rsidTr="00A1700F">
        <w:trPr>
          <w:trHeight w:val="315"/>
        </w:trPr>
        <w:tc>
          <w:tcPr>
            <w:tcW w:w="1346" w:type="pct"/>
            <w:noWrap/>
            <w:vAlign w:val="center"/>
            <w:hideMark/>
          </w:tcPr>
          <w:p w:rsidR="00A1700F" w:rsidRDefault="00A1700F">
            <w:pPr>
              <w:rPr>
                <w:rFonts w:ascii="Arial" w:hAnsi="Arial" w:cs="Arial"/>
                <w:color w:val="000000"/>
                <w:sz w:val="16"/>
                <w:szCs w:val="16"/>
              </w:rPr>
            </w:pPr>
            <w:r>
              <w:rPr>
                <w:rFonts w:ascii="Arial" w:hAnsi="Arial" w:cs="Arial"/>
                <w:color w:val="000000"/>
                <w:sz w:val="16"/>
                <w:szCs w:val="16"/>
              </w:rPr>
              <w:t>Całkowite dochody</w:t>
            </w:r>
          </w:p>
        </w:tc>
        <w:tc>
          <w:tcPr>
            <w:tcW w:w="600" w:type="pct"/>
            <w:noWrap/>
            <w:vAlign w:val="bottom"/>
            <w:hideMark/>
          </w:tcPr>
          <w:p w:rsidR="00A1700F" w:rsidRDefault="00A1700F">
            <w:pPr>
              <w:rPr>
                <w:sz w:val="22"/>
                <w:szCs w:val="22"/>
              </w:rPr>
            </w:pPr>
          </w:p>
        </w:tc>
        <w:tc>
          <w:tcPr>
            <w:tcW w:w="809" w:type="pct"/>
            <w:noWrap/>
            <w:vAlign w:val="bottom"/>
            <w:hideMark/>
          </w:tcPr>
          <w:p w:rsidR="00A1700F" w:rsidRDefault="00A1700F">
            <w:pPr>
              <w:rPr>
                <w:sz w:val="22"/>
                <w:szCs w:val="22"/>
              </w:rPr>
            </w:pPr>
          </w:p>
        </w:tc>
        <w:tc>
          <w:tcPr>
            <w:tcW w:w="681" w:type="pct"/>
            <w:noWrap/>
            <w:vAlign w:val="center"/>
            <w:hideMark/>
          </w:tcPr>
          <w:p w:rsidR="00A1700F" w:rsidRDefault="00A1700F">
            <w:pPr>
              <w:jc w:val="right"/>
              <w:rPr>
                <w:rFonts w:ascii="Arial" w:hAnsi="Arial" w:cs="Arial"/>
                <w:sz w:val="16"/>
                <w:szCs w:val="16"/>
              </w:rPr>
            </w:pPr>
            <w:r>
              <w:rPr>
                <w:rFonts w:ascii="Arial" w:hAnsi="Arial" w:cs="Arial"/>
                <w:sz w:val="16"/>
                <w:szCs w:val="16"/>
              </w:rPr>
              <w:t>-6 770</w:t>
            </w:r>
          </w:p>
        </w:tc>
        <w:tc>
          <w:tcPr>
            <w:tcW w:w="704" w:type="pct"/>
            <w:noWrap/>
            <w:vAlign w:val="center"/>
            <w:hideMark/>
          </w:tcPr>
          <w:p w:rsidR="00A1700F" w:rsidRDefault="00A1700F">
            <w:pPr>
              <w:rPr>
                <w:sz w:val="22"/>
                <w:szCs w:val="22"/>
              </w:rPr>
            </w:pPr>
          </w:p>
        </w:tc>
        <w:tc>
          <w:tcPr>
            <w:tcW w:w="860" w:type="pct"/>
            <w:noWrap/>
            <w:vAlign w:val="center"/>
            <w:hideMark/>
          </w:tcPr>
          <w:p w:rsidR="00A1700F" w:rsidRDefault="00A1700F">
            <w:pPr>
              <w:jc w:val="right"/>
              <w:rPr>
                <w:rFonts w:ascii="Arial" w:hAnsi="Arial" w:cs="Arial"/>
                <w:sz w:val="16"/>
                <w:szCs w:val="16"/>
              </w:rPr>
            </w:pPr>
            <w:r>
              <w:rPr>
                <w:rFonts w:ascii="Arial" w:hAnsi="Arial" w:cs="Arial"/>
                <w:sz w:val="16"/>
                <w:szCs w:val="16"/>
              </w:rPr>
              <w:t>-6 770</w:t>
            </w:r>
          </w:p>
        </w:tc>
      </w:tr>
      <w:tr w:rsidR="00A1700F" w:rsidTr="00A1700F">
        <w:trPr>
          <w:trHeight w:val="300"/>
        </w:trPr>
        <w:tc>
          <w:tcPr>
            <w:tcW w:w="1346" w:type="pct"/>
            <w:noWrap/>
            <w:vAlign w:val="center"/>
            <w:hideMark/>
          </w:tcPr>
          <w:p w:rsidR="00A1700F" w:rsidRDefault="00A1700F">
            <w:pPr>
              <w:rPr>
                <w:rFonts w:ascii="Arial" w:hAnsi="Arial" w:cs="Arial"/>
                <w:b/>
                <w:bCs/>
                <w:color w:val="000000"/>
                <w:sz w:val="16"/>
                <w:szCs w:val="16"/>
              </w:rPr>
            </w:pPr>
            <w:r>
              <w:rPr>
                <w:rFonts w:ascii="Arial" w:hAnsi="Arial" w:cs="Arial"/>
                <w:b/>
                <w:bCs/>
                <w:color w:val="000000"/>
                <w:sz w:val="16"/>
                <w:szCs w:val="16"/>
              </w:rPr>
              <w:t>Stan na 30 września 2020 r.</w:t>
            </w:r>
          </w:p>
        </w:tc>
        <w:tc>
          <w:tcPr>
            <w:tcW w:w="600" w:type="pct"/>
            <w:tcBorders>
              <w:top w:val="single" w:sz="8" w:space="0" w:color="auto"/>
              <w:left w:val="nil"/>
              <w:bottom w:val="single" w:sz="8" w:space="0" w:color="000000"/>
              <w:right w:val="nil"/>
            </w:tcBorders>
            <w:noWrap/>
            <w:vAlign w:val="center"/>
            <w:hideMark/>
          </w:tcPr>
          <w:p w:rsidR="00A1700F" w:rsidRDefault="00A1700F">
            <w:pPr>
              <w:jc w:val="right"/>
              <w:rPr>
                <w:rFonts w:ascii="Arial" w:hAnsi="Arial" w:cs="Arial"/>
                <w:b/>
                <w:bCs/>
                <w:sz w:val="16"/>
                <w:szCs w:val="16"/>
              </w:rPr>
            </w:pPr>
            <w:r>
              <w:rPr>
                <w:rFonts w:ascii="Arial" w:hAnsi="Arial" w:cs="Arial"/>
                <w:b/>
                <w:bCs/>
                <w:sz w:val="16"/>
                <w:szCs w:val="16"/>
              </w:rPr>
              <w:t>72 821</w:t>
            </w:r>
          </w:p>
        </w:tc>
        <w:tc>
          <w:tcPr>
            <w:tcW w:w="809" w:type="pct"/>
            <w:tcBorders>
              <w:top w:val="single" w:sz="8" w:space="0" w:color="auto"/>
              <w:left w:val="nil"/>
              <w:bottom w:val="single" w:sz="8" w:space="0" w:color="000000"/>
              <w:right w:val="nil"/>
            </w:tcBorders>
            <w:noWrap/>
            <w:vAlign w:val="center"/>
            <w:hideMark/>
          </w:tcPr>
          <w:p w:rsidR="00A1700F" w:rsidRDefault="00A1700F">
            <w:pPr>
              <w:jc w:val="right"/>
              <w:rPr>
                <w:rFonts w:ascii="Arial" w:hAnsi="Arial" w:cs="Arial"/>
                <w:b/>
                <w:bCs/>
                <w:sz w:val="16"/>
                <w:szCs w:val="16"/>
              </w:rPr>
            </w:pPr>
            <w:r>
              <w:rPr>
                <w:rFonts w:ascii="Arial" w:hAnsi="Arial" w:cs="Arial"/>
                <w:b/>
                <w:bCs/>
                <w:sz w:val="16"/>
                <w:szCs w:val="16"/>
              </w:rPr>
              <w:t>3 873</w:t>
            </w:r>
          </w:p>
        </w:tc>
        <w:tc>
          <w:tcPr>
            <w:tcW w:w="681" w:type="pct"/>
            <w:tcBorders>
              <w:top w:val="single" w:sz="8" w:space="0" w:color="auto"/>
              <w:left w:val="nil"/>
              <w:bottom w:val="single" w:sz="8" w:space="0" w:color="000000"/>
              <w:right w:val="nil"/>
            </w:tcBorders>
            <w:noWrap/>
            <w:vAlign w:val="center"/>
            <w:hideMark/>
          </w:tcPr>
          <w:p w:rsidR="00A1700F" w:rsidRDefault="00A1700F">
            <w:pPr>
              <w:jc w:val="right"/>
              <w:rPr>
                <w:rFonts w:ascii="Arial" w:hAnsi="Arial" w:cs="Arial"/>
                <w:b/>
                <w:bCs/>
                <w:sz w:val="16"/>
                <w:szCs w:val="16"/>
              </w:rPr>
            </w:pPr>
            <w:r>
              <w:rPr>
                <w:rFonts w:ascii="Arial" w:hAnsi="Arial" w:cs="Arial"/>
                <w:b/>
                <w:bCs/>
                <w:sz w:val="16"/>
                <w:szCs w:val="16"/>
              </w:rPr>
              <w:t>49 362</w:t>
            </w:r>
          </w:p>
        </w:tc>
        <w:tc>
          <w:tcPr>
            <w:tcW w:w="704" w:type="pct"/>
            <w:tcBorders>
              <w:top w:val="single" w:sz="8" w:space="0" w:color="auto"/>
              <w:left w:val="nil"/>
              <w:bottom w:val="single" w:sz="8" w:space="0" w:color="000000"/>
              <w:right w:val="nil"/>
            </w:tcBorders>
            <w:noWrap/>
            <w:vAlign w:val="center"/>
            <w:hideMark/>
          </w:tcPr>
          <w:p w:rsidR="00A1700F" w:rsidRDefault="00A1700F">
            <w:pPr>
              <w:jc w:val="right"/>
              <w:rPr>
                <w:rFonts w:ascii="Arial" w:hAnsi="Arial" w:cs="Arial"/>
                <w:b/>
                <w:bCs/>
                <w:sz w:val="16"/>
                <w:szCs w:val="16"/>
              </w:rPr>
            </w:pPr>
            <w:r>
              <w:rPr>
                <w:rFonts w:ascii="Arial" w:hAnsi="Arial" w:cs="Arial"/>
                <w:b/>
                <w:bCs/>
                <w:sz w:val="16"/>
                <w:szCs w:val="16"/>
              </w:rPr>
              <w:t>-320</w:t>
            </w:r>
          </w:p>
        </w:tc>
        <w:tc>
          <w:tcPr>
            <w:tcW w:w="860" w:type="pct"/>
            <w:tcBorders>
              <w:top w:val="single" w:sz="8" w:space="0" w:color="auto"/>
              <w:left w:val="nil"/>
              <w:bottom w:val="single" w:sz="8" w:space="0" w:color="000000"/>
              <w:right w:val="nil"/>
            </w:tcBorders>
            <w:noWrap/>
            <w:vAlign w:val="center"/>
            <w:hideMark/>
          </w:tcPr>
          <w:p w:rsidR="00A1700F" w:rsidRDefault="00A1700F">
            <w:pPr>
              <w:jc w:val="right"/>
              <w:rPr>
                <w:rFonts w:ascii="Arial" w:hAnsi="Arial" w:cs="Arial"/>
                <w:b/>
                <w:bCs/>
                <w:sz w:val="16"/>
                <w:szCs w:val="16"/>
              </w:rPr>
            </w:pPr>
            <w:r>
              <w:rPr>
                <w:rFonts w:ascii="Arial" w:hAnsi="Arial" w:cs="Arial"/>
                <w:b/>
                <w:bCs/>
                <w:sz w:val="16"/>
                <w:szCs w:val="16"/>
              </w:rPr>
              <w:t>125 736</w:t>
            </w:r>
          </w:p>
        </w:tc>
      </w:tr>
    </w:tbl>
    <w:p w:rsidR="009828E9" w:rsidRDefault="009828E9" w:rsidP="008866A0">
      <w:pPr>
        <w:pStyle w:val="Tekstpodstawowy3"/>
        <w:tabs>
          <w:tab w:val="left" w:pos="540"/>
        </w:tabs>
        <w:rPr>
          <w:b w:val="0"/>
          <w:szCs w:val="18"/>
          <w:highlight w:val="yellow"/>
        </w:rPr>
      </w:pPr>
    </w:p>
    <w:p w:rsidR="00DA58EA" w:rsidRPr="00661ED4" w:rsidRDefault="00DA58EA" w:rsidP="00DA58EA">
      <w:pPr>
        <w:tabs>
          <w:tab w:val="left" w:pos="540"/>
        </w:tabs>
        <w:rPr>
          <w:rFonts w:ascii="Arial" w:hAnsi="Arial" w:cs="Arial"/>
          <w:sz w:val="18"/>
          <w:szCs w:val="18"/>
        </w:rPr>
      </w:pPr>
    </w:p>
    <w:p w:rsidR="00DA58EA" w:rsidRPr="00661ED4" w:rsidRDefault="00DA58EA" w:rsidP="00DA58EA">
      <w:pPr>
        <w:tabs>
          <w:tab w:val="left" w:pos="540"/>
        </w:tabs>
        <w:rPr>
          <w:rFonts w:ascii="Arial" w:hAnsi="Arial" w:cs="Arial"/>
          <w:sz w:val="18"/>
          <w:szCs w:val="18"/>
        </w:rPr>
      </w:pPr>
    </w:p>
    <w:p w:rsidR="008866A0" w:rsidRPr="00F451D4" w:rsidRDefault="008866A0" w:rsidP="008866A0">
      <w:pPr>
        <w:pStyle w:val="Tekstpodstawowy3"/>
        <w:tabs>
          <w:tab w:val="left" w:pos="540"/>
        </w:tabs>
        <w:rPr>
          <w:b w:val="0"/>
          <w:szCs w:val="18"/>
          <w:highlight w:val="yellow"/>
        </w:rPr>
      </w:pPr>
    </w:p>
    <w:p w:rsidR="008866A0" w:rsidRPr="00F451D4" w:rsidRDefault="008866A0" w:rsidP="008866A0">
      <w:pPr>
        <w:pStyle w:val="Tekstpodstawowy3"/>
        <w:tabs>
          <w:tab w:val="left" w:pos="540"/>
        </w:tabs>
        <w:rPr>
          <w:b w:val="0"/>
          <w:szCs w:val="18"/>
          <w:highlight w:val="yellow"/>
        </w:rPr>
      </w:pPr>
    </w:p>
    <w:p w:rsidR="008866A0" w:rsidRPr="00F451D4" w:rsidRDefault="008866A0" w:rsidP="008866A0">
      <w:pPr>
        <w:pStyle w:val="Tekstpodstawowy3"/>
        <w:tabs>
          <w:tab w:val="left" w:pos="540"/>
        </w:tabs>
        <w:rPr>
          <w:b w:val="0"/>
          <w:szCs w:val="18"/>
          <w:highlight w:val="yellow"/>
        </w:rPr>
      </w:pPr>
    </w:p>
    <w:p w:rsidR="008866A0" w:rsidRPr="00F451D4" w:rsidRDefault="008866A0" w:rsidP="008866A0">
      <w:pPr>
        <w:pStyle w:val="Tekstpodstawowy3"/>
        <w:tabs>
          <w:tab w:val="left" w:pos="540"/>
        </w:tabs>
        <w:rPr>
          <w:b w:val="0"/>
          <w:szCs w:val="18"/>
          <w:highlight w:val="yellow"/>
        </w:rPr>
      </w:pPr>
    </w:p>
    <w:p w:rsidR="008866A0" w:rsidRPr="00F451D4" w:rsidRDefault="008866A0" w:rsidP="008866A0">
      <w:pPr>
        <w:pStyle w:val="Tekstpodstawowy3"/>
        <w:tabs>
          <w:tab w:val="left" w:pos="540"/>
        </w:tabs>
        <w:rPr>
          <w:b w:val="0"/>
          <w:szCs w:val="18"/>
          <w:highlight w:val="yellow"/>
        </w:rPr>
      </w:pPr>
    </w:p>
    <w:p w:rsidR="008866A0" w:rsidRDefault="008866A0" w:rsidP="008866A0">
      <w:pPr>
        <w:pStyle w:val="Tekstpodstawowy3"/>
        <w:tabs>
          <w:tab w:val="left" w:pos="540"/>
        </w:tabs>
        <w:rPr>
          <w:sz w:val="24"/>
          <w:szCs w:val="24"/>
        </w:rPr>
      </w:pPr>
      <w:r w:rsidRPr="00F451D4">
        <w:rPr>
          <w:b w:val="0"/>
          <w:szCs w:val="18"/>
          <w:highlight w:val="yellow"/>
        </w:rPr>
        <w:br w:type="page"/>
      </w:r>
      <w:r w:rsidRPr="00D80B55">
        <w:rPr>
          <w:sz w:val="24"/>
          <w:szCs w:val="24"/>
        </w:rPr>
        <w:lastRenderedPageBreak/>
        <w:t>Śródroczne skrócone sprawozdanie z przepływów pieniężnych</w:t>
      </w:r>
    </w:p>
    <w:p w:rsidR="00A1700F" w:rsidRPr="00D80B55" w:rsidRDefault="00A1700F" w:rsidP="008866A0">
      <w:pPr>
        <w:pStyle w:val="Tekstpodstawowy3"/>
        <w:tabs>
          <w:tab w:val="left" w:pos="540"/>
        </w:tabs>
        <w:rPr>
          <w:sz w:val="24"/>
          <w:szCs w:val="24"/>
        </w:rPr>
      </w:pPr>
    </w:p>
    <w:p w:rsidR="008866A0" w:rsidRPr="00F451D4" w:rsidRDefault="008866A0" w:rsidP="008866A0">
      <w:pPr>
        <w:tabs>
          <w:tab w:val="left" w:pos="540"/>
        </w:tabs>
        <w:rPr>
          <w:rFonts w:ascii="Arial" w:hAnsi="Arial" w:cs="Arial"/>
          <w:sz w:val="18"/>
          <w:szCs w:val="18"/>
          <w:highlight w:val="yellow"/>
        </w:rPr>
      </w:pPr>
    </w:p>
    <w:tbl>
      <w:tblPr>
        <w:tblW w:w="5000" w:type="pct"/>
        <w:tblCellMar>
          <w:left w:w="70" w:type="dxa"/>
          <w:right w:w="70" w:type="dxa"/>
        </w:tblCellMar>
        <w:tblLook w:val="04A0" w:firstRow="1" w:lastRow="0" w:firstColumn="1" w:lastColumn="0" w:noHBand="0" w:noVBand="1"/>
      </w:tblPr>
      <w:tblGrid>
        <w:gridCol w:w="5191"/>
        <w:gridCol w:w="2041"/>
        <w:gridCol w:w="1978"/>
      </w:tblGrid>
      <w:tr w:rsidR="00A1700F" w:rsidTr="00A1700F">
        <w:trPr>
          <w:trHeight w:val="283"/>
        </w:trPr>
        <w:tc>
          <w:tcPr>
            <w:tcW w:w="2818" w:type="pct"/>
            <w:tcBorders>
              <w:top w:val="nil"/>
              <w:left w:val="nil"/>
              <w:bottom w:val="nil"/>
              <w:right w:val="nil"/>
            </w:tcBorders>
            <w:shd w:val="clear" w:color="auto" w:fill="auto"/>
            <w:noWrap/>
            <w:vAlign w:val="bottom"/>
            <w:hideMark/>
          </w:tcPr>
          <w:p w:rsidR="00A1700F" w:rsidRDefault="00A1700F">
            <w:pPr>
              <w:rPr>
                <w:color w:val="000000"/>
                <w:sz w:val="22"/>
                <w:szCs w:val="22"/>
              </w:rPr>
            </w:pPr>
          </w:p>
        </w:tc>
        <w:tc>
          <w:tcPr>
            <w:tcW w:w="1108" w:type="pct"/>
            <w:tcBorders>
              <w:top w:val="nil"/>
              <w:left w:val="nil"/>
              <w:bottom w:val="nil"/>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za 9 miesięcy</w:t>
            </w:r>
          </w:p>
        </w:tc>
        <w:tc>
          <w:tcPr>
            <w:tcW w:w="1074" w:type="pct"/>
            <w:tcBorders>
              <w:top w:val="nil"/>
              <w:left w:val="nil"/>
              <w:bottom w:val="nil"/>
              <w:right w:val="nil"/>
            </w:tcBorders>
            <w:shd w:val="clear" w:color="auto" w:fill="auto"/>
            <w:vAlign w:val="center"/>
            <w:hideMark/>
          </w:tcPr>
          <w:p w:rsidR="00A1700F" w:rsidRDefault="00A1700F">
            <w:pPr>
              <w:jc w:val="right"/>
              <w:rPr>
                <w:rFonts w:ascii="Arial" w:hAnsi="Arial" w:cs="Arial"/>
                <w:b/>
                <w:bCs/>
                <w:sz w:val="16"/>
                <w:szCs w:val="16"/>
              </w:rPr>
            </w:pPr>
            <w:r>
              <w:rPr>
                <w:rFonts w:ascii="Arial" w:hAnsi="Arial" w:cs="Arial"/>
                <w:b/>
                <w:bCs/>
                <w:sz w:val="16"/>
                <w:szCs w:val="16"/>
              </w:rPr>
              <w:t>za 9 miesięcy</w:t>
            </w:r>
          </w:p>
        </w:tc>
      </w:tr>
      <w:tr w:rsidR="00A1700F" w:rsidTr="00A1700F">
        <w:trPr>
          <w:trHeight w:val="283"/>
        </w:trPr>
        <w:tc>
          <w:tcPr>
            <w:tcW w:w="2818" w:type="pct"/>
            <w:tcBorders>
              <w:top w:val="nil"/>
              <w:left w:val="nil"/>
              <w:bottom w:val="nil"/>
              <w:right w:val="nil"/>
            </w:tcBorders>
            <w:shd w:val="clear" w:color="auto" w:fill="auto"/>
            <w:noWrap/>
            <w:vAlign w:val="bottom"/>
            <w:hideMark/>
          </w:tcPr>
          <w:p w:rsidR="00A1700F" w:rsidRDefault="00A1700F">
            <w:pPr>
              <w:rPr>
                <w:color w:val="000000"/>
                <w:sz w:val="22"/>
                <w:szCs w:val="22"/>
              </w:rPr>
            </w:pPr>
          </w:p>
        </w:tc>
        <w:tc>
          <w:tcPr>
            <w:tcW w:w="1108" w:type="pct"/>
            <w:tcBorders>
              <w:top w:val="nil"/>
              <w:left w:val="nil"/>
              <w:bottom w:val="nil"/>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kończące się</w:t>
            </w:r>
          </w:p>
        </w:tc>
        <w:tc>
          <w:tcPr>
            <w:tcW w:w="1074" w:type="pct"/>
            <w:tcBorders>
              <w:top w:val="nil"/>
              <w:left w:val="nil"/>
              <w:bottom w:val="nil"/>
              <w:right w:val="nil"/>
            </w:tcBorders>
            <w:shd w:val="clear" w:color="auto" w:fill="auto"/>
            <w:vAlign w:val="center"/>
            <w:hideMark/>
          </w:tcPr>
          <w:p w:rsidR="00A1700F" w:rsidRDefault="00A1700F">
            <w:pPr>
              <w:jc w:val="right"/>
              <w:rPr>
                <w:rFonts w:ascii="Arial" w:hAnsi="Arial" w:cs="Arial"/>
                <w:b/>
                <w:bCs/>
                <w:sz w:val="16"/>
                <w:szCs w:val="16"/>
              </w:rPr>
            </w:pPr>
            <w:r>
              <w:rPr>
                <w:rFonts w:ascii="Arial" w:hAnsi="Arial" w:cs="Arial"/>
                <w:b/>
                <w:bCs/>
                <w:sz w:val="16"/>
                <w:szCs w:val="16"/>
              </w:rPr>
              <w:t>kończące się</w:t>
            </w:r>
          </w:p>
        </w:tc>
      </w:tr>
      <w:tr w:rsidR="00A1700F" w:rsidTr="00A1700F">
        <w:trPr>
          <w:trHeight w:val="283"/>
        </w:trPr>
        <w:tc>
          <w:tcPr>
            <w:tcW w:w="2818" w:type="pct"/>
            <w:tcBorders>
              <w:top w:val="nil"/>
              <w:left w:val="nil"/>
              <w:bottom w:val="nil"/>
              <w:right w:val="nil"/>
            </w:tcBorders>
            <w:shd w:val="clear" w:color="auto" w:fill="auto"/>
            <w:noWrap/>
            <w:vAlign w:val="bottom"/>
            <w:hideMark/>
          </w:tcPr>
          <w:p w:rsidR="00A1700F" w:rsidRDefault="00A1700F">
            <w:pPr>
              <w:rPr>
                <w:color w:val="000000"/>
                <w:sz w:val="22"/>
                <w:szCs w:val="22"/>
              </w:rPr>
            </w:pPr>
          </w:p>
        </w:tc>
        <w:tc>
          <w:tcPr>
            <w:tcW w:w="1108" w:type="pct"/>
            <w:tcBorders>
              <w:top w:val="nil"/>
              <w:left w:val="nil"/>
              <w:bottom w:val="single" w:sz="8" w:space="0" w:color="auto"/>
              <w:right w:val="nil"/>
            </w:tcBorders>
            <w:shd w:val="clear" w:color="auto" w:fill="auto"/>
            <w:noWrap/>
            <w:vAlign w:val="center"/>
            <w:hideMark/>
          </w:tcPr>
          <w:p w:rsidR="00A1700F" w:rsidRDefault="00A1700F">
            <w:pPr>
              <w:jc w:val="right"/>
              <w:rPr>
                <w:rFonts w:ascii="Arial" w:hAnsi="Arial" w:cs="Arial"/>
                <w:b/>
                <w:bCs/>
                <w:color w:val="000000"/>
                <w:sz w:val="16"/>
                <w:szCs w:val="16"/>
              </w:rPr>
            </w:pPr>
            <w:r>
              <w:rPr>
                <w:rFonts w:ascii="Arial" w:hAnsi="Arial" w:cs="Arial"/>
                <w:b/>
                <w:bCs/>
                <w:color w:val="000000"/>
                <w:sz w:val="16"/>
                <w:szCs w:val="16"/>
              </w:rPr>
              <w:t>30 września 2021</w:t>
            </w:r>
          </w:p>
        </w:tc>
        <w:tc>
          <w:tcPr>
            <w:tcW w:w="1074" w:type="pct"/>
            <w:tcBorders>
              <w:top w:val="nil"/>
              <w:left w:val="nil"/>
              <w:bottom w:val="single" w:sz="8" w:space="0" w:color="auto"/>
              <w:right w:val="nil"/>
            </w:tcBorders>
            <w:shd w:val="clear" w:color="auto" w:fill="auto"/>
            <w:noWrap/>
            <w:vAlign w:val="center"/>
            <w:hideMark/>
          </w:tcPr>
          <w:p w:rsidR="00A1700F" w:rsidRDefault="00A1700F">
            <w:pPr>
              <w:jc w:val="right"/>
              <w:rPr>
                <w:rFonts w:ascii="Arial" w:hAnsi="Arial" w:cs="Arial"/>
                <w:b/>
                <w:bCs/>
                <w:sz w:val="16"/>
                <w:szCs w:val="16"/>
              </w:rPr>
            </w:pPr>
            <w:r>
              <w:rPr>
                <w:rFonts w:ascii="Arial" w:hAnsi="Arial" w:cs="Arial"/>
                <w:b/>
                <w:bCs/>
                <w:sz w:val="16"/>
                <w:szCs w:val="16"/>
              </w:rPr>
              <w:t>30 września 2020</w:t>
            </w:r>
          </w:p>
        </w:tc>
      </w:tr>
      <w:tr w:rsidR="00A1700F" w:rsidTr="00A1700F">
        <w:trPr>
          <w:trHeight w:val="283"/>
        </w:trPr>
        <w:tc>
          <w:tcPr>
            <w:tcW w:w="2818" w:type="pct"/>
            <w:tcBorders>
              <w:top w:val="single" w:sz="8" w:space="0" w:color="auto"/>
              <w:left w:val="nil"/>
              <w:bottom w:val="nil"/>
              <w:right w:val="nil"/>
            </w:tcBorders>
            <w:shd w:val="clear" w:color="auto" w:fill="auto"/>
            <w:noWrap/>
            <w:vAlign w:val="center"/>
            <w:hideMark/>
          </w:tcPr>
          <w:p w:rsidR="00A1700F" w:rsidRDefault="00A1700F">
            <w:pPr>
              <w:rPr>
                <w:rFonts w:ascii="Arial" w:hAnsi="Arial" w:cs="Arial"/>
                <w:b/>
                <w:bCs/>
                <w:color w:val="000000"/>
                <w:sz w:val="16"/>
                <w:szCs w:val="16"/>
              </w:rPr>
            </w:pPr>
            <w:r>
              <w:rPr>
                <w:rFonts w:ascii="Arial" w:hAnsi="Arial" w:cs="Arial"/>
                <w:b/>
                <w:bCs/>
                <w:color w:val="000000"/>
                <w:sz w:val="16"/>
                <w:szCs w:val="16"/>
              </w:rPr>
              <w:t>Przepływy pieniężne  z działalności operacyjnej</w:t>
            </w:r>
          </w:p>
        </w:tc>
        <w:tc>
          <w:tcPr>
            <w:tcW w:w="1108" w:type="pct"/>
            <w:tcBorders>
              <w:top w:val="nil"/>
              <w:left w:val="nil"/>
              <w:bottom w:val="nil"/>
              <w:right w:val="nil"/>
            </w:tcBorders>
            <w:shd w:val="clear" w:color="auto" w:fill="auto"/>
            <w:noWrap/>
            <w:vAlign w:val="bottom"/>
            <w:hideMark/>
          </w:tcPr>
          <w:p w:rsidR="00A1700F" w:rsidRDefault="00A1700F">
            <w:pPr>
              <w:rPr>
                <w:color w:val="FF0000"/>
                <w:sz w:val="22"/>
                <w:szCs w:val="22"/>
              </w:rPr>
            </w:pPr>
          </w:p>
        </w:tc>
        <w:tc>
          <w:tcPr>
            <w:tcW w:w="1074" w:type="pct"/>
            <w:tcBorders>
              <w:top w:val="nil"/>
              <w:left w:val="nil"/>
              <w:bottom w:val="nil"/>
              <w:right w:val="nil"/>
            </w:tcBorders>
            <w:shd w:val="clear" w:color="auto" w:fill="auto"/>
            <w:noWrap/>
            <w:vAlign w:val="bottom"/>
            <w:hideMark/>
          </w:tcPr>
          <w:p w:rsidR="00A1700F" w:rsidRDefault="00A1700F">
            <w:pPr>
              <w:rPr>
                <w:sz w:val="22"/>
                <w:szCs w:val="22"/>
              </w:rPr>
            </w:pPr>
          </w:p>
        </w:tc>
      </w:tr>
      <w:tr w:rsidR="00A1700F" w:rsidTr="00A1700F">
        <w:trPr>
          <w:trHeight w:val="283"/>
        </w:trPr>
        <w:tc>
          <w:tcPr>
            <w:tcW w:w="2818"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 xml:space="preserve"> Zysk netto roku obrotowego</w:t>
            </w:r>
          </w:p>
        </w:tc>
        <w:tc>
          <w:tcPr>
            <w:tcW w:w="1108" w:type="pct"/>
            <w:tcBorders>
              <w:top w:val="nil"/>
              <w:left w:val="nil"/>
              <w:bottom w:val="nil"/>
              <w:right w:val="nil"/>
            </w:tcBorders>
            <w:shd w:val="clear" w:color="auto" w:fill="auto"/>
            <w:vAlign w:val="center"/>
            <w:hideMark/>
          </w:tcPr>
          <w:p w:rsidR="00A1700F" w:rsidRDefault="00A1700F">
            <w:pPr>
              <w:jc w:val="right"/>
              <w:rPr>
                <w:rFonts w:ascii="Arial" w:hAnsi="Arial" w:cs="Arial"/>
                <w:sz w:val="16"/>
                <w:szCs w:val="16"/>
              </w:rPr>
            </w:pPr>
            <w:r>
              <w:rPr>
                <w:rFonts w:ascii="Arial" w:hAnsi="Arial" w:cs="Arial"/>
                <w:sz w:val="16"/>
                <w:szCs w:val="16"/>
              </w:rPr>
              <w:t>3 582</w:t>
            </w:r>
          </w:p>
        </w:tc>
        <w:tc>
          <w:tcPr>
            <w:tcW w:w="1074" w:type="pct"/>
            <w:tcBorders>
              <w:top w:val="nil"/>
              <w:left w:val="nil"/>
              <w:bottom w:val="nil"/>
              <w:right w:val="nil"/>
            </w:tcBorders>
            <w:shd w:val="clear" w:color="auto" w:fill="auto"/>
            <w:vAlign w:val="center"/>
            <w:hideMark/>
          </w:tcPr>
          <w:p w:rsidR="00A1700F" w:rsidRDefault="00A1700F">
            <w:pPr>
              <w:jc w:val="right"/>
              <w:rPr>
                <w:rFonts w:ascii="Arial" w:hAnsi="Arial" w:cs="Arial"/>
                <w:sz w:val="16"/>
                <w:szCs w:val="16"/>
              </w:rPr>
            </w:pPr>
            <w:r>
              <w:rPr>
                <w:rFonts w:ascii="Arial" w:hAnsi="Arial" w:cs="Arial"/>
                <w:sz w:val="16"/>
                <w:szCs w:val="16"/>
              </w:rPr>
              <w:t>-6 770</w:t>
            </w:r>
          </w:p>
        </w:tc>
      </w:tr>
      <w:tr w:rsidR="00A1700F" w:rsidTr="00A1700F">
        <w:trPr>
          <w:trHeight w:val="283"/>
        </w:trPr>
        <w:tc>
          <w:tcPr>
            <w:tcW w:w="2818"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 xml:space="preserve"> Korekty:</w:t>
            </w:r>
          </w:p>
        </w:tc>
        <w:tc>
          <w:tcPr>
            <w:tcW w:w="1108" w:type="pct"/>
            <w:tcBorders>
              <w:top w:val="nil"/>
              <w:left w:val="nil"/>
              <w:bottom w:val="nil"/>
              <w:right w:val="nil"/>
            </w:tcBorders>
            <w:shd w:val="clear" w:color="auto" w:fill="auto"/>
            <w:vAlign w:val="center"/>
            <w:hideMark/>
          </w:tcPr>
          <w:p w:rsidR="00A1700F" w:rsidRDefault="00A1700F">
            <w:pPr>
              <w:jc w:val="right"/>
              <w:rPr>
                <w:rFonts w:ascii="Arial" w:hAnsi="Arial" w:cs="Arial"/>
                <w:sz w:val="16"/>
                <w:szCs w:val="16"/>
              </w:rPr>
            </w:pPr>
            <w:r>
              <w:rPr>
                <w:rFonts w:ascii="Arial" w:hAnsi="Arial" w:cs="Arial"/>
                <w:sz w:val="16"/>
                <w:szCs w:val="16"/>
              </w:rPr>
              <w:t>677</w:t>
            </w:r>
          </w:p>
        </w:tc>
        <w:tc>
          <w:tcPr>
            <w:tcW w:w="1074" w:type="pct"/>
            <w:tcBorders>
              <w:top w:val="nil"/>
              <w:left w:val="nil"/>
              <w:bottom w:val="nil"/>
              <w:right w:val="nil"/>
            </w:tcBorders>
            <w:shd w:val="clear" w:color="auto" w:fill="auto"/>
            <w:vAlign w:val="center"/>
            <w:hideMark/>
          </w:tcPr>
          <w:p w:rsidR="00A1700F" w:rsidRDefault="00A1700F">
            <w:pPr>
              <w:jc w:val="right"/>
              <w:rPr>
                <w:rFonts w:ascii="Arial" w:hAnsi="Arial" w:cs="Arial"/>
                <w:sz w:val="16"/>
                <w:szCs w:val="16"/>
              </w:rPr>
            </w:pPr>
            <w:r>
              <w:rPr>
                <w:rFonts w:ascii="Arial" w:hAnsi="Arial" w:cs="Arial"/>
                <w:sz w:val="16"/>
                <w:szCs w:val="16"/>
              </w:rPr>
              <w:t>4 699</w:t>
            </w:r>
          </w:p>
        </w:tc>
      </w:tr>
      <w:tr w:rsidR="00A1700F" w:rsidTr="00A1700F">
        <w:trPr>
          <w:trHeight w:val="283"/>
        </w:trPr>
        <w:tc>
          <w:tcPr>
            <w:tcW w:w="2818"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Podatek dochodowy z rachunku zysków i strat</w:t>
            </w:r>
          </w:p>
        </w:tc>
        <w:tc>
          <w:tcPr>
            <w:tcW w:w="1108" w:type="pct"/>
            <w:tcBorders>
              <w:top w:val="nil"/>
              <w:left w:val="nil"/>
              <w:bottom w:val="nil"/>
              <w:right w:val="nil"/>
            </w:tcBorders>
            <w:shd w:val="clear" w:color="auto" w:fill="auto"/>
            <w:vAlign w:val="center"/>
            <w:hideMark/>
          </w:tcPr>
          <w:p w:rsidR="00A1700F" w:rsidRDefault="00A1700F">
            <w:pPr>
              <w:jc w:val="right"/>
              <w:rPr>
                <w:rFonts w:ascii="Arial" w:hAnsi="Arial" w:cs="Arial"/>
                <w:sz w:val="16"/>
                <w:szCs w:val="16"/>
              </w:rPr>
            </w:pPr>
            <w:r>
              <w:rPr>
                <w:rFonts w:ascii="Arial" w:hAnsi="Arial" w:cs="Arial"/>
                <w:sz w:val="16"/>
                <w:szCs w:val="16"/>
              </w:rPr>
              <w:t>8</w:t>
            </w:r>
          </w:p>
        </w:tc>
        <w:tc>
          <w:tcPr>
            <w:tcW w:w="1074" w:type="pct"/>
            <w:tcBorders>
              <w:top w:val="nil"/>
              <w:left w:val="nil"/>
              <w:bottom w:val="nil"/>
              <w:right w:val="nil"/>
            </w:tcBorders>
            <w:shd w:val="clear" w:color="auto" w:fill="auto"/>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-31</w:t>
            </w:r>
          </w:p>
        </w:tc>
      </w:tr>
      <w:tr w:rsidR="00A1700F" w:rsidTr="00A1700F">
        <w:trPr>
          <w:trHeight w:val="283"/>
        </w:trPr>
        <w:tc>
          <w:tcPr>
            <w:tcW w:w="2818"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Amortyzacja</w:t>
            </w:r>
          </w:p>
        </w:tc>
        <w:tc>
          <w:tcPr>
            <w:tcW w:w="1108" w:type="pct"/>
            <w:tcBorders>
              <w:top w:val="nil"/>
              <w:left w:val="nil"/>
              <w:bottom w:val="nil"/>
              <w:right w:val="nil"/>
            </w:tcBorders>
            <w:shd w:val="clear" w:color="auto" w:fill="auto"/>
            <w:vAlign w:val="center"/>
            <w:hideMark/>
          </w:tcPr>
          <w:p w:rsidR="00A1700F" w:rsidRDefault="00A1700F">
            <w:pPr>
              <w:jc w:val="right"/>
              <w:rPr>
                <w:rFonts w:ascii="Arial" w:hAnsi="Arial" w:cs="Arial"/>
                <w:sz w:val="16"/>
                <w:szCs w:val="16"/>
              </w:rPr>
            </w:pPr>
            <w:r>
              <w:rPr>
                <w:rFonts w:ascii="Arial" w:hAnsi="Arial" w:cs="Arial"/>
                <w:sz w:val="16"/>
                <w:szCs w:val="16"/>
              </w:rPr>
              <w:t>3 561</w:t>
            </w:r>
          </w:p>
        </w:tc>
        <w:tc>
          <w:tcPr>
            <w:tcW w:w="1074" w:type="pct"/>
            <w:tcBorders>
              <w:top w:val="nil"/>
              <w:left w:val="nil"/>
              <w:bottom w:val="nil"/>
              <w:right w:val="nil"/>
            </w:tcBorders>
            <w:shd w:val="clear" w:color="auto" w:fill="auto"/>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1 886</w:t>
            </w:r>
          </w:p>
        </w:tc>
      </w:tr>
      <w:tr w:rsidR="00A1700F" w:rsidTr="00A1700F">
        <w:trPr>
          <w:trHeight w:val="283"/>
        </w:trPr>
        <w:tc>
          <w:tcPr>
            <w:tcW w:w="2818"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Zyski/Straty na zbyciu wartości niematerialnych i rzeczowych aktywów trwałych</w:t>
            </w:r>
          </w:p>
        </w:tc>
        <w:tc>
          <w:tcPr>
            <w:tcW w:w="1108" w:type="pct"/>
            <w:tcBorders>
              <w:top w:val="nil"/>
              <w:left w:val="nil"/>
              <w:bottom w:val="nil"/>
              <w:right w:val="nil"/>
            </w:tcBorders>
            <w:shd w:val="clear" w:color="auto" w:fill="auto"/>
            <w:vAlign w:val="center"/>
            <w:hideMark/>
          </w:tcPr>
          <w:p w:rsidR="00A1700F" w:rsidRDefault="00A1700F">
            <w:pPr>
              <w:jc w:val="right"/>
              <w:rPr>
                <w:rFonts w:ascii="Arial" w:hAnsi="Arial" w:cs="Arial"/>
                <w:sz w:val="16"/>
                <w:szCs w:val="16"/>
              </w:rPr>
            </w:pPr>
            <w:r>
              <w:rPr>
                <w:rFonts w:ascii="Arial" w:hAnsi="Arial" w:cs="Arial"/>
                <w:sz w:val="16"/>
                <w:szCs w:val="16"/>
              </w:rPr>
              <w:t>19</w:t>
            </w:r>
          </w:p>
        </w:tc>
        <w:tc>
          <w:tcPr>
            <w:tcW w:w="1074" w:type="pct"/>
            <w:tcBorders>
              <w:top w:val="nil"/>
              <w:left w:val="nil"/>
              <w:bottom w:val="nil"/>
              <w:right w:val="nil"/>
            </w:tcBorders>
            <w:shd w:val="clear" w:color="auto" w:fill="auto"/>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1 159</w:t>
            </w:r>
          </w:p>
        </w:tc>
      </w:tr>
      <w:tr w:rsidR="00A1700F" w:rsidTr="00A1700F">
        <w:trPr>
          <w:trHeight w:val="283"/>
        </w:trPr>
        <w:tc>
          <w:tcPr>
            <w:tcW w:w="2818"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Odpis z tytułu utraty wartości</w:t>
            </w:r>
          </w:p>
        </w:tc>
        <w:tc>
          <w:tcPr>
            <w:tcW w:w="1108" w:type="pct"/>
            <w:tcBorders>
              <w:top w:val="nil"/>
              <w:left w:val="nil"/>
              <w:bottom w:val="nil"/>
              <w:right w:val="nil"/>
            </w:tcBorders>
            <w:shd w:val="clear" w:color="auto" w:fill="auto"/>
            <w:vAlign w:val="center"/>
            <w:hideMark/>
          </w:tcPr>
          <w:p w:rsidR="00A1700F" w:rsidRDefault="00A1700F">
            <w:pPr>
              <w:jc w:val="right"/>
              <w:rPr>
                <w:rFonts w:ascii="Arial" w:hAnsi="Arial" w:cs="Arial"/>
                <w:sz w:val="16"/>
                <w:szCs w:val="16"/>
              </w:rPr>
            </w:pPr>
            <w:r>
              <w:rPr>
                <w:rFonts w:ascii="Arial" w:hAnsi="Arial" w:cs="Arial"/>
                <w:sz w:val="16"/>
                <w:szCs w:val="16"/>
              </w:rPr>
              <w:t xml:space="preserve"> -</w:t>
            </w:r>
          </w:p>
        </w:tc>
        <w:tc>
          <w:tcPr>
            <w:tcW w:w="1074" w:type="pct"/>
            <w:tcBorders>
              <w:top w:val="nil"/>
              <w:left w:val="nil"/>
              <w:bottom w:val="nil"/>
              <w:right w:val="nil"/>
            </w:tcBorders>
            <w:shd w:val="clear" w:color="auto" w:fill="auto"/>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w:t>
            </w:r>
          </w:p>
        </w:tc>
      </w:tr>
      <w:tr w:rsidR="00A1700F" w:rsidTr="00A1700F">
        <w:trPr>
          <w:trHeight w:val="283"/>
        </w:trPr>
        <w:tc>
          <w:tcPr>
            <w:tcW w:w="2818"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 xml:space="preserve">Odsetki i udziały w zyskach(dywidendy) </w:t>
            </w:r>
          </w:p>
        </w:tc>
        <w:tc>
          <w:tcPr>
            <w:tcW w:w="1108" w:type="pct"/>
            <w:tcBorders>
              <w:top w:val="nil"/>
              <w:left w:val="nil"/>
              <w:bottom w:val="nil"/>
              <w:right w:val="nil"/>
            </w:tcBorders>
            <w:shd w:val="clear" w:color="auto" w:fill="auto"/>
            <w:vAlign w:val="center"/>
            <w:hideMark/>
          </w:tcPr>
          <w:p w:rsidR="00A1700F" w:rsidRDefault="00A1700F">
            <w:pPr>
              <w:jc w:val="right"/>
              <w:rPr>
                <w:rFonts w:ascii="Arial" w:hAnsi="Arial" w:cs="Arial"/>
                <w:sz w:val="16"/>
                <w:szCs w:val="16"/>
              </w:rPr>
            </w:pPr>
            <w:r>
              <w:rPr>
                <w:rFonts w:ascii="Arial" w:hAnsi="Arial" w:cs="Arial"/>
                <w:sz w:val="16"/>
                <w:szCs w:val="16"/>
              </w:rPr>
              <w:t>726</w:t>
            </w:r>
          </w:p>
        </w:tc>
        <w:tc>
          <w:tcPr>
            <w:tcW w:w="1074" w:type="pct"/>
            <w:tcBorders>
              <w:top w:val="nil"/>
              <w:left w:val="nil"/>
              <w:bottom w:val="nil"/>
              <w:right w:val="nil"/>
            </w:tcBorders>
            <w:shd w:val="clear" w:color="auto" w:fill="auto"/>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655</w:t>
            </w:r>
          </w:p>
        </w:tc>
      </w:tr>
      <w:tr w:rsidR="00A1700F" w:rsidTr="00A1700F">
        <w:trPr>
          <w:trHeight w:val="283"/>
        </w:trPr>
        <w:tc>
          <w:tcPr>
            <w:tcW w:w="2818"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 xml:space="preserve">Zyski/Straty z tytułu różnic kursowych </w:t>
            </w:r>
          </w:p>
        </w:tc>
        <w:tc>
          <w:tcPr>
            <w:tcW w:w="1108" w:type="pct"/>
            <w:tcBorders>
              <w:top w:val="nil"/>
              <w:left w:val="nil"/>
              <w:bottom w:val="nil"/>
              <w:right w:val="nil"/>
            </w:tcBorders>
            <w:shd w:val="clear" w:color="auto" w:fill="auto"/>
            <w:vAlign w:val="center"/>
            <w:hideMark/>
          </w:tcPr>
          <w:p w:rsidR="00A1700F" w:rsidRDefault="00A1700F">
            <w:pPr>
              <w:jc w:val="right"/>
              <w:rPr>
                <w:rFonts w:ascii="Arial" w:hAnsi="Arial" w:cs="Arial"/>
                <w:sz w:val="16"/>
                <w:szCs w:val="16"/>
              </w:rPr>
            </w:pPr>
            <w:r>
              <w:rPr>
                <w:rFonts w:ascii="Arial" w:hAnsi="Arial" w:cs="Arial"/>
                <w:sz w:val="16"/>
                <w:szCs w:val="16"/>
              </w:rPr>
              <w:t>-122</w:t>
            </w:r>
          </w:p>
        </w:tc>
        <w:tc>
          <w:tcPr>
            <w:tcW w:w="1074" w:type="pct"/>
            <w:tcBorders>
              <w:top w:val="nil"/>
              <w:left w:val="nil"/>
              <w:bottom w:val="nil"/>
              <w:right w:val="nil"/>
            </w:tcBorders>
            <w:shd w:val="clear" w:color="auto" w:fill="auto"/>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145</w:t>
            </w:r>
          </w:p>
        </w:tc>
      </w:tr>
      <w:tr w:rsidR="00A1700F" w:rsidTr="00A1700F">
        <w:trPr>
          <w:trHeight w:val="283"/>
        </w:trPr>
        <w:tc>
          <w:tcPr>
            <w:tcW w:w="2818"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Udziały w zyskach jednostek stowarzyszonych wycenianych metodą praw własności</w:t>
            </w:r>
          </w:p>
        </w:tc>
        <w:tc>
          <w:tcPr>
            <w:tcW w:w="1108" w:type="pct"/>
            <w:tcBorders>
              <w:top w:val="nil"/>
              <w:left w:val="nil"/>
              <w:bottom w:val="nil"/>
              <w:right w:val="nil"/>
            </w:tcBorders>
            <w:shd w:val="clear" w:color="000000" w:fill="FFFFFF"/>
            <w:vAlign w:val="center"/>
            <w:hideMark/>
          </w:tcPr>
          <w:p w:rsidR="00A1700F" w:rsidRDefault="00A1700F">
            <w:pPr>
              <w:jc w:val="right"/>
              <w:rPr>
                <w:rFonts w:ascii="Arial" w:hAnsi="Arial" w:cs="Arial"/>
                <w:sz w:val="16"/>
                <w:szCs w:val="16"/>
              </w:rPr>
            </w:pPr>
            <w:r>
              <w:rPr>
                <w:rFonts w:ascii="Arial" w:hAnsi="Arial" w:cs="Arial"/>
                <w:sz w:val="16"/>
                <w:szCs w:val="16"/>
              </w:rPr>
              <w:t>-250</w:t>
            </w:r>
          </w:p>
        </w:tc>
        <w:tc>
          <w:tcPr>
            <w:tcW w:w="1074" w:type="pct"/>
            <w:tcBorders>
              <w:top w:val="nil"/>
              <w:left w:val="nil"/>
              <w:bottom w:val="nil"/>
              <w:right w:val="nil"/>
            </w:tcBorders>
            <w:shd w:val="clear" w:color="auto" w:fill="auto"/>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-50</w:t>
            </w:r>
          </w:p>
        </w:tc>
      </w:tr>
      <w:tr w:rsidR="00A1700F" w:rsidTr="00A1700F">
        <w:trPr>
          <w:trHeight w:val="283"/>
        </w:trPr>
        <w:tc>
          <w:tcPr>
            <w:tcW w:w="2818"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Zmiany stanu rezerw</w:t>
            </w:r>
          </w:p>
        </w:tc>
        <w:tc>
          <w:tcPr>
            <w:tcW w:w="1108" w:type="pct"/>
            <w:tcBorders>
              <w:top w:val="nil"/>
              <w:left w:val="nil"/>
              <w:bottom w:val="nil"/>
              <w:right w:val="nil"/>
            </w:tcBorders>
            <w:shd w:val="clear" w:color="auto" w:fill="auto"/>
            <w:vAlign w:val="center"/>
            <w:hideMark/>
          </w:tcPr>
          <w:p w:rsidR="00A1700F" w:rsidRDefault="00A1700F">
            <w:pPr>
              <w:jc w:val="right"/>
              <w:rPr>
                <w:rFonts w:ascii="Arial" w:hAnsi="Arial" w:cs="Arial"/>
                <w:sz w:val="16"/>
                <w:szCs w:val="16"/>
              </w:rPr>
            </w:pPr>
            <w:r>
              <w:rPr>
                <w:rFonts w:ascii="Arial" w:hAnsi="Arial" w:cs="Arial"/>
                <w:sz w:val="16"/>
                <w:szCs w:val="16"/>
              </w:rPr>
              <w:t>-59</w:t>
            </w:r>
          </w:p>
        </w:tc>
        <w:tc>
          <w:tcPr>
            <w:tcW w:w="1074" w:type="pct"/>
            <w:tcBorders>
              <w:top w:val="nil"/>
              <w:left w:val="nil"/>
              <w:bottom w:val="nil"/>
              <w:right w:val="nil"/>
            </w:tcBorders>
            <w:shd w:val="clear" w:color="auto" w:fill="auto"/>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w:t>
            </w:r>
          </w:p>
        </w:tc>
      </w:tr>
      <w:tr w:rsidR="00A1700F" w:rsidTr="00A1700F">
        <w:trPr>
          <w:trHeight w:val="283"/>
        </w:trPr>
        <w:tc>
          <w:tcPr>
            <w:tcW w:w="2818"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Inne korekty</w:t>
            </w:r>
          </w:p>
        </w:tc>
        <w:tc>
          <w:tcPr>
            <w:tcW w:w="1108" w:type="pct"/>
            <w:tcBorders>
              <w:top w:val="nil"/>
              <w:left w:val="nil"/>
              <w:bottom w:val="nil"/>
              <w:right w:val="nil"/>
            </w:tcBorders>
            <w:shd w:val="clear" w:color="auto" w:fill="auto"/>
            <w:vAlign w:val="center"/>
            <w:hideMark/>
          </w:tcPr>
          <w:p w:rsidR="00A1700F" w:rsidRDefault="00A1700F">
            <w:pPr>
              <w:jc w:val="right"/>
              <w:rPr>
                <w:rFonts w:ascii="Arial" w:hAnsi="Arial" w:cs="Arial"/>
                <w:sz w:val="16"/>
                <w:szCs w:val="16"/>
              </w:rPr>
            </w:pPr>
            <w:r>
              <w:rPr>
                <w:rFonts w:ascii="Arial" w:hAnsi="Arial" w:cs="Arial"/>
                <w:sz w:val="16"/>
                <w:szCs w:val="16"/>
              </w:rPr>
              <w:t>-3 207</w:t>
            </w:r>
          </w:p>
        </w:tc>
        <w:tc>
          <w:tcPr>
            <w:tcW w:w="1074" w:type="pct"/>
            <w:tcBorders>
              <w:top w:val="nil"/>
              <w:left w:val="nil"/>
              <w:bottom w:val="nil"/>
              <w:right w:val="nil"/>
            </w:tcBorders>
            <w:shd w:val="clear" w:color="auto" w:fill="auto"/>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935</w:t>
            </w:r>
          </w:p>
        </w:tc>
      </w:tr>
      <w:tr w:rsidR="00A1700F" w:rsidTr="00A1700F">
        <w:trPr>
          <w:trHeight w:val="283"/>
        </w:trPr>
        <w:tc>
          <w:tcPr>
            <w:tcW w:w="2818" w:type="pct"/>
            <w:tcBorders>
              <w:top w:val="nil"/>
              <w:left w:val="nil"/>
              <w:bottom w:val="nil"/>
              <w:right w:val="nil"/>
            </w:tcBorders>
            <w:shd w:val="clear" w:color="auto" w:fill="auto"/>
            <w:vAlign w:val="center"/>
            <w:hideMark/>
          </w:tcPr>
          <w:p w:rsidR="00A1700F" w:rsidRDefault="00A1700F">
            <w:pPr>
              <w:rPr>
                <w:rFonts w:ascii="Arial" w:hAnsi="Arial" w:cs="Arial"/>
                <w:b/>
                <w:bCs/>
                <w:color w:val="000000"/>
                <w:sz w:val="16"/>
                <w:szCs w:val="16"/>
              </w:rPr>
            </w:pPr>
            <w:r>
              <w:rPr>
                <w:rFonts w:ascii="Arial" w:hAnsi="Arial" w:cs="Arial"/>
                <w:b/>
                <w:bCs/>
                <w:color w:val="000000"/>
                <w:sz w:val="16"/>
                <w:szCs w:val="16"/>
              </w:rPr>
              <w:t>Zmiany stanu kapitału obrotowego:</w:t>
            </w:r>
          </w:p>
        </w:tc>
        <w:tc>
          <w:tcPr>
            <w:tcW w:w="1108" w:type="pct"/>
            <w:tcBorders>
              <w:top w:val="nil"/>
              <w:left w:val="nil"/>
              <w:bottom w:val="nil"/>
              <w:right w:val="nil"/>
            </w:tcBorders>
            <w:shd w:val="clear" w:color="auto" w:fill="auto"/>
            <w:vAlign w:val="center"/>
            <w:hideMark/>
          </w:tcPr>
          <w:p w:rsidR="00A1700F" w:rsidRDefault="00A1700F">
            <w:pPr>
              <w:jc w:val="right"/>
              <w:rPr>
                <w:rFonts w:ascii="Arial" w:hAnsi="Arial" w:cs="Arial"/>
                <w:b/>
                <w:bCs/>
                <w:sz w:val="16"/>
                <w:szCs w:val="16"/>
              </w:rPr>
            </w:pPr>
            <w:r>
              <w:rPr>
                <w:rFonts w:ascii="Arial" w:hAnsi="Arial" w:cs="Arial"/>
                <w:b/>
                <w:bCs/>
                <w:sz w:val="16"/>
                <w:szCs w:val="16"/>
              </w:rPr>
              <w:t>3 572</w:t>
            </w:r>
          </w:p>
        </w:tc>
        <w:tc>
          <w:tcPr>
            <w:tcW w:w="1074" w:type="pct"/>
            <w:tcBorders>
              <w:top w:val="nil"/>
              <w:left w:val="nil"/>
              <w:bottom w:val="nil"/>
              <w:right w:val="nil"/>
            </w:tcBorders>
            <w:shd w:val="clear" w:color="auto" w:fill="auto"/>
            <w:vAlign w:val="center"/>
            <w:hideMark/>
          </w:tcPr>
          <w:p w:rsidR="00A1700F" w:rsidRDefault="00A1700F">
            <w:pPr>
              <w:jc w:val="right"/>
              <w:rPr>
                <w:rFonts w:ascii="Arial" w:hAnsi="Arial" w:cs="Arial"/>
                <w:b/>
                <w:bCs/>
                <w:sz w:val="16"/>
                <w:szCs w:val="16"/>
              </w:rPr>
            </w:pPr>
            <w:r>
              <w:rPr>
                <w:rFonts w:ascii="Arial" w:hAnsi="Arial" w:cs="Arial"/>
                <w:b/>
                <w:bCs/>
                <w:sz w:val="16"/>
                <w:szCs w:val="16"/>
              </w:rPr>
              <w:t>417</w:t>
            </w:r>
          </w:p>
        </w:tc>
      </w:tr>
      <w:tr w:rsidR="00A1700F" w:rsidTr="00A1700F">
        <w:trPr>
          <w:trHeight w:val="283"/>
        </w:trPr>
        <w:tc>
          <w:tcPr>
            <w:tcW w:w="2818"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Zapasy</w:t>
            </w:r>
          </w:p>
        </w:tc>
        <w:tc>
          <w:tcPr>
            <w:tcW w:w="1108" w:type="pct"/>
            <w:tcBorders>
              <w:top w:val="nil"/>
              <w:left w:val="nil"/>
              <w:bottom w:val="nil"/>
              <w:right w:val="nil"/>
            </w:tcBorders>
            <w:shd w:val="clear" w:color="auto" w:fill="auto"/>
            <w:vAlign w:val="center"/>
            <w:hideMark/>
          </w:tcPr>
          <w:p w:rsidR="00A1700F" w:rsidRDefault="00A1700F">
            <w:pPr>
              <w:jc w:val="right"/>
              <w:rPr>
                <w:rFonts w:ascii="Arial" w:hAnsi="Arial" w:cs="Arial"/>
                <w:sz w:val="16"/>
                <w:szCs w:val="16"/>
              </w:rPr>
            </w:pPr>
            <w:r>
              <w:rPr>
                <w:rFonts w:ascii="Arial" w:hAnsi="Arial" w:cs="Arial"/>
                <w:sz w:val="16"/>
                <w:szCs w:val="16"/>
              </w:rPr>
              <w:t>-115</w:t>
            </w:r>
          </w:p>
        </w:tc>
        <w:tc>
          <w:tcPr>
            <w:tcW w:w="1074" w:type="pct"/>
            <w:tcBorders>
              <w:top w:val="nil"/>
              <w:left w:val="nil"/>
              <w:bottom w:val="nil"/>
              <w:right w:val="nil"/>
            </w:tcBorders>
            <w:shd w:val="clear" w:color="auto" w:fill="auto"/>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47</w:t>
            </w:r>
          </w:p>
        </w:tc>
      </w:tr>
      <w:tr w:rsidR="00A1700F" w:rsidTr="00A1700F">
        <w:trPr>
          <w:trHeight w:val="283"/>
        </w:trPr>
        <w:tc>
          <w:tcPr>
            <w:tcW w:w="2818"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Należności z tyt. dostaw i usług oraz pozostałe należności</w:t>
            </w:r>
          </w:p>
        </w:tc>
        <w:tc>
          <w:tcPr>
            <w:tcW w:w="1108" w:type="pct"/>
            <w:tcBorders>
              <w:top w:val="nil"/>
              <w:left w:val="nil"/>
              <w:bottom w:val="nil"/>
              <w:right w:val="nil"/>
            </w:tcBorders>
            <w:shd w:val="clear" w:color="auto" w:fill="auto"/>
            <w:vAlign w:val="center"/>
            <w:hideMark/>
          </w:tcPr>
          <w:p w:rsidR="00A1700F" w:rsidRDefault="00A1700F">
            <w:pPr>
              <w:jc w:val="right"/>
              <w:rPr>
                <w:rFonts w:ascii="Arial" w:hAnsi="Arial" w:cs="Arial"/>
                <w:sz w:val="16"/>
                <w:szCs w:val="16"/>
              </w:rPr>
            </w:pPr>
            <w:r>
              <w:rPr>
                <w:rFonts w:ascii="Arial" w:hAnsi="Arial" w:cs="Arial"/>
                <w:sz w:val="16"/>
                <w:szCs w:val="16"/>
              </w:rPr>
              <w:t>-3 165</w:t>
            </w:r>
          </w:p>
        </w:tc>
        <w:tc>
          <w:tcPr>
            <w:tcW w:w="1074" w:type="pct"/>
            <w:tcBorders>
              <w:top w:val="nil"/>
              <w:left w:val="nil"/>
              <w:bottom w:val="nil"/>
              <w:right w:val="nil"/>
            </w:tcBorders>
            <w:shd w:val="clear" w:color="auto" w:fill="auto"/>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-1 252</w:t>
            </w:r>
          </w:p>
        </w:tc>
      </w:tr>
      <w:tr w:rsidR="00A1700F" w:rsidTr="00A1700F">
        <w:trPr>
          <w:trHeight w:val="283"/>
        </w:trPr>
        <w:tc>
          <w:tcPr>
            <w:tcW w:w="2818"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Zobowiązania z tyt. dostaw i usług oraz pozostałe zobowiązania</w:t>
            </w:r>
          </w:p>
        </w:tc>
        <w:tc>
          <w:tcPr>
            <w:tcW w:w="1108" w:type="pct"/>
            <w:tcBorders>
              <w:top w:val="nil"/>
              <w:left w:val="nil"/>
              <w:bottom w:val="nil"/>
              <w:right w:val="nil"/>
            </w:tcBorders>
            <w:shd w:val="clear" w:color="auto" w:fill="auto"/>
            <w:vAlign w:val="center"/>
            <w:hideMark/>
          </w:tcPr>
          <w:p w:rsidR="00A1700F" w:rsidRDefault="00A1700F">
            <w:pPr>
              <w:jc w:val="right"/>
              <w:rPr>
                <w:rFonts w:ascii="Arial" w:hAnsi="Arial" w:cs="Arial"/>
                <w:sz w:val="16"/>
                <w:szCs w:val="16"/>
              </w:rPr>
            </w:pPr>
            <w:r>
              <w:rPr>
                <w:rFonts w:ascii="Arial" w:hAnsi="Arial" w:cs="Arial"/>
                <w:sz w:val="16"/>
                <w:szCs w:val="16"/>
              </w:rPr>
              <w:t>6 851</w:t>
            </w:r>
          </w:p>
        </w:tc>
        <w:tc>
          <w:tcPr>
            <w:tcW w:w="1074" w:type="pct"/>
            <w:tcBorders>
              <w:top w:val="nil"/>
              <w:left w:val="nil"/>
              <w:bottom w:val="nil"/>
              <w:right w:val="nil"/>
            </w:tcBorders>
            <w:shd w:val="clear" w:color="auto" w:fill="auto"/>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1 622</w:t>
            </w:r>
          </w:p>
        </w:tc>
      </w:tr>
      <w:tr w:rsidR="00A1700F" w:rsidTr="00A1700F">
        <w:trPr>
          <w:trHeight w:val="283"/>
        </w:trPr>
        <w:tc>
          <w:tcPr>
            <w:tcW w:w="2818"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 xml:space="preserve"> Podatek dochodowy zapłacony</w:t>
            </w:r>
          </w:p>
        </w:tc>
        <w:tc>
          <w:tcPr>
            <w:tcW w:w="1108" w:type="pct"/>
            <w:tcBorders>
              <w:top w:val="nil"/>
              <w:left w:val="nil"/>
              <w:bottom w:val="nil"/>
              <w:right w:val="nil"/>
            </w:tcBorders>
            <w:shd w:val="clear" w:color="auto" w:fill="auto"/>
            <w:vAlign w:val="center"/>
            <w:hideMark/>
          </w:tcPr>
          <w:p w:rsidR="00A1700F" w:rsidRDefault="00A1700F">
            <w:pPr>
              <w:jc w:val="right"/>
              <w:rPr>
                <w:rFonts w:ascii="Arial" w:hAnsi="Arial" w:cs="Arial"/>
                <w:sz w:val="16"/>
                <w:szCs w:val="16"/>
              </w:rPr>
            </w:pPr>
            <w:r>
              <w:rPr>
                <w:rFonts w:ascii="Arial" w:hAnsi="Arial" w:cs="Arial"/>
                <w:sz w:val="16"/>
                <w:szCs w:val="16"/>
              </w:rPr>
              <w:t>47</w:t>
            </w:r>
          </w:p>
        </w:tc>
        <w:tc>
          <w:tcPr>
            <w:tcW w:w="1074" w:type="pct"/>
            <w:tcBorders>
              <w:top w:val="nil"/>
              <w:left w:val="nil"/>
              <w:bottom w:val="nil"/>
              <w:right w:val="nil"/>
            </w:tcBorders>
            <w:shd w:val="clear" w:color="auto" w:fill="auto"/>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507</w:t>
            </w:r>
          </w:p>
        </w:tc>
      </w:tr>
      <w:tr w:rsidR="00A1700F" w:rsidTr="00A1700F">
        <w:trPr>
          <w:trHeight w:val="283"/>
        </w:trPr>
        <w:tc>
          <w:tcPr>
            <w:tcW w:w="2818" w:type="pct"/>
            <w:tcBorders>
              <w:top w:val="single" w:sz="8" w:space="0" w:color="auto"/>
              <w:left w:val="nil"/>
              <w:bottom w:val="single" w:sz="8" w:space="0" w:color="auto"/>
              <w:right w:val="nil"/>
            </w:tcBorders>
            <w:shd w:val="clear" w:color="auto" w:fill="auto"/>
            <w:vAlign w:val="center"/>
            <w:hideMark/>
          </w:tcPr>
          <w:p w:rsidR="00A1700F" w:rsidRDefault="00A1700F">
            <w:pPr>
              <w:rPr>
                <w:rFonts w:ascii="Arial" w:hAnsi="Arial" w:cs="Arial"/>
                <w:b/>
                <w:bCs/>
                <w:color w:val="000000"/>
                <w:sz w:val="16"/>
                <w:szCs w:val="16"/>
              </w:rPr>
            </w:pPr>
            <w:r>
              <w:rPr>
                <w:rFonts w:ascii="Arial" w:hAnsi="Arial" w:cs="Arial"/>
                <w:b/>
                <w:bCs/>
                <w:color w:val="000000"/>
                <w:sz w:val="16"/>
                <w:szCs w:val="16"/>
              </w:rPr>
              <w:t>Przepływy pieniężne netto z działalności operacyjnej</w:t>
            </w:r>
          </w:p>
        </w:tc>
        <w:tc>
          <w:tcPr>
            <w:tcW w:w="1108" w:type="pct"/>
            <w:tcBorders>
              <w:top w:val="single" w:sz="8" w:space="0" w:color="auto"/>
              <w:left w:val="nil"/>
              <w:bottom w:val="single" w:sz="8" w:space="0" w:color="auto"/>
              <w:right w:val="nil"/>
            </w:tcBorders>
            <w:shd w:val="clear" w:color="auto" w:fill="auto"/>
            <w:vAlign w:val="center"/>
            <w:hideMark/>
          </w:tcPr>
          <w:p w:rsidR="00A1700F" w:rsidRDefault="00A1700F">
            <w:pPr>
              <w:jc w:val="right"/>
              <w:rPr>
                <w:rFonts w:ascii="Arial" w:hAnsi="Arial" w:cs="Arial"/>
                <w:b/>
                <w:bCs/>
                <w:sz w:val="16"/>
                <w:szCs w:val="16"/>
              </w:rPr>
            </w:pPr>
            <w:r>
              <w:rPr>
                <w:rFonts w:ascii="Arial" w:hAnsi="Arial" w:cs="Arial"/>
                <w:b/>
                <w:bCs/>
                <w:sz w:val="16"/>
                <w:szCs w:val="16"/>
              </w:rPr>
              <w:t>7 877</w:t>
            </w:r>
          </w:p>
        </w:tc>
        <w:tc>
          <w:tcPr>
            <w:tcW w:w="1074" w:type="pct"/>
            <w:tcBorders>
              <w:top w:val="single" w:sz="8" w:space="0" w:color="auto"/>
              <w:left w:val="nil"/>
              <w:bottom w:val="single" w:sz="8" w:space="0" w:color="auto"/>
              <w:right w:val="nil"/>
            </w:tcBorders>
            <w:shd w:val="clear" w:color="auto" w:fill="auto"/>
            <w:vAlign w:val="center"/>
            <w:hideMark/>
          </w:tcPr>
          <w:p w:rsidR="00A1700F" w:rsidRDefault="00A1700F">
            <w:pPr>
              <w:jc w:val="right"/>
              <w:rPr>
                <w:rFonts w:ascii="Arial" w:hAnsi="Arial" w:cs="Arial"/>
                <w:b/>
                <w:bCs/>
                <w:sz w:val="16"/>
                <w:szCs w:val="16"/>
              </w:rPr>
            </w:pPr>
            <w:r>
              <w:rPr>
                <w:rFonts w:ascii="Arial" w:hAnsi="Arial" w:cs="Arial"/>
                <w:b/>
                <w:bCs/>
                <w:sz w:val="16"/>
                <w:szCs w:val="16"/>
              </w:rPr>
              <w:t>-1 147</w:t>
            </w:r>
          </w:p>
        </w:tc>
      </w:tr>
      <w:tr w:rsidR="00A1700F" w:rsidTr="00A1700F">
        <w:trPr>
          <w:trHeight w:val="283"/>
        </w:trPr>
        <w:tc>
          <w:tcPr>
            <w:tcW w:w="2818" w:type="pct"/>
            <w:tcBorders>
              <w:top w:val="nil"/>
              <w:left w:val="nil"/>
              <w:bottom w:val="nil"/>
              <w:right w:val="nil"/>
            </w:tcBorders>
            <w:shd w:val="clear" w:color="auto" w:fill="auto"/>
            <w:vAlign w:val="center"/>
            <w:hideMark/>
          </w:tcPr>
          <w:p w:rsidR="00A1700F" w:rsidRDefault="00A1700F">
            <w:pPr>
              <w:rPr>
                <w:rFonts w:ascii="Arial" w:hAnsi="Arial" w:cs="Arial"/>
                <w:b/>
                <w:bCs/>
                <w:color w:val="000000"/>
                <w:sz w:val="16"/>
                <w:szCs w:val="16"/>
              </w:rPr>
            </w:pPr>
            <w:r>
              <w:rPr>
                <w:rFonts w:ascii="Arial" w:hAnsi="Arial" w:cs="Arial"/>
                <w:b/>
                <w:bCs/>
                <w:color w:val="000000"/>
                <w:sz w:val="16"/>
                <w:szCs w:val="16"/>
              </w:rPr>
              <w:t>Przepływy pieniężne z działalności inwestycyjnej</w:t>
            </w:r>
          </w:p>
        </w:tc>
        <w:tc>
          <w:tcPr>
            <w:tcW w:w="1108" w:type="pct"/>
            <w:tcBorders>
              <w:top w:val="nil"/>
              <w:left w:val="nil"/>
              <w:bottom w:val="nil"/>
              <w:right w:val="nil"/>
            </w:tcBorders>
            <w:shd w:val="clear" w:color="auto" w:fill="auto"/>
            <w:noWrap/>
            <w:vAlign w:val="center"/>
            <w:hideMark/>
          </w:tcPr>
          <w:p w:rsidR="00A1700F" w:rsidRDefault="00A1700F">
            <w:pPr>
              <w:rPr>
                <w:sz w:val="22"/>
                <w:szCs w:val="22"/>
              </w:rPr>
            </w:pPr>
          </w:p>
        </w:tc>
        <w:tc>
          <w:tcPr>
            <w:tcW w:w="1074" w:type="pct"/>
            <w:tcBorders>
              <w:top w:val="nil"/>
              <w:left w:val="nil"/>
              <w:bottom w:val="nil"/>
              <w:right w:val="nil"/>
            </w:tcBorders>
            <w:shd w:val="clear" w:color="auto" w:fill="auto"/>
            <w:noWrap/>
            <w:vAlign w:val="center"/>
            <w:hideMark/>
          </w:tcPr>
          <w:p w:rsidR="00A1700F" w:rsidRDefault="00A1700F">
            <w:pPr>
              <w:rPr>
                <w:sz w:val="22"/>
                <w:szCs w:val="22"/>
              </w:rPr>
            </w:pPr>
          </w:p>
        </w:tc>
      </w:tr>
      <w:tr w:rsidR="00A1700F" w:rsidTr="00A1700F">
        <w:trPr>
          <w:trHeight w:val="283"/>
        </w:trPr>
        <w:tc>
          <w:tcPr>
            <w:tcW w:w="2818"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Nabycie wartości niematerialnych  i rzeczowych aktywów trwałych</w:t>
            </w:r>
          </w:p>
        </w:tc>
        <w:tc>
          <w:tcPr>
            <w:tcW w:w="1108" w:type="pct"/>
            <w:tcBorders>
              <w:top w:val="nil"/>
              <w:left w:val="nil"/>
              <w:bottom w:val="nil"/>
              <w:right w:val="nil"/>
            </w:tcBorders>
            <w:shd w:val="clear" w:color="auto" w:fill="auto"/>
            <w:noWrap/>
            <w:vAlign w:val="center"/>
            <w:hideMark/>
          </w:tcPr>
          <w:p w:rsidR="00A1700F" w:rsidRDefault="00A1700F">
            <w:pPr>
              <w:jc w:val="right"/>
              <w:rPr>
                <w:rFonts w:ascii="Arial" w:hAnsi="Arial" w:cs="Arial"/>
                <w:sz w:val="16"/>
                <w:szCs w:val="16"/>
              </w:rPr>
            </w:pPr>
            <w:r>
              <w:rPr>
                <w:rFonts w:ascii="Arial" w:hAnsi="Arial" w:cs="Arial"/>
                <w:sz w:val="16"/>
                <w:szCs w:val="16"/>
              </w:rPr>
              <w:t>-13 742</w:t>
            </w:r>
          </w:p>
        </w:tc>
        <w:tc>
          <w:tcPr>
            <w:tcW w:w="1074"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-31 570</w:t>
            </w:r>
          </w:p>
        </w:tc>
      </w:tr>
      <w:tr w:rsidR="00A1700F" w:rsidTr="00A1700F">
        <w:trPr>
          <w:trHeight w:val="283"/>
        </w:trPr>
        <w:tc>
          <w:tcPr>
            <w:tcW w:w="2818"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Wpływy ze zbycia  wartości niematerialnych i rzeczowych aktywów trwałych</w:t>
            </w:r>
          </w:p>
        </w:tc>
        <w:tc>
          <w:tcPr>
            <w:tcW w:w="1108" w:type="pct"/>
            <w:tcBorders>
              <w:top w:val="nil"/>
              <w:left w:val="nil"/>
              <w:bottom w:val="nil"/>
              <w:right w:val="nil"/>
            </w:tcBorders>
            <w:shd w:val="clear" w:color="auto" w:fill="auto"/>
            <w:noWrap/>
            <w:vAlign w:val="center"/>
            <w:hideMark/>
          </w:tcPr>
          <w:p w:rsidR="00A1700F" w:rsidRDefault="00A1700F">
            <w:pPr>
              <w:jc w:val="right"/>
              <w:rPr>
                <w:rFonts w:ascii="Arial" w:hAnsi="Arial" w:cs="Arial"/>
                <w:sz w:val="16"/>
                <w:szCs w:val="16"/>
              </w:rPr>
            </w:pPr>
            <w:r>
              <w:rPr>
                <w:rFonts w:ascii="Arial" w:hAnsi="Arial" w:cs="Arial"/>
                <w:sz w:val="16"/>
                <w:szCs w:val="16"/>
              </w:rPr>
              <w:t>-</w:t>
            </w:r>
          </w:p>
        </w:tc>
        <w:tc>
          <w:tcPr>
            <w:tcW w:w="1074"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w:t>
            </w:r>
          </w:p>
        </w:tc>
      </w:tr>
      <w:tr w:rsidR="00A1700F" w:rsidTr="00A1700F">
        <w:trPr>
          <w:trHeight w:val="283"/>
        </w:trPr>
        <w:tc>
          <w:tcPr>
            <w:tcW w:w="2818"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Dywidendy otrzymane</w:t>
            </w:r>
          </w:p>
        </w:tc>
        <w:tc>
          <w:tcPr>
            <w:tcW w:w="1108" w:type="pct"/>
            <w:tcBorders>
              <w:top w:val="nil"/>
              <w:left w:val="nil"/>
              <w:bottom w:val="nil"/>
              <w:right w:val="nil"/>
            </w:tcBorders>
            <w:shd w:val="clear" w:color="auto" w:fill="auto"/>
            <w:noWrap/>
            <w:vAlign w:val="center"/>
            <w:hideMark/>
          </w:tcPr>
          <w:p w:rsidR="00A1700F" w:rsidRDefault="00A1700F">
            <w:pPr>
              <w:jc w:val="right"/>
              <w:rPr>
                <w:rFonts w:ascii="Arial" w:hAnsi="Arial" w:cs="Arial"/>
                <w:sz w:val="16"/>
                <w:szCs w:val="16"/>
              </w:rPr>
            </w:pPr>
            <w:r>
              <w:rPr>
                <w:rFonts w:ascii="Arial" w:hAnsi="Arial" w:cs="Arial"/>
                <w:sz w:val="16"/>
                <w:szCs w:val="16"/>
              </w:rPr>
              <w:t>-</w:t>
            </w:r>
          </w:p>
        </w:tc>
        <w:tc>
          <w:tcPr>
            <w:tcW w:w="1074"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w:t>
            </w:r>
          </w:p>
        </w:tc>
      </w:tr>
      <w:tr w:rsidR="00A1700F" w:rsidTr="00A1700F">
        <w:trPr>
          <w:trHeight w:val="283"/>
        </w:trPr>
        <w:tc>
          <w:tcPr>
            <w:tcW w:w="2818" w:type="pct"/>
            <w:tcBorders>
              <w:top w:val="single" w:sz="8" w:space="0" w:color="auto"/>
              <w:left w:val="nil"/>
              <w:bottom w:val="single" w:sz="8" w:space="0" w:color="auto"/>
              <w:right w:val="nil"/>
            </w:tcBorders>
            <w:shd w:val="clear" w:color="auto" w:fill="auto"/>
            <w:vAlign w:val="center"/>
            <w:hideMark/>
          </w:tcPr>
          <w:p w:rsidR="00A1700F" w:rsidRDefault="00A1700F">
            <w:pPr>
              <w:rPr>
                <w:rFonts w:ascii="Arial" w:hAnsi="Arial" w:cs="Arial"/>
                <w:b/>
                <w:bCs/>
                <w:color w:val="000000"/>
                <w:sz w:val="16"/>
                <w:szCs w:val="16"/>
              </w:rPr>
            </w:pPr>
            <w:r>
              <w:rPr>
                <w:rFonts w:ascii="Arial" w:hAnsi="Arial" w:cs="Arial"/>
                <w:b/>
                <w:bCs/>
                <w:color w:val="000000"/>
                <w:sz w:val="16"/>
                <w:szCs w:val="16"/>
              </w:rPr>
              <w:t>Przepływy pieniężne netto z działalności inwestycyjnej</w:t>
            </w:r>
          </w:p>
        </w:tc>
        <w:tc>
          <w:tcPr>
            <w:tcW w:w="1108" w:type="pct"/>
            <w:tcBorders>
              <w:top w:val="single" w:sz="8" w:space="0" w:color="auto"/>
              <w:left w:val="nil"/>
              <w:bottom w:val="single" w:sz="8" w:space="0" w:color="auto"/>
              <w:right w:val="nil"/>
            </w:tcBorders>
            <w:shd w:val="clear" w:color="auto" w:fill="auto"/>
            <w:noWrap/>
            <w:vAlign w:val="center"/>
            <w:hideMark/>
          </w:tcPr>
          <w:p w:rsidR="00A1700F" w:rsidRDefault="00A1700F">
            <w:pPr>
              <w:jc w:val="right"/>
              <w:rPr>
                <w:rFonts w:ascii="Arial" w:hAnsi="Arial" w:cs="Arial"/>
                <w:b/>
                <w:bCs/>
                <w:sz w:val="16"/>
                <w:szCs w:val="16"/>
              </w:rPr>
            </w:pPr>
            <w:r>
              <w:rPr>
                <w:rFonts w:ascii="Arial" w:hAnsi="Arial" w:cs="Arial"/>
                <w:b/>
                <w:bCs/>
                <w:sz w:val="16"/>
                <w:szCs w:val="16"/>
              </w:rPr>
              <w:t>-13 742</w:t>
            </w:r>
          </w:p>
        </w:tc>
        <w:tc>
          <w:tcPr>
            <w:tcW w:w="1074" w:type="pct"/>
            <w:tcBorders>
              <w:top w:val="single" w:sz="8" w:space="0" w:color="auto"/>
              <w:left w:val="nil"/>
              <w:bottom w:val="single" w:sz="8" w:space="0" w:color="auto"/>
              <w:right w:val="nil"/>
            </w:tcBorders>
            <w:shd w:val="clear" w:color="auto" w:fill="auto"/>
            <w:noWrap/>
            <w:vAlign w:val="center"/>
            <w:hideMark/>
          </w:tcPr>
          <w:p w:rsidR="00A1700F" w:rsidRDefault="00A1700F">
            <w:pPr>
              <w:jc w:val="right"/>
              <w:rPr>
                <w:rFonts w:ascii="Arial" w:hAnsi="Arial" w:cs="Arial"/>
                <w:b/>
                <w:bCs/>
                <w:sz w:val="16"/>
                <w:szCs w:val="16"/>
              </w:rPr>
            </w:pPr>
            <w:r>
              <w:rPr>
                <w:rFonts w:ascii="Arial" w:hAnsi="Arial" w:cs="Arial"/>
                <w:b/>
                <w:bCs/>
                <w:sz w:val="16"/>
                <w:szCs w:val="16"/>
              </w:rPr>
              <w:t>-31 570</w:t>
            </w:r>
          </w:p>
        </w:tc>
      </w:tr>
      <w:tr w:rsidR="00A1700F" w:rsidTr="00A1700F">
        <w:trPr>
          <w:trHeight w:val="283"/>
        </w:trPr>
        <w:tc>
          <w:tcPr>
            <w:tcW w:w="2818" w:type="pct"/>
            <w:tcBorders>
              <w:top w:val="nil"/>
              <w:left w:val="nil"/>
              <w:bottom w:val="nil"/>
              <w:right w:val="nil"/>
            </w:tcBorders>
            <w:shd w:val="clear" w:color="auto" w:fill="auto"/>
            <w:vAlign w:val="center"/>
            <w:hideMark/>
          </w:tcPr>
          <w:p w:rsidR="00A1700F" w:rsidRDefault="00A1700F">
            <w:pPr>
              <w:rPr>
                <w:rFonts w:ascii="Arial" w:hAnsi="Arial" w:cs="Arial"/>
                <w:b/>
                <w:bCs/>
                <w:color w:val="000000"/>
                <w:sz w:val="16"/>
                <w:szCs w:val="16"/>
              </w:rPr>
            </w:pPr>
            <w:r>
              <w:rPr>
                <w:rFonts w:ascii="Arial" w:hAnsi="Arial" w:cs="Arial"/>
                <w:b/>
                <w:bCs/>
                <w:color w:val="000000"/>
                <w:sz w:val="16"/>
                <w:szCs w:val="16"/>
              </w:rPr>
              <w:t>Przepływy pieniężne z działalności finansowej</w:t>
            </w:r>
          </w:p>
        </w:tc>
        <w:tc>
          <w:tcPr>
            <w:tcW w:w="1108" w:type="pct"/>
            <w:tcBorders>
              <w:top w:val="nil"/>
              <w:left w:val="nil"/>
              <w:bottom w:val="nil"/>
              <w:right w:val="nil"/>
            </w:tcBorders>
            <w:shd w:val="clear" w:color="auto" w:fill="auto"/>
            <w:noWrap/>
            <w:vAlign w:val="center"/>
            <w:hideMark/>
          </w:tcPr>
          <w:p w:rsidR="00A1700F" w:rsidRDefault="00A1700F">
            <w:pPr>
              <w:rPr>
                <w:color w:val="FF0000"/>
                <w:sz w:val="22"/>
                <w:szCs w:val="22"/>
              </w:rPr>
            </w:pPr>
          </w:p>
        </w:tc>
        <w:tc>
          <w:tcPr>
            <w:tcW w:w="1074" w:type="pct"/>
            <w:tcBorders>
              <w:top w:val="nil"/>
              <w:left w:val="nil"/>
              <w:bottom w:val="nil"/>
              <w:right w:val="nil"/>
            </w:tcBorders>
            <w:shd w:val="clear" w:color="auto" w:fill="auto"/>
            <w:noWrap/>
            <w:vAlign w:val="center"/>
            <w:hideMark/>
          </w:tcPr>
          <w:p w:rsidR="00A1700F" w:rsidRDefault="00A1700F">
            <w:pPr>
              <w:rPr>
                <w:sz w:val="22"/>
                <w:szCs w:val="22"/>
              </w:rPr>
            </w:pPr>
          </w:p>
        </w:tc>
      </w:tr>
      <w:tr w:rsidR="00A1700F" w:rsidTr="00A1700F">
        <w:trPr>
          <w:trHeight w:val="283"/>
        </w:trPr>
        <w:tc>
          <w:tcPr>
            <w:tcW w:w="2818" w:type="pct"/>
            <w:tcBorders>
              <w:top w:val="nil"/>
              <w:left w:val="nil"/>
              <w:bottom w:val="nil"/>
              <w:right w:val="nil"/>
            </w:tcBorders>
            <w:shd w:val="clear" w:color="000000" w:fill="FFFFFF"/>
            <w:vAlign w:val="center"/>
            <w:hideMark/>
          </w:tcPr>
          <w:p w:rsidR="00A1700F" w:rsidRDefault="00A1700F">
            <w:pPr>
              <w:rPr>
                <w:rFonts w:ascii="Arial" w:hAnsi="Arial" w:cs="Arial"/>
                <w:color w:val="000000"/>
                <w:sz w:val="16"/>
                <w:szCs w:val="16"/>
              </w:rPr>
            </w:pPr>
            <w:r>
              <w:rPr>
                <w:rFonts w:ascii="Arial" w:hAnsi="Arial" w:cs="Arial"/>
                <w:color w:val="000000"/>
                <w:sz w:val="16"/>
                <w:szCs w:val="16"/>
              </w:rPr>
              <w:t>Otrzymane kredyty i pożyczki</w:t>
            </w:r>
          </w:p>
        </w:tc>
        <w:tc>
          <w:tcPr>
            <w:tcW w:w="1108" w:type="pct"/>
            <w:tcBorders>
              <w:top w:val="nil"/>
              <w:left w:val="nil"/>
              <w:bottom w:val="nil"/>
              <w:right w:val="nil"/>
            </w:tcBorders>
            <w:shd w:val="clear" w:color="000000" w:fill="FFFFFF"/>
            <w:noWrap/>
            <w:vAlign w:val="center"/>
            <w:hideMark/>
          </w:tcPr>
          <w:p w:rsidR="00A1700F" w:rsidRDefault="00A1700F">
            <w:pPr>
              <w:jc w:val="right"/>
              <w:rPr>
                <w:rFonts w:ascii="Arial" w:hAnsi="Arial" w:cs="Arial"/>
                <w:sz w:val="16"/>
                <w:szCs w:val="16"/>
              </w:rPr>
            </w:pPr>
            <w:r>
              <w:rPr>
                <w:rFonts w:ascii="Arial" w:hAnsi="Arial" w:cs="Arial"/>
                <w:sz w:val="16"/>
                <w:szCs w:val="16"/>
              </w:rPr>
              <w:t>19 888</w:t>
            </w:r>
          </w:p>
        </w:tc>
        <w:tc>
          <w:tcPr>
            <w:tcW w:w="1074"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10 821</w:t>
            </w:r>
          </w:p>
        </w:tc>
      </w:tr>
      <w:tr w:rsidR="00A1700F" w:rsidTr="00A1700F">
        <w:trPr>
          <w:trHeight w:val="283"/>
        </w:trPr>
        <w:tc>
          <w:tcPr>
            <w:tcW w:w="2818" w:type="pct"/>
            <w:tcBorders>
              <w:top w:val="nil"/>
              <w:left w:val="nil"/>
              <w:bottom w:val="nil"/>
              <w:right w:val="nil"/>
            </w:tcBorders>
            <w:shd w:val="clear" w:color="000000" w:fill="FFFFFF"/>
            <w:vAlign w:val="center"/>
            <w:hideMark/>
          </w:tcPr>
          <w:p w:rsidR="00A1700F" w:rsidRDefault="00A1700F">
            <w:pPr>
              <w:rPr>
                <w:rFonts w:ascii="Arial" w:hAnsi="Arial" w:cs="Arial"/>
                <w:color w:val="000000"/>
                <w:sz w:val="16"/>
                <w:szCs w:val="16"/>
              </w:rPr>
            </w:pPr>
            <w:r>
              <w:rPr>
                <w:rFonts w:ascii="Arial" w:hAnsi="Arial" w:cs="Arial"/>
                <w:color w:val="000000"/>
                <w:sz w:val="16"/>
                <w:szCs w:val="16"/>
              </w:rPr>
              <w:t>Spłata kredytów i pożyczek</w:t>
            </w:r>
          </w:p>
        </w:tc>
        <w:tc>
          <w:tcPr>
            <w:tcW w:w="1108" w:type="pct"/>
            <w:tcBorders>
              <w:top w:val="nil"/>
              <w:left w:val="nil"/>
              <w:bottom w:val="nil"/>
              <w:right w:val="nil"/>
            </w:tcBorders>
            <w:shd w:val="clear" w:color="000000" w:fill="FFFFFF"/>
            <w:noWrap/>
            <w:vAlign w:val="center"/>
            <w:hideMark/>
          </w:tcPr>
          <w:p w:rsidR="00A1700F" w:rsidRDefault="00A1700F">
            <w:pPr>
              <w:jc w:val="right"/>
              <w:rPr>
                <w:rFonts w:ascii="Arial" w:hAnsi="Arial" w:cs="Arial"/>
                <w:sz w:val="16"/>
                <w:szCs w:val="16"/>
              </w:rPr>
            </w:pPr>
            <w:r>
              <w:rPr>
                <w:rFonts w:ascii="Arial" w:hAnsi="Arial" w:cs="Arial"/>
                <w:sz w:val="16"/>
                <w:szCs w:val="16"/>
              </w:rPr>
              <w:t>-1 993</w:t>
            </w:r>
          </w:p>
        </w:tc>
        <w:tc>
          <w:tcPr>
            <w:tcW w:w="1074"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-871</w:t>
            </w:r>
          </w:p>
        </w:tc>
      </w:tr>
      <w:tr w:rsidR="00A1700F" w:rsidTr="00A1700F">
        <w:trPr>
          <w:trHeight w:val="283"/>
        </w:trPr>
        <w:tc>
          <w:tcPr>
            <w:tcW w:w="2818" w:type="pct"/>
            <w:tcBorders>
              <w:top w:val="nil"/>
              <w:left w:val="nil"/>
              <w:bottom w:val="nil"/>
              <w:right w:val="nil"/>
            </w:tcBorders>
            <w:shd w:val="clear" w:color="000000" w:fill="FFFFFF"/>
            <w:vAlign w:val="center"/>
            <w:hideMark/>
          </w:tcPr>
          <w:p w:rsidR="00A1700F" w:rsidRDefault="00A1700F">
            <w:pPr>
              <w:rPr>
                <w:rFonts w:ascii="Arial" w:hAnsi="Arial" w:cs="Arial"/>
                <w:color w:val="000000"/>
                <w:sz w:val="16"/>
                <w:szCs w:val="16"/>
              </w:rPr>
            </w:pPr>
            <w:r>
              <w:rPr>
                <w:rFonts w:ascii="Arial" w:hAnsi="Arial" w:cs="Arial"/>
                <w:color w:val="000000"/>
                <w:sz w:val="16"/>
                <w:szCs w:val="16"/>
              </w:rPr>
              <w:t>Płatności zobowiązań z tytułu leasingu finansowego</w:t>
            </w:r>
          </w:p>
        </w:tc>
        <w:tc>
          <w:tcPr>
            <w:tcW w:w="1108" w:type="pct"/>
            <w:tcBorders>
              <w:top w:val="nil"/>
              <w:left w:val="nil"/>
              <w:bottom w:val="nil"/>
              <w:right w:val="nil"/>
            </w:tcBorders>
            <w:shd w:val="clear" w:color="000000" w:fill="FFFFFF"/>
            <w:noWrap/>
            <w:vAlign w:val="center"/>
            <w:hideMark/>
          </w:tcPr>
          <w:p w:rsidR="00A1700F" w:rsidRDefault="00A1700F">
            <w:pPr>
              <w:jc w:val="right"/>
              <w:rPr>
                <w:rFonts w:ascii="Arial" w:hAnsi="Arial" w:cs="Arial"/>
                <w:sz w:val="16"/>
                <w:szCs w:val="16"/>
              </w:rPr>
            </w:pPr>
            <w:r>
              <w:rPr>
                <w:rFonts w:ascii="Arial" w:hAnsi="Arial" w:cs="Arial"/>
                <w:sz w:val="16"/>
                <w:szCs w:val="16"/>
              </w:rPr>
              <w:t>-171</w:t>
            </w:r>
          </w:p>
        </w:tc>
        <w:tc>
          <w:tcPr>
            <w:tcW w:w="1074"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-164</w:t>
            </w:r>
          </w:p>
        </w:tc>
      </w:tr>
      <w:tr w:rsidR="00A1700F" w:rsidTr="00A1700F">
        <w:trPr>
          <w:trHeight w:val="283"/>
        </w:trPr>
        <w:tc>
          <w:tcPr>
            <w:tcW w:w="2818" w:type="pct"/>
            <w:tcBorders>
              <w:top w:val="nil"/>
              <w:left w:val="nil"/>
              <w:bottom w:val="nil"/>
              <w:right w:val="nil"/>
            </w:tcBorders>
            <w:shd w:val="clear" w:color="000000" w:fill="FFFFFF"/>
            <w:vAlign w:val="center"/>
            <w:hideMark/>
          </w:tcPr>
          <w:p w:rsidR="00A1700F" w:rsidRDefault="00A1700F">
            <w:pPr>
              <w:rPr>
                <w:rFonts w:ascii="Arial" w:hAnsi="Arial" w:cs="Arial"/>
                <w:color w:val="000000"/>
                <w:sz w:val="16"/>
                <w:szCs w:val="16"/>
              </w:rPr>
            </w:pPr>
            <w:r>
              <w:rPr>
                <w:rFonts w:ascii="Arial" w:hAnsi="Arial" w:cs="Arial"/>
                <w:color w:val="000000"/>
                <w:sz w:val="16"/>
                <w:szCs w:val="16"/>
              </w:rPr>
              <w:t xml:space="preserve">Kredyt dzienny  w </w:t>
            </w:r>
            <w:proofErr w:type="spellStart"/>
            <w:r>
              <w:rPr>
                <w:rFonts w:ascii="Arial" w:hAnsi="Arial" w:cs="Arial"/>
                <w:color w:val="000000"/>
                <w:sz w:val="16"/>
                <w:szCs w:val="16"/>
              </w:rPr>
              <w:t>cash</w:t>
            </w:r>
            <w:proofErr w:type="spellEnd"/>
            <w:r>
              <w:rPr>
                <w:rFonts w:ascii="Arial" w:hAnsi="Arial" w:cs="Arial"/>
                <w:color w:val="000000"/>
                <w:sz w:val="16"/>
                <w:szCs w:val="16"/>
              </w:rPr>
              <w:t xml:space="preserve"> </w:t>
            </w:r>
            <w:proofErr w:type="spellStart"/>
            <w:r>
              <w:rPr>
                <w:rFonts w:ascii="Arial" w:hAnsi="Arial" w:cs="Arial"/>
                <w:color w:val="000000"/>
                <w:sz w:val="16"/>
                <w:szCs w:val="16"/>
              </w:rPr>
              <w:t>poolingu</w:t>
            </w:r>
            <w:proofErr w:type="spellEnd"/>
          </w:p>
        </w:tc>
        <w:tc>
          <w:tcPr>
            <w:tcW w:w="1108" w:type="pct"/>
            <w:tcBorders>
              <w:top w:val="nil"/>
              <w:left w:val="nil"/>
              <w:bottom w:val="nil"/>
              <w:right w:val="nil"/>
            </w:tcBorders>
            <w:shd w:val="clear" w:color="000000" w:fill="FFFFFF"/>
            <w:noWrap/>
            <w:vAlign w:val="center"/>
            <w:hideMark/>
          </w:tcPr>
          <w:p w:rsidR="00A1700F" w:rsidRDefault="00A1700F">
            <w:pPr>
              <w:jc w:val="right"/>
              <w:rPr>
                <w:rFonts w:ascii="Arial" w:hAnsi="Arial" w:cs="Arial"/>
                <w:sz w:val="16"/>
                <w:szCs w:val="16"/>
              </w:rPr>
            </w:pPr>
            <w:r>
              <w:rPr>
                <w:rFonts w:ascii="Arial" w:hAnsi="Arial" w:cs="Arial"/>
                <w:sz w:val="16"/>
                <w:szCs w:val="16"/>
              </w:rPr>
              <w:t>-3 240</w:t>
            </w:r>
          </w:p>
        </w:tc>
        <w:tc>
          <w:tcPr>
            <w:tcW w:w="1074" w:type="pct"/>
            <w:tcBorders>
              <w:top w:val="nil"/>
              <w:left w:val="nil"/>
              <w:bottom w:val="nil"/>
              <w:right w:val="nil"/>
            </w:tcBorders>
            <w:shd w:val="clear" w:color="000000" w:fill="FFFFFF"/>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1 603</w:t>
            </w:r>
          </w:p>
        </w:tc>
      </w:tr>
      <w:tr w:rsidR="00A1700F" w:rsidTr="00A1700F">
        <w:trPr>
          <w:trHeight w:val="283"/>
        </w:trPr>
        <w:tc>
          <w:tcPr>
            <w:tcW w:w="2818" w:type="pct"/>
            <w:tcBorders>
              <w:top w:val="nil"/>
              <w:left w:val="nil"/>
              <w:bottom w:val="nil"/>
              <w:right w:val="nil"/>
            </w:tcBorders>
            <w:shd w:val="clear" w:color="000000" w:fill="FFFFFF"/>
            <w:vAlign w:val="center"/>
            <w:hideMark/>
          </w:tcPr>
          <w:p w:rsidR="00A1700F" w:rsidRDefault="00A1700F">
            <w:pPr>
              <w:rPr>
                <w:rFonts w:ascii="Arial" w:hAnsi="Arial" w:cs="Arial"/>
                <w:color w:val="000000"/>
                <w:sz w:val="16"/>
                <w:szCs w:val="16"/>
              </w:rPr>
            </w:pPr>
            <w:r>
              <w:rPr>
                <w:rFonts w:ascii="Arial" w:hAnsi="Arial" w:cs="Arial"/>
                <w:color w:val="000000"/>
                <w:sz w:val="16"/>
                <w:szCs w:val="16"/>
              </w:rPr>
              <w:t>Odsetki zapłacone</w:t>
            </w:r>
          </w:p>
        </w:tc>
        <w:tc>
          <w:tcPr>
            <w:tcW w:w="1108" w:type="pct"/>
            <w:tcBorders>
              <w:top w:val="nil"/>
              <w:left w:val="nil"/>
              <w:bottom w:val="nil"/>
              <w:right w:val="nil"/>
            </w:tcBorders>
            <w:shd w:val="clear" w:color="000000" w:fill="FFFFFF"/>
            <w:noWrap/>
            <w:vAlign w:val="center"/>
            <w:hideMark/>
          </w:tcPr>
          <w:p w:rsidR="00A1700F" w:rsidRDefault="00A1700F">
            <w:pPr>
              <w:jc w:val="right"/>
              <w:rPr>
                <w:rFonts w:ascii="Arial" w:hAnsi="Arial" w:cs="Arial"/>
                <w:sz w:val="16"/>
                <w:szCs w:val="16"/>
              </w:rPr>
            </w:pPr>
            <w:r>
              <w:rPr>
                <w:rFonts w:ascii="Arial" w:hAnsi="Arial" w:cs="Arial"/>
                <w:sz w:val="16"/>
                <w:szCs w:val="16"/>
              </w:rPr>
              <w:t>-874</w:t>
            </w:r>
          </w:p>
        </w:tc>
        <w:tc>
          <w:tcPr>
            <w:tcW w:w="1074" w:type="pct"/>
            <w:tcBorders>
              <w:top w:val="nil"/>
              <w:left w:val="nil"/>
              <w:bottom w:val="nil"/>
              <w:right w:val="nil"/>
            </w:tcBorders>
            <w:shd w:val="clear" w:color="000000" w:fill="FFFFFF"/>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-426</w:t>
            </w:r>
          </w:p>
        </w:tc>
      </w:tr>
      <w:tr w:rsidR="00A1700F" w:rsidTr="00A1700F">
        <w:trPr>
          <w:trHeight w:val="283"/>
        </w:trPr>
        <w:tc>
          <w:tcPr>
            <w:tcW w:w="2818" w:type="pct"/>
            <w:tcBorders>
              <w:top w:val="nil"/>
              <w:left w:val="nil"/>
              <w:bottom w:val="nil"/>
              <w:right w:val="nil"/>
            </w:tcBorders>
            <w:shd w:val="clear" w:color="000000" w:fill="FFFFFF"/>
            <w:vAlign w:val="center"/>
            <w:hideMark/>
          </w:tcPr>
          <w:p w:rsidR="00A1700F" w:rsidRDefault="00A1700F">
            <w:pPr>
              <w:rPr>
                <w:rFonts w:ascii="Arial" w:hAnsi="Arial" w:cs="Arial"/>
                <w:color w:val="000000"/>
                <w:sz w:val="16"/>
                <w:szCs w:val="16"/>
              </w:rPr>
            </w:pPr>
            <w:r>
              <w:rPr>
                <w:rFonts w:ascii="Arial" w:hAnsi="Arial" w:cs="Arial"/>
                <w:color w:val="000000"/>
                <w:sz w:val="16"/>
                <w:szCs w:val="16"/>
              </w:rPr>
              <w:t xml:space="preserve">Inne wpływy/wydatki finansowe </w:t>
            </w:r>
          </w:p>
        </w:tc>
        <w:tc>
          <w:tcPr>
            <w:tcW w:w="1108" w:type="pct"/>
            <w:tcBorders>
              <w:top w:val="nil"/>
              <w:left w:val="nil"/>
              <w:bottom w:val="nil"/>
              <w:right w:val="nil"/>
            </w:tcBorders>
            <w:shd w:val="clear" w:color="000000" w:fill="FFFFFF"/>
            <w:noWrap/>
            <w:vAlign w:val="center"/>
            <w:hideMark/>
          </w:tcPr>
          <w:p w:rsidR="00A1700F" w:rsidRDefault="00A1700F">
            <w:pPr>
              <w:jc w:val="right"/>
              <w:rPr>
                <w:rFonts w:ascii="Arial" w:hAnsi="Arial" w:cs="Arial"/>
                <w:sz w:val="16"/>
                <w:szCs w:val="16"/>
              </w:rPr>
            </w:pPr>
            <w:r>
              <w:rPr>
                <w:rFonts w:ascii="Arial" w:hAnsi="Arial" w:cs="Arial"/>
                <w:sz w:val="16"/>
                <w:szCs w:val="16"/>
              </w:rPr>
              <w:t>589</w:t>
            </w:r>
          </w:p>
        </w:tc>
        <w:tc>
          <w:tcPr>
            <w:tcW w:w="1074" w:type="pct"/>
            <w:tcBorders>
              <w:top w:val="nil"/>
              <w:left w:val="nil"/>
              <w:bottom w:val="nil"/>
              <w:right w:val="nil"/>
            </w:tcBorders>
            <w:shd w:val="clear" w:color="auto" w:fill="auto"/>
            <w:noWrap/>
            <w:vAlign w:val="center"/>
            <w:hideMark/>
          </w:tcPr>
          <w:p w:rsidR="00A1700F" w:rsidRDefault="00A1700F">
            <w:pPr>
              <w:jc w:val="right"/>
              <w:rPr>
                <w:rFonts w:ascii="Arial" w:hAnsi="Arial" w:cs="Arial"/>
                <w:color w:val="000000"/>
                <w:sz w:val="16"/>
                <w:szCs w:val="16"/>
              </w:rPr>
            </w:pPr>
            <w:r>
              <w:rPr>
                <w:rFonts w:ascii="Arial" w:hAnsi="Arial" w:cs="Arial"/>
                <w:color w:val="000000"/>
                <w:sz w:val="16"/>
                <w:szCs w:val="16"/>
              </w:rPr>
              <w:t>-</w:t>
            </w:r>
          </w:p>
        </w:tc>
      </w:tr>
      <w:tr w:rsidR="00A1700F" w:rsidTr="00A1700F">
        <w:trPr>
          <w:trHeight w:val="283"/>
        </w:trPr>
        <w:tc>
          <w:tcPr>
            <w:tcW w:w="2818" w:type="pct"/>
            <w:tcBorders>
              <w:top w:val="single" w:sz="8" w:space="0" w:color="auto"/>
              <w:left w:val="nil"/>
              <w:bottom w:val="single" w:sz="8" w:space="0" w:color="auto"/>
              <w:right w:val="nil"/>
            </w:tcBorders>
            <w:shd w:val="clear" w:color="auto" w:fill="auto"/>
            <w:vAlign w:val="center"/>
            <w:hideMark/>
          </w:tcPr>
          <w:p w:rsidR="00A1700F" w:rsidRDefault="00A1700F">
            <w:pPr>
              <w:rPr>
                <w:rFonts w:ascii="Arial" w:hAnsi="Arial" w:cs="Arial"/>
                <w:b/>
                <w:bCs/>
                <w:color w:val="000000"/>
                <w:sz w:val="16"/>
                <w:szCs w:val="16"/>
              </w:rPr>
            </w:pPr>
            <w:r>
              <w:rPr>
                <w:rFonts w:ascii="Arial" w:hAnsi="Arial" w:cs="Arial"/>
                <w:b/>
                <w:bCs/>
                <w:color w:val="000000"/>
                <w:sz w:val="16"/>
                <w:szCs w:val="16"/>
              </w:rPr>
              <w:t>Przepływy pieniężne netto z działalności finansowej</w:t>
            </w:r>
          </w:p>
        </w:tc>
        <w:tc>
          <w:tcPr>
            <w:tcW w:w="1108" w:type="pct"/>
            <w:tcBorders>
              <w:top w:val="single" w:sz="8" w:space="0" w:color="auto"/>
              <w:left w:val="nil"/>
              <w:bottom w:val="single" w:sz="8" w:space="0" w:color="auto"/>
              <w:right w:val="nil"/>
            </w:tcBorders>
            <w:shd w:val="clear" w:color="auto" w:fill="auto"/>
            <w:noWrap/>
            <w:vAlign w:val="center"/>
            <w:hideMark/>
          </w:tcPr>
          <w:p w:rsidR="00A1700F" w:rsidRDefault="00A1700F">
            <w:pPr>
              <w:jc w:val="right"/>
              <w:rPr>
                <w:rFonts w:ascii="Arial" w:hAnsi="Arial" w:cs="Arial"/>
                <w:b/>
                <w:bCs/>
                <w:sz w:val="16"/>
                <w:szCs w:val="16"/>
              </w:rPr>
            </w:pPr>
            <w:r>
              <w:rPr>
                <w:rFonts w:ascii="Arial" w:hAnsi="Arial" w:cs="Arial"/>
                <w:b/>
                <w:bCs/>
                <w:sz w:val="16"/>
                <w:szCs w:val="16"/>
              </w:rPr>
              <w:t>14 199</w:t>
            </w:r>
          </w:p>
        </w:tc>
        <w:tc>
          <w:tcPr>
            <w:tcW w:w="1074" w:type="pct"/>
            <w:tcBorders>
              <w:top w:val="single" w:sz="8" w:space="0" w:color="auto"/>
              <w:left w:val="nil"/>
              <w:bottom w:val="single" w:sz="8" w:space="0" w:color="auto"/>
              <w:right w:val="nil"/>
            </w:tcBorders>
            <w:shd w:val="clear" w:color="auto" w:fill="auto"/>
            <w:noWrap/>
            <w:vAlign w:val="center"/>
            <w:hideMark/>
          </w:tcPr>
          <w:p w:rsidR="00A1700F" w:rsidRDefault="00A1700F">
            <w:pPr>
              <w:jc w:val="right"/>
              <w:rPr>
                <w:rFonts w:ascii="Arial" w:hAnsi="Arial" w:cs="Arial"/>
                <w:b/>
                <w:bCs/>
                <w:sz w:val="16"/>
                <w:szCs w:val="16"/>
              </w:rPr>
            </w:pPr>
            <w:r>
              <w:rPr>
                <w:rFonts w:ascii="Arial" w:hAnsi="Arial" w:cs="Arial"/>
                <w:b/>
                <w:bCs/>
                <w:sz w:val="16"/>
                <w:szCs w:val="16"/>
              </w:rPr>
              <w:t>10 963</w:t>
            </w:r>
          </w:p>
        </w:tc>
      </w:tr>
      <w:tr w:rsidR="00A1700F" w:rsidTr="00A1700F">
        <w:trPr>
          <w:trHeight w:val="283"/>
        </w:trPr>
        <w:tc>
          <w:tcPr>
            <w:tcW w:w="2818" w:type="pct"/>
            <w:tcBorders>
              <w:top w:val="nil"/>
              <w:left w:val="nil"/>
              <w:bottom w:val="nil"/>
              <w:right w:val="nil"/>
            </w:tcBorders>
            <w:shd w:val="clear" w:color="auto" w:fill="auto"/>
            <w:vAlign w:val="center"/>
            <w:hideMark/>
          </w:tcPr>
          <w:p w:rsidR="00A1700F" w:rsidRDefault="00A1700F">
            <w:pPr>
              <w:rPr>
                <w:rFonts w:ascii="Arial" w:hAnsi="Arial" w:cs="Arial"/>
                <w:color w:val="000000"/>
                <w:sz w:val="16"/>
                <w:szCs w:val="16"/>
              </w:rPr>
            </w:pPr>
            <w:r>
              <w:rPr>
                <w:rFonts w:ascii="Arial" w:hAnsi="Arial" w:cs="Arial"/>
                <w:color w:val="000000"/>
                <w:sz w:val="16"/>
                <w:szCs w:val="16"/>
              </w:rPr>
              <w:t>(Zmniejszenie/Zwiększenie) netto stanu środków pieniężnych i ekwiwalentów środków pieniężnych</w:t>
            </w:r>
          </w:p>
        </w:tc>
        <w:tc>
          <w:tcPr>
            <w:tcW w:w="1108" w:type="pct"/>
            <w:tcBorders>
              <w:top w:val="nil"/>
              <w:left w:val="nil"/>
              <w:bottom w:val="nil"/>
              <w:right w:val="nil"/>
            </w:tcBorders>
            <w:shd w:val="clear" w:color="auto" w:fill="auto"/>
            <w:noWrap/>
            <w:vAlign w:val="center"/>
            <w:hideMark/>
          </w:tcPr>
          <w:p w:rsidR="00A1700F" w:rsidRDefault="00A1700F">
            <w:pPr>
              <w:jc w:val="right"/>
              <w:rPr>
                <w:rFonts w:ascii="Arial" w:hAnsi="Arial" w:cs="Arial"/>
                <w:sz w:val="16"/>
                <w:szCs w:val="16"/>
              </w:rPr>
            </w:pPr>
            <w:r>
              <w:rPr>
                <w:rFonts w:ascii="Arial" w:hAnsi="Arial" w:cs="Arial"/>
                <w:sz w:val="16"/>
                <w:szCs w:val="16"/>
              </w:rPr>
              <w:t>8 334</w:t>
            </w:r>
          </w:p>
        </w:tc>
        <w:tc>
          <w:tcPr>
            <w:tcW w:w="1074" w:type="pct"/>
            <w:tcBorders>
              <w:top w:val="nil"/>
              <w:left w:val="nil"/>
              <w:bottom w:val="nil"/>
              <w:right w:val="nil"/>
            </w:tcBorders>
            <w:shd w:val="clear" w:color="auto" w:fill="auto"/>
            <w:noWrap/>
            <w:vAlign w:val="center"/>
            <w:hideMark/>
          </w:tcPr>
          <w:p w:rsidR="00A1700F" w:rsidRDefault="00A1700F">
            <w:pPr>
              <w:jc w:val="right"/>
              <w:rPr>
                <w:rFonts w:ascii="Arial" w:hAnsi="Arial" w:cs="Arial"/>
                <w:sz w:val="16"/>
                <w:szCs w:val="16"/>
              </w:rPr>
            </w:pPr>
            <w:r>
              <w:rPr>
                <w:rFonts w:ascii="Arial" w:hAnsi="Arial" w:cs="Arial"/>
                <w:sz w:val="16"/>
                <w:szCs w:val="16"/>
              </w:rPr>
              <w:t>-21 755</w:t>
            </w:r>
          </w:p>
        </w:tc>
      </w:tr>
      <w:tr w:rsidR="00A1700F" w:rsidTr="00A1700F">
        <w:trPr>
          <w:trHeight w:val="283"/>
        </w:trPr>
        <w:tc>
          <w:tcPr>
            <w:tcW w:w="2818" w:type="pct"/>
            <w:tcBorders>
              <w:top w:val="single" w:sz="8" w:space="0" w:color="auto"/>
              <w:left w:val="nil"/>
              <w:bottom w:val="nil"/>
              <w:right w:val="nil"/>
            </w:tcBorders>
            <w:shd w:val="clear" w:color="auto" w:fill="auto"/>
            <w:noWrap/>
            <w:vAlign w:val="center"/>
            <w:hideMark/>
          </w:tcPr>
          <w:p w:rsidR="00A1700F" w:rsidRDefault="00A1700F">
            <w:pPr>
              <w:rPr>
                <w:rFonts w:ascii="Arial" w:hAnsi="Arial" w:cs="Arial"/>
                <w:color w:val="000000"/>
                <w:sz w:val="16"/>
                <w:szCs w:val="16"/>
              </w:rPr>
            </w:pPr>
            <w:r>
              <w:rPr>
                <w:rFonts w:ascii="Arial" w:hAnsi="Arial" w:cs="Arial"/>
                <w:color w:val="000000"/>
                <w:sz w:val="16"/>
                <w:szCs w:val="16"/>
              </w:rPr>
              <w:t xml:space="preserve">Różnice kursowe z tytułu wyceny środków pieniężnych  </w:t>
            </w:r>
          </w:p>
        </w:tc>
        <w:tc>
          <w:tcPr>
            <w:tcW w:w="1108" w:type="pct"/>
            <w:tcBorders>
              <w:top w:val="single" w:sz="8" w:space="0" w:color="auto"/>
              <w:left w:val="nil"/>
              <w:bottom w:val="nil"/>
              <w:right w:val="nil"/>
            </w:tcBorders>
            <w:shd w:val="clear" w:color="auto" w:fill="auto"/>
            <w:noWrap/>
            <w:vAlign w:val="center"/>
            <w:hideMark/>
          </w:tcPr>
          <w:p w:rsidR="00A1700F" w:rsidRDefault="00A1700F">
            <w:pPr>
              <w:jc w:val="right"/>
              <w:rPr>
                <w:rFonts w:ascii="Arial" w:hAnsi="Arial" w:cs="Arial"/>
                <w:sz w:val="16"/>
                <w:szCs w:val="16"/>
              </w:rPr>
            </w:pPr>
            <w:r>
              <w:rPr>
                <w:rFonts w:ascii="Arial" w:hAnsi="Arial" w:cs="Arial"/>
                <w:sz w:val="16"/>
                <w:szCs w:val="16"/>
              </w:rPr>
              <w:t>12</w:t>
            </w:r>
          </w:p>
        </w:tc>
        <w:tc>
          <w:tcPr>
            <w:tcW w:w="1074" w:type="pct"/>
            <w:tcBorders>
              <w:top w:val="single" w:sz="8" w:space="0" w:color="auto"/>
              <w:left w:val="nil"/>
              <w:bottom w:val="nil"/>
              <w:right w:val="nil"/>
            </w:tcBorders>
            <w:shd w:val="clear" w:color="auto" w:fill="auto"/>
            <w:noWrap/>
            <w:vAlign w:val="center"/>
            <w:hideMark/>
          </w:tcPr>
          <w:p w:rsidR="00A1700F" w:rsidRDefault="00A1700F">
            <w:pPr>
              <w:jc w:val="right"/>
              <w:rPr>
                <w:rFonts w:ascii="Arial" w:hAnsi="Arial" w:cs="Arial"/>
                <w:sz w:val="16"/>
                <w:szCs w:val="16"/>
              </w:rPr>
            </w:pPr>
            <w:r>
              <w:rPr>
                <w:rFonts w:ascii="Arial" w:hAnsi="Arial" w:cs="Arial"/>
                <w:sz w:val="16"/>
                <w:szCs w:val="16"/>
              </w:rPr>
              <w:t>35</w:t>
            </w:r>
          </w:p>
        </w:tc>
      </w:tr>
      <w:tr w:rsidR="00A1700F" w:rsidTr="00A1700F">
        <w:trPr>
          <w:trHeight w:val="283"/>
        </w:trPr>
        <w:tc>
          <w:tcPr>
            <w:tcW w:w="2818" w:type="pct"/>
            <w:tcBorders>
              <w:top w:val="single" w:sz="8" w:space="0" w:color="auto"/>
              <w:left w:val="nil"/>
              <w:bottom w:val="single" w:sz="8" w:space="0" w:color="auto"/>
              <w:right w:val="nil"/>
            </w:tcBorders>
            <w:shd w:val="clear" w:color="auto" w:fill="auto"/>
            <w:vAlign w:val="center"/>
            <w:hideMark/>
          </w:tcPr>
          <w:p w:rsidR="00A1700F" w:rsidRDefault="00A1700F">
            <w:pPr>
              <w:rPr>
                <w:rFonts w:ascii="Arial" w:hAnsi="Arial" w:cs="Arial"/>
                <w:b/>
                <w:bCs/>
                <w:color w:val="000000"/>
                <w:sz w:val="16"/>
                <w:szCs w:val="16"/>
              </w:rPr>
            </w:pPr>
            <w:r>
              <w:rPr>
                <w:rFonts w:ascii="Arial" w:hAnsi="Arial" w:cs="Arial"/>
                <w:b/>
                <w:bCs/>
                <w:color w:val="000000"/>
                <w:sz w:val="16"/>
                <w:szCs w:val="16"/>
              </w:rPr>
              <w:t xml:space="preserve"> Stan środków pieniężnych i ekwiwalentów środków pieniężnych  na początek okresu</w:t>
            </w:r>
          </w:p>
        </w:tc>
        <w:tc>
          <w:tcPr>
            <w:tcW w:w="1108" w:type="pct"/>
            <w:tcBorders>
              <w:top w:val="single" w:sz="8" w:space="0" w:color="auto"/>
              <w:left w:val="nil"/>
              <w:bottom w:val="single" w:sz="8" w:space="0" w:color="auto"/>
              <w:right w:val="nil"/>
            </w:tcBorders>
            <w:shd w:val="clear" w:color="auto" w:fill="auto"/>
            <w:noWrap/>
            <w:vAlign w:val="center"/>
            <w:hideMark/>
          </w:tcPr>
          <w:p w:rsidR="00A1700F" w:rsidRDefault="00A1700F">
            <w:pPr>
              <w:jc w:val="right"/>
              <w:rPr>
                <w:rFonts w:ascii="Arial" w:hAnsi="Arial" w:cs="Arial"/>
                <w:b/>
                <w:bCs/>
                <w:sz w:val="16"/>
                <w:szCs w:val="16"/>
              </w:rPr>
            </w:pPr>
            <w:r>
              <w:rPr>
                <w:rFonts w:ascii="Arial" w:hAnsi="Arial" w:cs="Arial"/>
                <w:b/>
                <w:bCs/>
                <w:sz w:val="16"/>
                <w:szCs w:val="16"/>
              </w:rPr>
              <w:t>1 356</w:t>
            </w:r>
          </w:p>
        </w:tc>
        <w:tc>
          <w:tcPr>
            <w:tcW w:w="1074" w:type="pct"/>
            <w:tcBorders>
              <w:top w:val="single" w:sz="8" w:space="0" w:color="auto"/>
              <w:left w:val="nil"/>
              <w:bottom w:val="single" w:sz="8" w:space="0" w:color="auto"/>
              <w:right w:val="nil"/>
            </w:tcBorders>
            <w:shd w:val="clear" w:color="auto" w:fill="auto"/>
            <w:noWrap/>
            <w:vAlign w:val="center"/>
            <w:hideMark/>
          </w:tcPr>
          <w:p w:rsidR="00A1700F" w:rsidRDefault="00A1700F">
            <w:pPr>
              <w:jc w:val="right"/>
              <w:rPr>
                <w:rFonts w:ascii="Arial" w:hAnsi="Arial" w:cs="Arial"/>
                <w:b/>
                <w:bCs/>
                <w:sz w:val="16"/>
                <w:szCs w:val="16"/>
              </w:rPr>
            </w:pPr>
            <w:r>
              <w:rPr>
                <w:rFonts w:ascii="Arial" w:hAnsi="Arial" w:cs="Arial"/>
                <w:b/>
                <w:bCs/>
                <w:sz w:val="16"/>
                <w:szCs w:val="16"/>
              </w:rPr>
              <w:t>22 439</w:t>
            </w:r>
          </w:p>
        </w:tc>
      </w:tr>
      <w:tr w:rsidR="00A1700F" w:rsidTr="00A1700F">
        <w:trPr>
          <w:trHeight w:val="283"/>
        </w:trPr>
        <w:tc>
          <w:tcPr>
            <w:tcW w:w="2818" w:type="pct"/>
            <w:tcBorders>
              <w:top w:val="nil"/>
              <w:left w:val="nil"/>
              <w:bottom w:val="single" w:sz="8" w:space="0" w:color="auto"/>
              <w:right w:val="nil"/>
            </w:tcBorders>
            <w:shd w:val="clear" w:color="auto" w:fill="auto"/>
            <w:vAlign w:val="center"/>
            <w:hideMark/>
          </w:tcPr>
          <w:p w:rsidR="00A1700F" w:rsidRDefault="00A1700F">
            <w:pPr>
              <w:rPr>
                <w:rFonts w:ascii="Arial" w:hAnsi="Arial" w:cs="Arial"/>
                <w:b/>
                <w:bCs/>
                <w:color w:val="000000"/>
                <w:sz w:val="16"/>
                <w:szCs w:val="16"/>
              </w:rPr>
            </w:pPr>
            <w:r>
              <w:rPr>
                <w:rFonts w:ascii="Arial" w:hAnsi="Arial" w:cs="Arial"/>
                <w:b/>
                <w:bCs/>
                <w:color w:val="000000"/>
                <w:sz w:val="16"/>
                <w:szCs w:val="16"/>
              </w:rPr>
              <w:t>Stan środków pieniężnych i ekwiwalentów środków pieniężnych  na koniec roku</w:t>
            </w:r>
          </w:p>
        </w:tc>
        <w:tc>
          <w:tcPr>
            <w:tcW w:w="1108" w:type="pct"/>
            <w:tcBorders>
              <w:top w:val="nil"/>
              <w:left w:val="nil"/>
              <w:bottom w:val="single" w:sz="8" w:space="0" w:color="auto"/>
              <w:right w:val="nil"/>
            </w:tcBorders>
            <w:shd w:val="clear" w:color="auto" w:fill="auto"/>
            <w:noWrap/>
            <w:vAlign w:val="center"/>
            <w:hideMark/>
          </w:tcPr>
          <w:p w:rsidR="00A1700F" w:rsidRDefault="00A1700F">
            <w:pPr>
              <w:jc w:val="right"/>
              <w:rPr>
                <w:rFonts w:ascii="Arial" w:hAnsi="Arial" w:cs="Arial"/>
                <w:b/>
                <w:bCs/>
                <w:sz w:val="16"/>
                <w:szCs w:val="16"/>
              </w:rPr>
            </w:pPr>
            <w:r>
              <w:rPr>
                <w:rFonts w:ascii="Arial" w:hAnsi="Arial" w:cs="Arial"/>
                <w:b/>
                <w:bCs/>
                <w:sz w:val="16"/>
                <w:szCs w:val="16"/>
              </w:rPr>
              <w:t>9 702</w:t>
            </w:r>
          </w:p>
        </w:tc>
        <w:tc>
          <w:tcPr>
            <w:tcW w:w="1074" w:type="pct"/>
            <w:tcBorders>
              <w:top w:val="nil"/>
              <w:left w:val="nil"/>
              <w:bottom w:val="single" w:sz="8" w:space="0" w:color="auto"/>
              <w:right w:val="nil"/>
            </w:tcBorders>
            <w:shd w:val="clear" w:color="auto" w:fill="auto"/>
            <w:noWrap/>
            <w:vAlign w:val="center"/>
            <w:hideMark/>
          </w:tcPr>
          <w:p w:rsidR="00A1700F" w:rsidRDefault="00A1700F">
            <w:pPr>
              <w:jc w:val="right"/>
              <w:rPr>
                <w:rFonts w:ascii="Arial" w:hAnsi="Arial" w:cs="Arial"/>
                <w:b/>
                <w:bCs/>
                <w:sz w:val="16"/>
                <w:szCs w:val="16"/>
              </w:rPr>
            </w:pPr>
            <w:r>
              <w:rPr>
                <w:rFonts w:ascii="Arial" w:hAnsi="Arial" w:cs="Arial"/>
                <w:b/>
                <w:bCs/>
                <w:sz w:val="16"/>
                <w:szCs w:val="16"/>
              </w:rPr>
              <w:t>719</w:t>
            </w:r>
          </w:p>
        </w:tc>
      </w:tr>
    </w:tbl>
    <w:p w:rsidR="00B416CC" w:rsidRDefault="008866A0" w:rsidP="008866A0">
      <w:pPr>
        <w:pStyle w:val="Tytu"/>
        <w:tabs>
          <w:tab w:val="left" w:pos="540"/>
        </w:tabs>
      </w:pPr>
      <w:r w:rsidRPr="00F31D8E">
        <w:br w:type="page"/>
      </w:r>
    </w:p>
    <w:p w:rsidR="00B416CC" w:rsidRDefault="00B416CC" w:rsidP="008866A0">
      <w:pPr>
        <w:pStyle w:val="Tytu"/>
        <w:tabs>
          <w:tab w:val="left" w:pos="540"/>
        </w:tabs>
      </w:pPr>
    </w:p>
    <w:p w:rsidR="00AB1DE7" w:rsidRDefault="008866A0" w:rsidP="008866A0">
      <w:pPr>
        <w:pStyle w:val="Tytu"/>
        <w:tabs>
          <w:tab w:val="left" w:pos="540"/>
        </w:tabs>
        <w:rPr>
          <w:szCs w:val="20"/>
        </w:rPr>
      </w:pPr>
      <w:r w:rsidRPr="00F31D8E">
        <w:t xml:space="preserve">Wybrane dane </w:t>
      </w:r>
      <w:r w:rsidRPr="00F31D8E">
        <w:rPr>
          <w:szCs w:val="20"/>
        </w:rPr>
        <w:t xml:space="preserve">objaśniające do śródrocznego skróconego </w:t>
      </w:r>
      <w:r w:rsidRPr="00F31D8E">
        <w:rPr>
          <w:szCs w:val="20"/>
        </w:rPr>
        <w:br/>
        <w:t xml:space="preserve">sprawozdania finansowego INTERFERIE S.A. </w:t>
      </w:r>
    </w:p>
    <w:p w:rsidR="00AB1DE7" w:rsidRPr="008232EF" w:rsidRDefault="00AB1DE7" w:rsidP="00AB1DE7">
      <w:pPr>
        <w:pStyle w:val="Tytu"/>
        <w:tabs>
          <w:tab w:val="left" w:pos="540"/>
        </w:tabs>
        <w:rPr>
          <w:szCs w:val="20"/>
        </w:rPr>
      </w:pPr>
      <w:r w:rsidRPr="008232EF">
        <w:rPr>
          <w:szCs w:val="20"/>
        </w:rPr>
        <w:t>z uwzględnieniem wyceny udziałów w jednostce stowarzyszonej metodą praw własności</w:t>
      </w:r>
    </w:p>
    <w:p w:rsidR="008866A0" w:rsidRPr="00F31D8E" w:rsidRDefault="008866A0" w:rsidP="008866A0">
      <w:pPr>
        <w:pStyle w:val="Tytu"/>
        <w:tabs>
          <w:tab w:val="left" w:pos="540"/>
        </w:tabs>
        <w:rPr>
          <w:szCs w:val="20"/>
        </w:rPr>
      </w:pPr>
      <w:r w:rsidRPr="00F31D8E">
        <w:rPr>
          <w:szCs w:val="20"/>
        </w:rPr>
        <w:t>sporządzonego za okres dziewięciu miesi</w:t>
      </w:r>
      <w:r w:rsidR="005A00D9">
        <w:rPr>
          <w:szCs w:val="20"/>
        </w:rPr>
        <w:t>ęcy zakończonych 30 września 202</w:t>
      </w:r>
      <w:r w:rsidR="006915D0">
        <w:rPr>
          <w:szCs w:val="20"/>
        </w:rPr>
        <w:t>1</w:t>
      </w:r>
      <w:r w:rsidRPr="00F31D8E">
        <w:rPr>
          <w:szCs w:val="20"/>
        </w:rPr>
        <w:t xml:space="preserve"> roku</w:t>
      </w:r>
    </w:p>
    <w:p w:rsidR="00B416CC" w:rsidRDefault="00B416CC" w:rsidP="00664D50">
      <w:pPr>
        <w:tabs>
          <w:tab w:val="left" w:pos="540"/>
        </w:tabs>
        <w:spacing w:line="260" w:lineRule="exact"/>
        <w:jc w:val="both"/>
        <w:rPr>
          <w:rFonts w:ascii="Arial" w:hAnsi="Arial" w:cs="Arial"/>
        </w:rPr>
      </w:pPr>
    </w:p>
    <w:p w:rsidR="00B416CC" w:rsidRPr="00F31D8E" w:rsidRDefault="00B416CC" w:rsidP="00664D50">
      <w:pPr>
        <w:tabs>
          <w:tab w:val="left" w:pos="540"/>
        </w:tabs>
        <w:spacing w:line="260" w:lineRule="exact"/>
        <w:jc w:val="both"/>
        <w:rPr>
          <w:rFonts w:ascii="Arial" w:hAnsi="Arial" w:cs="Arial"/>
        </w:rPr>
      </w:pPr>
    </w:p>
    <w:p w:rsidR="00664D50" w:rsidRPr="00F31D8E" w:rsidRDefault="00664D50" w:rsidP="00664D50">
      <w:pPr>
        <w:tabs>
          <w:tab w:val="left" w:pos="540"/>
        </w:tabs>
        <w:spacing w:line="260" w:lineRule="exact"/>
        <w:jc w:val="both"/>
        <w:rPr>
          <w:rFonts w:ascii="Arial" w:hAnsi="Arial" w:cs="Arial"/>
          <w:b/>
          <w:bCs/>
          <w:sz w:val="18"/>
          <w:szCs w:val="18"/>
        </w:rPr>
      </w:pPr>
      <w:r w:rsidRPr="00F31D8E">
        <w:rPr>
          <w:rFonts w:ascii="Arial" w:hAnsi="Arial" w:cs="Arial"/>
          <w:b/>
          <w:bCs/>
          <w:sz w:val="18"/>
          <w:szCs w:val="18"/>
        </w:rPr>
        <w:t>I    Podstawa sporządzenia i stosowane zasady rachunkowości.</w:t>
      </w:r>
    </w:p>
    <w:p w:rsidR="00B6224E" w:rsidRDefault="00B6224E" w:rsidP="008250AA">
      <w:pPr>
        <w:tabs>
          <w:tab w:val="left" w:pos="540"/>
        </w:tabs>
        <w:spacing w:line="260" w:lineRule="exact"/>
        <w:jc w:val="both"/>
        <w:rPr>
          <w:rFonts w:ascii="Arial" w:hAnsi="Arial" w:cs="Arial"/>
          <w:b/>
          <w:bCs/>
          <w:sz w:val="18"/>
          <w:szCs w:val="18"/>
        </w:rPr>
      </w:pPr>
    </w:p>
    <w:p w:rsidR="00600719" w:rsidRPr="00F31D8E" w:rsidRDefault="00600719" w:rsidP="00600719">
      <w:pPr>
        <w:tabs>
          <w:tab w:val="left" w:pos="540"/>
        </w:tabs>
        <w:spacing w:line="260" w:lineRule="exact"/>
        <w:jc w:val="both"/>
        <w:rPr>
          <w:rFonts w:ascii="Arial" w:hAnsi="Arial" w:cs="Arial"/>
          <w:b/>
          <w:bCs/>
          <w:i/>
          <w:iCs/>
          <w:sz w:val="18"/>
          <w:szCs w:val="18"/>
        </w:rPr>
      </w:pPr>
      <w:r w:rsidRPr="00F31D8E">
        <w:rPr>
          <w:rFonts w:ascii="Arial" w:hAnsi="Arial" w:cs="Arial"/>
          <w:b/>
          <w:bCs/>
          <w:i/>
          <w:iCs/>
          <w:sz w:val="18"/>
          <w:szCs w:val="18"/>
        </w:rPr>
        <w:t>1. Wstęp.</w:t>
      </w:r>
    </w:p>
    <w:p w:rsidR="00600719" w:rsidRPr="00F31D8E" w:rsidRDefault="00600719" w:rsidP="00600719">
      <w:pPr>
        <w:tabs>
          <w:tab w:val="left" w:pos="540"/>
        </w:tabs>
        <w:spacing w:line="260" w:lineRule="exact"/>
        <w:jc w:val="both"/>
        <w:rPr>
          <w:rFonts w:ascii="Arial" w:hAnsi="Arial" w:cs="Arial"/>
          <w:i/>
          <w:sz w:val="18"/>
          <w:szCs w:val="18"/>
        </w:rPr>
      </w:pPr>
    </w:p>
    <w:p w:rsidR="00600719" w:rsidRPr="00491116" w:rsidRDefault="00600719" w:rsidP="00600719">
      <w:pPr>
        <w:tabs>
          <w:tab w:val="left" w:pos="540"/>
        </w:tabs>
        <w:spacing w:line="260" w:lineRule="exact"/>
        <w:jc w:val="both"/>
        <w:rPr>
          <w:rFonts w:ascii="Arial" w:hAnsi="Arial" w:cs="Arial"/>
          <w:sz w:val="18"/>
          <w:szCs w:val="18"/>
        </w:rPr>
      </w:pPr>
      <w:r w:rsidRPr="00491116">
        <w:rPr>
          <w:rFonts w:ascii="Arial" w:hAnsi="Arial" w:cs="Arial"/>
          <w:sz w:val="18"/>
          <w:szCs w:val="18"/>
        </w:rPr>
        <w:t>Prezentowany raport śródroczny zawiera śródroczne skrócone jednostkowe sprawozdanie finansowe. Sporządzony jest za następujące okresy:</w:t>
      </w:r>
    </w:p>
    <w:p w:rsidR="00600719" w:rsidRPr="00491116" w:rsidRDefault="00600719" w:rsidP="00600719">
      <w:pPr>
        <w:tabs>
          <w:tab w:val="left" w:pos="360"/>
          <w:tab w:val="left" w:pos="540"/>
        </w:tabs>
        <w:spacing w:line="260" w:lineRule="exact"/>
        <w:jc w:val="both"/>
        <w:rPr>
          <w:rFonts w:ascii="Arial" w:hAnsi="Arial" w:cs="Arial"/>
          <w:sz w:val="18"/>
          <w:szCs w:val="18"/>
        </w:rPr>
      </w:pPr>
      <w:r w:rsidRPr="00491116">
        <w:rPr>
          <w:rFonts w:ascii="Arial" w:hAnsi="Arial" w:cs="Arial"/>
          <w:sz w:val="18"/>
          <w:szCs w:val="18"/>
        </w:rPr>
        <w:t>-</w:t>
      </w:r>
      <w:r w:rsidRPr="00491116">
        <w:rPr>
          <w:rFonts w:ascii="Arial" w:hAnsi="Arial" w:cs="Arial"/>
          <w:sz w:val="18"/>
          <w:szCs w:val="18"/>
        </w:rPr>
        <w:tab/>
        <w:t>bieżący od 1 stycznia do 30 września 2021 r. ( w sprawozdaniu z sytuacji finansowej stan na dzień 30.09.2021 r.)</w:t>
      </w:r>
    </w:p>
    <w:p w:rsidR="00600719" w:rsidRPr="00661ED4" w:rsidRDefault="00600719" w:rsidP="00600719">
      <w:pPr>
        <w:tabs>
          <w:tab w:val="left" w:pos="360"/>
          <w:tab w:val="left" w:pos="540"/>
        </w:tabs>
        <w:spacing w:line="260" w:lineRule="exact"/>
        <w:jc w:val="both"/>
        <w:rPr>
          <w:rFonts w:ascii="Arial" w:hAnsi="Arial" w:cs="Arial"/>
          <w:sz w:val="18"/>
          <w:szCs w:val="18"/>
        </w:rPr>
      </w:pPr>
      <w:r w:rsidRPr="00491116">
        <w:rPr>
          <w:rFonts w:ascii="Arial" w:hAnsi="Arial" w:cs="Arial"/>
          <w:sz w:val="18"/>
          <w:szCs w:val="18"/>
        </w:rPr>
        <w:t>-</w:t>
      </w:r>
      <w:r w:rsidRPr="00491116">
        <w:rPr>
          <w:rFonts w:ascii="Arial" w:hAnsi="Arial" w:cs="Arial"/>
          <w:sz w:val="18"/>
          <w:szCs w:val="18"/>
        </w:rPr>
        <w:tab/>
      </w:r>
      <w:r w:rsidRPr="000D373B">
        <w:rPr>
          <w:rFonts w:ascii="Arial" w:hAnsi="Arial" w:cs="Arial"/>
          <w:sz w:val="18"/>
          <w:szCs w:val="18"/>
        </w:rPr>
        <w:t xml:space="preserve">porównywalny od 1 stycznia do 30 września 2020r. ( w sprawozdaniu z sytuacji finansowej stan na dzień </w:t>
      </w:r>
      <w:r>
        <w:rPr>
          <w:rFonts w:ascii="Arial" w:hAnsi="Arial" w:cs="Arial"/>
          <w:sz w:val="18"/>
          <w:szCs w:val="18"/>
        </w:rPr>
        <w:t>31</w:t>
      </w:r>
      <w:r w:rsidRPr="000D373B">
        <w:rPr>
          <w:rFonts w:ascii="Arial" w:hAnsi="Arial" w:cs="Arial"/>
          <w:sz w:val="18"/>
          <w:szCs w:val="18"/>
        </w:rPr>
        <w:t>.</w:t>
      </w:r>
      <w:r>
        <w:rPr>
          <w:rFonts w:ascii="Arial" w:hAnsi="Arial" w:cs="Arial"/>
          <w:sz w:val="18"/>
          <w:szCs w:val="18"/>
        </w:rPr>
        <w:t>12</w:t>
      </w:r>
      <w:r w:rsidRPr="000D373B">
        <w:rPr>
          <w:rFonts w:ascii="Arial" w:hAnsi="Arial" w:cs="Arial"/>
          <w:sz w:val="18"/>
          <w:szCs w:val="18"/>
        </w:rPr>
        <w:t>.202</w:t>
      </w:r>
      <w:r>
        <w:rPr>
          <w:rFonts w:ascii="Arial" w:hAnsi="Arial" w:cs="Arial"/>
          <w:sz w:val="18"/>
          <w:szCs w:val="18"/>
        </w:rPr>
        <w:t>0</w:t>
      </w:r>
      <w:r w:rsidRPr="000D373B">
        <w:rPr>
          <w:rFonts w:ascii="Arial" w:hAnsi="Arial" w:cs="Arial"/>
          <w:sz w:val="18"/>
          <w:szCs w:val="18"/>
        </w:rPr>
        <w:t xml:space="preserve"> r.)</w:t>
      </w:r>
    </w:p>
    <w:p w:rsidR="00600719" w:rsidRPr="009F3DA3" w:rsidRDefault="00600719" w:rsidP="00600719">
      <w:pPr>
        <w:tabs>
          <w:tab w:val="left" w:pos="360"/>
          <w:tab w:val="left" w:pos="540"/>
        </w:tabs>
        <w:spacing w:line="260" w:lineRule="exact"/>
        <w:jc w:val="both"/>
        <w:rPr>
          <w:rFonts w:ascii="Arial" w:hAnsi="Arial" w:cs="Arial"/>
          <w:sz w:val="18"/>
          <w:szCs w:val="18"/>
        </w:rPr>
      </w:pPr>
    </w:p>
    <w:p w:rsidR="00600719" w:rsidRPr="00491116" w:rsidRDefault="00600719" w:rsidP="00600719">
      <w:pPr>
        <w:tabs>
          <w:tab w:val="left" w:pos="360"/>
          <w:tab w:val="left" w:pos="540"/>
        </w:tabs>
        <w:spacing w:line="260" w:lineRule="exact"/>
        <w:jc w:val="both"/>
        <w:rPr>
          <w:rFonts w:ascii="Arial" w:hAnsi="Arial" w:cs="Arial"/>
          <w:sz w:val="18"/>
          <w:szCs w:val="18"/>
        </w:rPr>
      </w:pPr>
      <w:r w:rsidRPr="00491116">
        <w:rPr>
          <w:rFonts w:ascii="Arial" w:hAnsi="Arial" w:cs="Arial"/>
          <w:sz w:val="18"/>
          <w:szCs w:val="18"/>
        </w:rPr>
        <w:t xml:space="preserve">Na sprawozdanie finansowe składają się: </w:t>
      </w:r>
    </w:p>
    <w:p w:rsidR="00600719" w:rsidRPr="00491116" w:rsidRDefault="00600719" w:rsidP="00600719">
      <w:pPr>
        <w:tabs>
          <w:tab w:val="left" w:pos="360"/>
          <w:tab w:val="left" w:pos="540"/>
        </w:tabs>
        <w:spacing w:line="260" w:lineRule="exact"/>
        <w:jc w:val="both"/>
        <w:rPr>
          <w:rFonts w:ascii="Arial" w:hAnsi="Arial" w:cs="Arial"/>
          <w:sz w:val="18"/>
          <w:szCs w:val="18"/>
        </w:rPr>
      </w:pPr>
      <w:r w:rsidRPr="00491116">
        <w:rPr>
          <w:rFonts w:ascii="Arial" w:hAnsi="Arial" w:cs="Arial"/>
          <w:sz w:val="18"/>
          <w:szCs w:val="18"/>
        </w:rPr>
        <w:t xml:space="preserve">- śródroczne skrócone sprawozdanie z sytuacji finansowej na dzień 30.09.2021 r. oraz na 31.12.2020 r. </w:t>
      </w:r>
    </w:p>
    <w:p w:rsidR="00600719" w:rsidRPr="00491116" w:rsidRDefault="00600719" w:rsidP="00600719">
      <w:pPr>
        <w:tabs>
          <w:tab w:val="left" w:pos="360"/>
          <w:tab w:val="left" w:pos="540"/>
        </w:tabs>
        <w:spacing w:line="260" w:lineRule="exact"/>
        <w:jc w:val="both"/>
        <w:rPr>
          <w:rFonts w:ascii="Arial" w:hAnsi="Arial" w:cs="Arial"/>
          <w:sz w:val="18"/>
          <w:szCs w:val="18"/>
        </w:rPr>
      </w:pPr>
      <w:r w:rsidRPr="00491116">
        <w:rPr>
          <w:rFonts w:ascii="Arial" w:hAnsi="Arial" w:cs="Arial"/>
          <w:sz w:val="18"/>
          <w:szCs w:val="18"/>
        </w:rPr>
        <w:t>- śródroczne skrócone sprawozdanie z całkowitych dochodów za 3 m-ce kończące się 30 września 2021  oraz za 3 m-ce kończące się 30 września 2020 r., a także za 9 m-cy kończących się 30 września 2021 r. oraz za 9 m-cy kończących się 30 września 2020 r.</w:t>
      </w:r>
    </w:p>
    <w:p w:rsidR="00600719" w:rsidRPr="00491116" w:rsidRDefault="00600719" w:rsidP="00600719">
      <w:pPr>
        <w:tabs>
          <w:tab w:val="left" w:pos="360"/>
          <w:tab w:val="left" w:pos="540"/>
        </w:tabs>
        <w:spacing w:line="260" w:lineRule="exact"/>
        <w:jc w:val="both"/>
        <w:rPr>
          <w:rFonts w:ascii="Arial" w:hAnsi="Arial" w:cs="Arial"/>
          <w:sz w:val="18"/>
          <w:szCs w:val="18"/>
        </w:rPr>
      </w:pPr>
      <w:r w:rsidRPr="00491116">
        <w:rPr>
          <w:rFonts w:ascii="Arial" w:hAnsi="Arial" w:cs="Arial"/>
          <w:sz w:val="18"/>
          <w:szCs w:val="18"/>
        </w:rPr>
        <w:t>- śródroczne skrócone sprawozdanie ze zmian w kapitale własnym za okres 9 miesięcy zakończony 30 września 2021 r. oraz 30 września 2020 r.</w:t>
      </w:r>
    </w:p>
    <w:p w:rsidR="00600719" w:rsidRPr="00491116" w:rsidRDefault="00600719" w:rsidP="00600719">
      <w:pPr>
        <w:tabs>
          <w:tab w:val="left" w:pos="360"/>
          <w:tab w:val="left" w:pos="540"/>
        </w:tabs>
        <w:spacing w:line="260" w:lineRule="exact"/>
        <w:jc w:val="both"/>
        <w:rPr>
          <w:rFonts w:ascii="Arial" w:hAnsi="Arial" w:cs="Arial"/>
          <w:sz w:val="18"/>
          <w:szCs w:val="18"/>
        </w:rPr>
      </w:pPr>
      <w:r w:rsidRPr="00491116">
        <w:rPr>
          <w:rFonts w:ascii="Arial" w:hAnsi="Arial" w:cs="Arial"/>
          <w:sz w:val="18"/>
          <w:szCs w:val="18"/>
        </w:rPr>
        <w:t>- śródroczne skrócone sprawozdanie z przepływów pieniężnych za 9 m-cy kończących się 30 września 2021 r. oraz za 9 m-cy kończących się 30 września 2020 r.</w:t>
      </w:r>
    </w:p>
    <w:p w:rsidR="00600719" w:rsidRPr="009F3DA3" w:rsidRDefault="00600719" w:rsidP="00600719">
      <w:pPr>
        <w:tabs>
          <w:tab w:val="left" w:pos="360"/>
          <w:tab w:val="left" w:pos="540"/>
        </w:tabs>
        <w:spacing w:line="260" w:lineRule="exact"/>
        <w:jc w:val="both"/>
        <w:rPr>
          <w:rFonts w:ascii="Arial" w:hAnsi="Arial" w:cs="Arial"/>
          <w:sz w:val="18"/>
          <w:szCs w:val="18"/>
        </w:rPr>
      </w:pPr>
      <w:r w:rsidRPr="00491116">
        <w:rPr>
          <w:rFonts w:ascii="Arial" w:hAnsi="Arial" w:cs="Arial"/>
          <w:sz w:val="18"/>
          <w:szCs w:val="18"/>
        </w:rPr>
        <w:t>- wybrane dane objaśniające.</w:t>
      </w:r>
    </w:p>
    <w:p w:rsidR="00600719" w:rsidRPr="009F3DA3" w:rsidRDefault="00600719" w:rsidP="00600719">
      <w:pPr>
        <w:tabs>
          <w:tab w:val="left" w:pos="360"/>
          <w:tab w:val="left" w:pos="540"/>
        </w:tabs>
        <w:spacing w:line="260" w:lineRule="exact"/>
        <w:jc w:val="both"/>
        <w:rPr>
          <w:rFonts w:ascii="Arial" w:hAnsi="Arial" w:cs="Arial"/>
          <w:sz w:val="18"/>
          <w:szCs w:val="18"/>
        </w:rPr>
      </w:pPr>
    </w:p>
    <w:p w:rsidR="00600719" w:rsidRPr="009F3DA3" w:rsidRDefault="00600719" w:rsidP="00600719">
      <w:pPr>
        <w:tabs>
          <w:tab w:val="left" w:pos="360"/>
          <w:tab w:val="left" w:pos="540"/>
        </w:tabs>
        <w:spacing w:line="260" w:lineRule="exact"/>
        <w:jc w:val="both"/>
        <w:rPr>
          <w:rFonts w:ascii="Arial" w:hAnsi="Arial" w:cs="Arial"/>
          <w:sz w:val="18"/>
          <w:szCs w:val="18"/>
        </w:rPr>
      </w:pPr>
      <w:r w:rsidRPr="009F3DA3">
        <w:rPr>
          <w:rFonts w:ascii="Arial" w:hAnsi="Arial" w:cs="Arial"/>
          <w:sz w:val="18"/>
          <w:szCs w:val="18"/>
        </w:rPr>
        <w:t xml:space="preserve">Sprawozdania finansowe na dzień 30 września </w:t>
      </w:r>
      <w:r>
        <w:rPr>
          <w:rFonts w:ascii="Arial" w:hAnsi="Arial" w:cs="Arial"/>
          <w:sz w:val="18"/>
          <w:szCs w:val="18"/>
        </w:rPr>
        <w:t>2021</w:t>
      </w:r>
      <w:r w:rsidRPr="009F3DA3">
        <w:rPr>
          <w:rFonts w:ascii="Arial" w:hAnsi="Arial" w:cs="Arial"/>
          <w:sz w:val="18"/>
          <w:szCs w:val="18"/>
        </w:rPr>
        <w:t xml:space="preserve"> r. oraz na dzień 30 września </w:t>
      </w:r>
      <w:r>
        <w:rPr>
          <w:rFonts w:ascii="Arial" w:hAnsi="Arial" w:cs="Arial"/>
          <w:sz w:val="18"/>
          <w:szCs w:val="18"/>
        </w:rPr>
        <w:t>2020</w:t>
      </w:r>
      <w:r w:rsidRPr="009F3DA3">
        <w:rPr>
          <w:rFonts w:ascii="Arial" w:hAnsi="Arial" w:cs="Arial"/>
          <w:sz w:val="18"/>
          <w:szCs w:val="18"/>
        </w:rPr>
        <w:t xml:space="preserve"> roku, a także za okres zakończony dnia 30 września </w:t>
      </w:r>
      <w:r>
        <w:rPr>
          <w:rFonts w:ascii="Arial" w:hAnsi="Arial" w:cs="Arial"/>
          <w:sz w:val="18"/>
          <w:szCs w:val="18"/>
        </w:rPr>
        <w:t>2021</w:t>
      </w:r>
      <w:r w:rsidRPr="009F3DA3">
        <w:rPr>
          <w:rFonts w:ascii="Arial" w:hAnsi="Arial" w:cs="Arial"/>
          <w:sz w:val="18"/>
          <w:szCs w:val="18"/>
        </w:rPr>
        <w:t xml:space="preserve"> roku i 30 września </w:t>
      </w:r>
      <w:r>
        <w:rPr>
          <w:rFonts w:ascii="Arial" w:hAnsi="Arial" w:cs="Arial"/>
          <w:sz w:val="18"/>
          <w:szCs w:val="18"/>
        </w:rPr>
        <w:t>2020</w:t>
      </w:r>
      <w:r w:rsidRPr="009F3DA3">
        <w:rPr>
          <w:rFonts w:ascii="Arial" w:hAnsi="Arial" w:cs="Arial"/>
          <w:sz w:val="18"/>
          <w:szCs w:val="18"/>
        </w:rPr>
        <w:t xml:space="preserve"> roku nie podlegały badaniu przez biegłego rewidenta.</w:t>
      </w:r>
    </w:p>
    <w:p w:rsidR="00600719" w:rsidRDefault="00600719" w:rsidP="00600719">
      <w:pPr>
        <w:tabs>
          <w:tab w:val="left" w:pos="360"/>
          <w:tab w:val="left" w:pos="540"/>
        </w:tabs>
        <w:spacing w:line="260" w:lineRule="exact"/>
        <w:jc w:val="both"/>
        <w:rPr>
          <w:rFonts w:ascii="Arial" w:hAnsi="Arial" w:cs="Arial"/>
          <w:sz w:val="18"/>
          <w:szCs w:val="18"/>
        </w:rPr>
      </w:pPr>
    </w:p>
    <w:p w:rsidR="00E53868" w:rsidRPr="00566E13" w:rsidRDefault="00E53868" w:rsidP="00E53868">
      <w:pPr>
        <w:tabs>
          <w:tab w:val="left" w:pos="360"/>
          <w:tab w:val="left" w:pos="540"/>
        </w:tabs>
        <w:spacing w:line="260" w:lineRule="exact"/>
        <w:jc w:val="both"/>
        <w:rPr>
          <w:rFonts w:ascii="Arial" w:hAnsi="Arial" w:cs="Arial"/>
          <w:sz w:val="18"/>
          <w:szCs w:val="18"/>
        </w:rPr>
      </w:pPr>
      <w:r w:rsidRPr="00AB1DE7">
        <w:rPr>
          <w:rFonts w:ascii="Arial" w:hAnsi="Arial" w:cs="Arial"/>
          <w:sz w:val="18"/>
          <w:szCs w:val="18"/>
        </w:rPr>
        <w:t xml:space="preserve">Spółka sporządza również sprawozdanie jednostkowe, dlatego też wynik między tymi sprawozdaniami różni się </w:t>
      </w:r>
      <w:r w:rsidRPr="00AB1DE7">
        <w:rPr>
          <w:rFonts w:ascii="Arial" w:hAnsi="Arial" w:cs="Arial"/>
          <w:sz w:val="18"/>
          <w:szCs w:val="18"/>
        </w:rPr>
        <w:br/>
        <w:t xml:space="preserve">o kwotę </w:t>
      </w:r>
      <w:r>
        <w:rPr>
          <w:rFonts w:ascii="Arial" w:hAnsi="Arial" w:cs="Arial"/>
          <w:sz w:val="18"/>
          <w:szCs w:val="18"/>
        </w:rPr>
        <w:t>2</w:t>
      </w:r>
      <w:r w:rsidRPr="00AB1DE7">
        <w:rPr>
          <w:rFonts w:ascii="Arial" w:hAnsi="Arial" w:cs="Arial"/>
          <w:sz w:val="18"/>
          <w:szCs w:val="18"/>
        </w:rPr>
        <w:t>5</w:t>
      </w:r>
      <w:r>
        <w:rPr>
          <w:rFonts w:ascii="Arial" w:hAnsi="Arial" w:cs="Arial"/>
          <w:sz w:val="18"/>
          <w:szCs w:val="18"/>
        </w:rPr>
        <w:t>0</w:t>
      </w:r>
      <w:r w:rsidRPr="00AB1DE7">
        <w:rPr>
          <w:rFonts w:ascii="Arial" w:hAnsi="Arial" w:cs="Arial"/>
          <w:sz w:val="18"/>
          <w:szCs w:val="18"/>
        </w:rPr>
        <w:t xml:space="preserve"> tysięcy złotych.</w:t>
      </w:r>
    </w:p>
    <w:p w:rsidR="00E53868" w:rsidRDefault="00E53868" w:rsidP="00600719">
      <w:pPr>
        <w:tabs>
          <w:tab w:val="left" w:pos="360"/>
          <w:tab w:val="left" w:pos="540"/>
        </w:tabs>
        <w:spacing w:line="260" w:lineRule="exact"/>
        <w:jc w:val="both"/>
        <w:rPr>
          <w:rFonts w:ascii="Arial" w:hAnsi="Arial" w:cs="Arial"/>
          <w:sz w:val="18"/>
          <w:szCs w:val="18"/>
        </w:rPr>
      </w:pPr>
    </w:p>
    <w:p w:rsidR="00E53868" w:rsidRPr="00F31D8E" w:rsidRDefault="00E53868" w:rsidP="00600719">
      <w:pPr>
        <w:tabs>
          <w:tab w:val="left" w:pos="360"/>
          <w:tab w:val="left" w:pos="540"/>
        </w:tabs>
        <w:spacing w:line="260" w:lineRule="exact"/>
        <w:jc w:val="both"/>
        <w:rPr>
          <w:rFonts w:ascii="Arial" w:hAnsi="Arial" w:cs="Arial"/>
          <w:sz w:val="18"/>
          <w:szCs w:val="18"/>
        </w:rPr>
      </w:pPr>
    </w:p>
    <w:p w:rsidR="00600719" w:rsidRPr="00F31D8E" w:rsidRDefault="00600719" w:rsidP="00600719">
      <w:pPr>
        <w:tabs>
          <w:tab w:val="left" w:pos="540"/>
        </w:tabs>
        <w:spacing w:line="260" w:lineRule="exact"/>
        <w:jc w:val="both"/>
        <w:rPr>
          <w:rFonts w:ascii="Arial" w:hAnsi="Arial" w:cs="Arial"/>
          <w:sz w:val="18"/>
          <w:szCs w:val="18"/>
        </w:rPr>
      </w:pPr>
      <w:r w:rsidRPr="00F31D8E">
        <w:rPr>
          <w:rFonts w:ascii="Arial" w:hAnsi="Arial" w:cs="Arial"/>
          <w:sz w:val="18"/>
          <w:szCs w:val="18"/>
        </w:rPr>
        <w:t xml:space="preserve">Spółka INTERFERIE Spółka Akcyjna z siedzibą w Legnicy, ul. </w:t>
      </w:r>
      <w:r>
        <w:rPr>
          <w:rFonts w:ascii="Arial" w:hAnsi="Arial" w:cs="Arial"/>
          <w:sz w:val="18"/>
          <w:szCs w:val="18"/>
        </w:rPr>
        <w:t>Chojnowska 41</w:t>
      </w:r>
      <w:r w:rsidRPr="00F31D8E">
        <w:rPr>
          <w:rFonts w:ascii="Arial" w:hAnsi="Arial" w:cs="Arial"/>
          <w:sz w:val="18"/>
          <w:szCs w:val="18"/>
        </w:rPr>
        <w:t xml:space="preserve">, rozpoczęła działalność </w:t>
      </w:r>
      <w:r>
        <w:rPr>
          <w:rFonts w:ascii="Arial" w:hAnsi="Arial" w:cs="Arial"/>
          <w:sz w:val="18"/>
          <w:szCs w:val="18"/>
        </w:rPr>
        <w:br/>
      </w:r>
      <w:r w:rsidRPr="00F31D8E">
        <w:rPr>
          <w:rFonts w:ascii="Arial" w:hAnsi="Arial" w:cs="Arial"/>
          <w:sz w:val="18"/>
          <w:szCs w:val="18"/>
        </w:rPr>
        <w:t xml:space="preserve">10 czerwca 1992 r. jako spółka z ograniczoną odpowiedzialnością. Akt założycielski Spółki sporządzono w formie aktu notarialnego w Kancelarii Notarialnej Notariusza Małgorzaty Niespodziewany w dniu 10 czerwca 1992 r. </w:t>
      </w:r>
    </w:p>
    <w:p w:rsidR="00600719" w:rsidRPr="00F31D8E" w:rsidRDefault="00600719" w:rsidP="00600719">
      <w:pPr>
        <w:tabs>
          <w:tab w:val="left" w:pos="540"/>
        </w:tabs>
        <w:spacing w:line="260" w:lineRule="exact"/>
        <w:jc w:val="both"/>
        <w:rPr>
          <w:rFonts w:ascii="Arial" w:hAnsi="Arial" w:cs="Arial"/>
          <w:sz w:val="18"/>
          <w:szCs w:val="18"/>
        </w:rPr>
      </w:pPr>
      <w:r w:rsidRPr="00F31D8E">
        <w:rPr>
          <w:rFonts w:ascii="Arial" w:hAnsi="Arial" w:cs="Arial"/>
          <w:sz w:val="18"/>
          <w:szCs w:val="18"/>
        </w:rPr>
        <w:t xml:space="preserve">Sąd Rejonowy dla Wrocławia Fabrycznej we Wrocławiu, IX Wydział Gospodarczy Krajowego Rejestru Sądowego dokonał dnia 11 marca 2002 r. wpisu Spółki do Rejestru Przedsiębiorców pod numerem KRS 0000076846. </w:t>
      </w:r>
      <w:r w:rsidRPr="00F31D8E">
        <w:rPr>
          <w:rFonts w:ascii="Arial" w:hAnsi="Arial" w:cs="Arial"/>
          <w:sz w:val="18"/>
          <w:szCs w:val="18"/>
        </w:rPr>
        <w:br/>
        <w:t>W związku z przekształceniem Spółki w spółkę akcyjną, Sąd Rejonowy dla Wrocławia Fabrycznej we Wrocławiu, VI Wydział Gospodarczy Krajowego Rejestru Sądowego dokonał dnia 31.12.2004 r. wpisu Spółki do Rejestru Przedsiębiorców pod numerem KRS 0000225570. Czas trwania Spółki jest nieoznaczony.</w:t>
      </w:r>
    </w:p>
    <w:p w:rsidR="00600719" w:rsidRPr="00F31D8E" w:rsidRDefault="00600719" w:rsidP="00600719">
      <w:pPr>
        <w:tabs>
          <w:tab w:val="left" w:pos="540"/>
        </w:tabs>
        <w:spacing w:line="260" w:lineRule="exact"/>
        <w:jc w:val="both"/>
        <w:rPr>
          <w:rFonts w:ascii="Arial" w:hAnsi="Arial" w:cs="Arial"/>
          <w:sz w:val="18"/>
          <w:szCs w:val="18"/>
        </w:rPr>
      </w:pPr>
    </w:p>
    <w:p w:rsidR="00600719" w:rsidRPr="00F31D8E" w:rsidRDefault="00600719" w:rsidP="00600719">
      <w:pPr>
        <w:tabs>
          <w:tab w:val="left" w:pos="540"/>
        </w:tabs>
        <w:spacing w:line="260" w:lineRule="exact"/>
        <w:jc w:val="both"/>
        <w:rPr>
          <w:rFonts w:ascii="Arial" w:hAnsi="Arial" w:cs="Arial"/>
          <w:sz w:val="18"/>
          <w:szCs w:val="18"/>
        </w:rPr>
      </w:pPr>
      <w:r w:rsidRPr="00F31D8E">
        <w:rPr>
          <w:rFonts w:ascii="Arial" w:hAnsi="Arial" w:cs="Arial"/>
          <w:sz w:val="18"/>
          <w:szCs w:val="18"/>
        </w:rPr>
        <w:t>Przedmiotem działalności Spółki są przede wszystkim:</w:t>
      </w:r>
    </w:p>
    <w:p w:rsidR="00600719" w:rsidRPr="00F31D8E" w:rsidRDefault="00600719" w:rsidP="00600719">
      <w:pPr>
        <w:pStyle w:val="Akapitzlist"/>
        <w:numPr>
          <w:ilvl w:val="0"/>
          <w:numId w:val="14"/>
        </w:numPr>
        <w:tabs>
          <w:tab w:val="left" w:pos="567"/>
        </w:tabs>
        <w:spacing w:line="260" w:lineRule="exact"/>
        <w:ind w:left="993" w:hanging="851"/>
        <w:jc w:val="both"/>
        <w:rPr>
          <w:rFonts w:ascii="Arial" w:hAnsi="Arial" w:cs="Arial"/>
          <w:sz w:val="18"/>
          <w:szCs w:val="18"/>
        </w:rPr>
      </w:pPr>
      <w:r>
        <w:rPr>
          <w:rFonts w:ascii="Arial" w:hAnsi="Arial" w:cs="Arial"/>
          <w:sz w:val="18"/>
          <w:szCs w:val="18"/>
        </w:rPr>
        <w:t>działalność hotelarska</w:t>
      </w:r>
      <w:r w:rsidRPr="00F31D8E">
        <w:rPr>
          <w:rFonts w:ascii="Arial" w:hAnsi="Arial" w:cs="Arial"/>
          <w:sz w:val="18"/>
          <w:szCs w:val="18"/>
        </w:rPr>
        <w:t>,</w:t>
      </w:r>
    </w:p>
    <w:p w:rsidR="00600719" w:rsidRPr="00F31D8E" w:rsidRDefault="00600719" w:rsidP="00600719">
      <w:pPr>
        <w:pStyle w:val="Akapitzlist"/>
        <w:numPr>
          <w:ilvl w:val="0"/>
          <w:numId w:val="14"/>
        </w:numPr>
        <w:tabs>
          <w:tab w:val="left" w:pos="567"/>
        </w:tabs>
        <w:spacing w:line="260" w:lineRule="exact"/>
        <w:ind w:left="993" w:hanging="851"/>
        <w:jc w:val="both"/>
        <w:rPr>
          <w:rFonts w:ascii="Arial" w:hAnsi="Arial" w:cs="Arial"/>
          <w:sz w:val="18"/>
          <w:szCs w:val="18"/>
        </w:rPr>
      </w:pPr>
      <w:r>
        <w:rPr>
          <w:rFonts w:ascii="Arial" w:hAnsi="Arial" w:cs="Arial"/>
          <w:sz w:val="18"/>
          <w:szCs w:val="18"/>
        </w:rPr>
        <w:t>działalność restauracyjna</w:t>
      </w:r>
      <w:r w:rsidRPr="00F31D8E">
        <w:rPr>
          <w:rFonts w:ascii="Arial" w:hAnsi="Arial" w:cs="Arial"/>
          <w:sz w:val="18"/>
          <w:szCs w:val="18"/>
        </w:rPr>
        <w:t>,</w:t>
      </w:r>
    </w:p>
    <w:p w:rsidR="00600719" w:rsidRPr="00F31D8E" w:rsidRDefault="00600719" w:rsidP="00600719">
      <w:pPr>
        <w:pStyle w:val="Akapitzlist"/>
        <w:numPr>
          <w:ilvl w:val="0"/>
          <w:numId w:val="14"/>
        </w:numPr>
        <w:tabs>
          <w:tab w:val="left" w:pos="567"/>
        </w:tabs>
        <w:spacing w:line="260" w:lineRule="exact"/>
        <w:ind w:left="993" w:hanging="851"/>
        <w:jc w:val="both"/>
        <w:rPr>
          <w:rFonts w:ascii="Arial" w:hAnsi="Arial" w:cs="Arial"/>
          <w:sz w:val="18"/>
          <w:szCs w:val="18"/>
        </w:rPr>
      </w:pPr>
      <w:r w:rsidRPr="00F31D8E">
        <w:rPr>
          <w:rFonts w:ascii="Arial" w:hAnsi="Arial" w:cs="Arial"/>
          <w:sz w:val="18"/>
          <w:szCs w:val="18"/>
        </w:rPr>
        <w:t>działalność w zakresie turystyki, wypoczynku i rekreacji,</w:t>
      </w:r>
    </w:p>
    <w:p w:rsidR="00600719" w:rsidRPr="00F31D8E" w:rsidRDefault="00600719" w:rsidP="00600719">
      <w:pPr>
        <w:pStyle w:val="Akapitzlist"/>
        <w:numPr>
          <w:ilvl w:val="0"/>
          <w:numId w:val="14"/>
        </w:numPr>
        <w:tabs>
          <w:tab w:val="left" w:pos="567"/>
        </w:tabs>
        <w:spacing w:line="260" w:lineRule="exact"/>
        <w:ind w:left="993" w:hanging="851"/>
        <w:jc w:val="both"/>
        <w:rPr>
          <w:rFonts w:ascii="Arial" w:hAnsi="Arial" w:cs="Arial"/>
          <w:sz w:val="18"/>
          <w:szCs w:val="18"/>
        </w:rPr>
      </w:pPr>
      <w:r w:rsidRPr="00F31D8E">
        <w:rPr>
          <w:rFonts w:ascii="Arial" w:hAnsi="Arial" w:cs="Arial"/>
          <w:sz w:val="18"/>
          <w:szCs w:val="18"/>
        </w:rPr>
        <w:t xml:space="preserve">świadczenie usług </w:t>
      </w:r>
      <w:proofErr w:type="spellStart"/>
      <w:r w:rsidRPr="00F31D8E">
        <w:rPr>
          <w:rFonts w:ascii="Arial" w:hAnsi="Arial" w:cs="Arial"/>
          <w:sz w:val="18"/>
          <w:szCs w:val="18"/>
        </w:rPr>
        <w:t>sanatoryjno</w:t>
      </w:r>
      <w:proofErr w:type="spellEnd"/>
      <w:r w:rsidRPr="00F31D8E">
        <w:rPr>
          <w:rFonts w:ascii="Arial" w:hAnsi="Arial" w:cs="Arial"/>
          <w:sz w:val="18"/>
          <w:szCs w:val="18"/>
        </w:rPr>
        <w:t xml:space="preserve"> – leczniczych,</w:t>
      </w:r>
    </w:p>
    <w:p w:rsidR="00600719" w:rsidRPr="00F31D8E" w:rsidRDefault="00600719" w:rsidP="00600719">
      <w:pPr>
        <w:pStyle w:val="Akapitzlist"/>
        <w:numPr>
          <w:ilvl w:val="0"/>
          <w:numId w:val="14"/>
        </w:numPr>
        <w:tabs>
          <w:tab w:val="left" w:pos="567"/>
        </w:tabs>
        <w:spacing w:line="260" w:lineRule="exact"/>
        <w:ind w:left="993" w:hanging="851"/>
        <w:jc w:val="both"/>
        <w:rPr>
          <w:rFonts w:ascii="Arial" w:hAnsi="Arial" w:cs="Arial"/>
          <w:sz w:val="18"/>
          <w:szCs w:val="18"/>
        </w:rPr>
      </w:pPr>
      <w:r w:rsidRPr="00F31D8E">
        <w:rPr>
          <w:rFonts w:ascii="Arial" w:hAnsi="Arial" w:cs="Arial"/>
          <w:sz w:val="18"/>
          <w:szCs w:val="18"/>
        </w:rPr>
        <w:t>organizacja kursów szkoleniowych, konferencji, imprez sportowo-turystycznych, festiwali itp.</w:t>
      </w:r>
    </w:p>
    <w:p w:rsidR="00600719" w:rsidRPr="00F31D8E" w:rsidRDefault="00600719" w:rsidP="00600719">
      <w:pPr>
        <w:pStyle w:val="Akapitzlist"/>
        <w:numPr>
          <w:ilvl w:val="0"/>
          <w:numId w:val="14"/>
        </w:numPr>
        <w:tabs>
          <w:tab w:val="left" w:pos="540"/>
          <w:tab w:val="left" w:pos="993"/>
        </w:tabs>
        <w:spacing w:line="260" w:lineRule="exact"/>
        <w:ind w:left="993" w:hanging="851"/>
        <w:jc w:val="both"/>
        <w:rPr>
          <w:rFonts w:ascii="Arial" w:hAnsi="Arial" w:cs="Arial"/>
          <w:sz w:val="18"/>
          <w:szCs w:val="18"/>
        </w:rPr>
      </w:pPr>
      <w:r w:rsidRPr="00F31D8E">
        <w:rPr>
          <w:rFonts w:ascii="Arial" w:hAnsi="Arial" w:cs="Arial"/>
          <w:sz w:val="18"/>
          <w:szCs w:val="18"/>
        </w:rPr>
        <w:lastRenderedPageBreak/>
        <w:t>działalność pilotów wycieczek i przewodników turystycznych,</w:t>
      </w:r>
    </w:p>
    <w:p w:rsidR="00600719" w:rsidRPr="00F31D8E" w:rsidRDefault="00600719" w:rsidP="00600719">
      <w:pPr>
        <w:pStyle w:val="Akapitzlist"/>
        <w:numPr>
          <w:ilvl w:val="0"/>
          <w:numId w:val="14"/>
        </w:numPr>
        <w:tabs>
          <w:tab w:val="left" w:pos="540"/>
          <w:tab w:val="left" w:pos="993"/>
        </w:tabs>
        <w:spacing w:line="260" w:lineRule="exact"/>
        <w:ind w:left="993" w:hanging="851"/>
        <w:jc w:val="both"/>
        <w:rPr>
          <w:rFonts w:ascii="Arial" w:hAnsi="Arial" w:cs="Arial"/>
          <w:sz w:val="18"/>
          <w:szCs w:val="18"/>
        </w:rPr>
      </w:pPr>
      <w:r w:rsidRPr="00F31D8E">
        <w:rPr>
          <w:rFonts w:ascii="Arial" w:hAnsi="Arial" w:cs="Arial"/>
          <w:sz w:val="18"/>
          <w:szCs w:val="18"/>
        </w:rPr>
        <w:t>działalność w zakresie informacji turystycznej,</w:t>
      </w:r>
    </w:p>
    <w:p w:rsidR="00600719" w:rsidRPr="00F31D8E" w:rsidRDefault="00600719" w:rsidP="00600719">
      <w:pPr>
        <w:pStyle w:val="Akapitzlist"/>
        <w:numPr>
          <w:ilvl w:val="0"/>
          <w:numId w:val="14"/>
        </w:numPr>
        <w:tabs>
          <w:tab w:val="left" w:pos="540"/>
          <w:tab w:val="left" w:pos="993"/>
        </w:tabs>
        <w:spacing w:line="260" w:lineRule="exact"/>
        <w:ind w:left="993" w:hanging="851"/>
        <w:jc w:val="both"/>
        <w:rPr>
          <w:rFonts w:ascii="Arial" w:hAnsi="Arial" w:cs="Arial"/>
          <w:sz w:val="18"/>
          <w:szCs w:val="18"/>
        </w:rPr>
      </w:pPr>
      <w:r w:rsidRPr="00F31D8E">
        <w:rPr>
          <w:rFonts w:ascii="Arial" w:hAnsi="Arial" w:cs="Arial"/>
          <w:sz w:val="18"/>
          <w:szCs w:val="18"/>
        </w:rPr>
        <w:t>działalność fizjoterapeutyczna,</w:t>
      </w:r>
    </w:p>
    <w:p w:rsidR="00600719" w:rsidRPr="00F31D8E" w:rsidRDefault="00600719" w:rsidP="00600719">
      <w:pPr>
        <w:pStyle w:val="Akapitzlist"/>
        <w:numPr>
          <w:ilvl w:val="0"/>
          <w:numId w:val="14"/>
        </w:numPr>
        <w:tabs>
          <w:tab w:val="left" w:pos="540"/>
          <w:tab w:val="left" w:pos="993"/>
        </w:tabs>
        <w:spacing w:line="260" w:lineRule="exact"/>
        <w:ind w:left="993" w:hanging="851"/>
        <w:jc w:val="both"/>
        <w:rPr>
          <w:rFonts w:ascii="Arial" w:hAnsi="Arial" w:cs="Arial"/>
          <w:sz w:val="18"/>
          <w:szCs w:val="18"/>
        </w:rPr>
      </w:pPr>
      <w:r w:rsidRPr="00F31D8E">
        <w:rPr>
          <w:rFonts w:ascii="Arial" w:hAnsi="Arial" w:cs="Arial"/>
          <w:sz w:val="18"/>
          <w:szCs w:val="18"/>
        </w:rPr>
        <w:t>ruchome placówki gastronomiczne,</w:t>
      </w:r>
    </w:p>
    <w:p w:rsidR="00600719" w:rsidRPr="00F31D8E" w:rsidRDefault="00600719" w:rsidP="00600719">
      <w:pPr>
        <w:pStyle w:val="Akapitzlist"/>
        <w:numPr>
          <w:ilvl w:val="0"/>
          <w:numId w:val="14"/>
        </w:numPr>
        <w:tabs>
          <w:tab w:val="left" w:pos="540"/>
          <w:tab w:val="left" w:pos="993"/>
        </w:tabs>
        <w:spacing w:line="260" w:lineRule="exact"/>
        <w:ind w:left="993" w:hanging="851"/>
        <w:jc w:val="both"/>
        <w:rPr>
          <w:rFonts w:ascii="Arial" w:hAnsi="Arial" w:cs="Arial"/>
          <w:sz w:val="18"/>
          <w:szCs w:val="18"/>
        </w:rPr>
      </w:pPr>
      <w:r w:rsidRPr="00F31D8E">
        <w:rPr>
          <w:rFonts w:ascii="Arial" w:hAnsi="Arial" w:cs="Arial"/>
          <w:sz w:val="18"/>
          <w:szCs w:val="18"/>
        </w:rPr>
        <w:t>przygotowywanie i dostarczanie żywności dla odbiorców zewnętrznych /catering/,</w:t>
      </w:r>
    </w:p>
    <w:p w:rsidR="00600719" w:rsidRPr="00F31D8E" w:rsidRDefault="00600719" w:rsidP="00600719">
      <w:pPr>
        <w:pStyle w:val="Akapitzlist"/>
        <w:numPr>
          <w:ilvl w:val="0"/>
          <w:numId w:val="14"/>
        </w:numPr>
        <w:tabs>
          <w:tab w:val="left" w:pos="540"/>
          <w:tab w:val="left" w:pos="993"/>
        </w:tabs>
        <w:spacing w:line="260" w:lineRule="exact"/>
        <w:ind w:left="993" w:hanging="851"/>
        <w:jc w:val="both"/>
        <w:rPr>
          <w:rFonts w:ascii="Arial" w:hAnsi="Arial" w:cs="Arial"/>
          <w:sz w:val="18"/>
          <w:szCs w:val="18"/>
        </w:rPr>
      </w:pPr>
      <w:r w:rsidRPr="00F31D8E">
        <w:rPr>
          <w:rFonts w:ascii="Arial" w:hAnsi="Arial" w:cs="Arial"/>
          <w:sz w:val="18"/>
          <w:szCs w:val="18"/>
        </w:rPr>
        <w:t>pozostała usługowa działalność gastronomiczna,</w:t>
      </w:r>
    </w:p>
    <w:p w:rsidR="00600719" w:rsidRPr="00F31D8E" w:rsidRDefault="00600719" w:rsidP="00600719">
      <w:pPr>
        <w:pStyle w:val="Akapitzlist"/>
        <w:numPr>
          <w:ilvl w:val="0"/>
          <w:numId w:val="14"/>
        </w:numPr>
        <w:tabs>
          <w:tab w:val="left" w:pos="540"/>
          <w:tab w:val="left" w:pos="993"/>
        </w:tabs>
        <w:spacing w:line="260" w:lineRule="exact"/>
        <w:ind w:left="993" w:hanging="851"/>
        <w:jc w:val="both"/>
        <w:rPr>
          <w:rFonts w:ascii="Arial" w:hAnsi="Arial" w:cs="Arial"/>
          <w:sz w:val="18"/>
          <w:szCs w:val="18"/>
        </w:rPr>
      </w:pPr>
      <w:r w:rsidRPr="00F31D8E">
        <w:rPr>
          <w:rFonts w:ascii="Arial" w:hAnsi="Arial" w:cs="Arial"/>
          <w:sz w:val="18"/>
          <w:szCs w:val="18"/>
        </w:rPr>
        <w:t>pozostała działalność związana ze sportem,</w:t>
      </w:r>
    </w:p>
    <w:p w:rsidR="00600719" w:rsidRPr="00F31D8E" w:rsidRDefault="00600719" w:rsidP="00600719">
      <w:pPr>
        <w:pStyle w:val="Akapitzlist"/>
        <w:numPr>
          <w:ilvl w:val="0"/>
          <w:numId w:val="14"/>
        </w:numPr>
        <w:tabs>
          <w:tab w:val="left" w:pos="540"/>
          <w:tab w:val="left" w:pos="993"/>
        </w:tabs>
        <w:spacing w:line="260" w:lineRule="exact"/>
        <w:ind w:left="993" w:hanging="851"/>
        <w:jc w:val="both"/>
        <w:rPr>
          <w:rFonts w:ascii="Arial" w:hAnsi="Arial" w:cs="Arial"/>
          <w:sz w:val="18"/>
          <w:szCs w:val="18"/>
        </w:rPr>
      </w:pPr>
      <w:r w:rsidRPr="00F31D8E">
        <w:rPr>
          <w:rFonts w:ascii="Arial" w:hAnsi="Arial" w:cs="Arial"/>
          <w:sz w:val="18"/>
          <w:szCs w:val="18"/>
        </w:rPr>
        <w:t>wypożyczanie i dzierżawa sprzętu rekreacyjnego i sportowego,</w:t>
      </w:r>
    </w:p>
    <w:p w:rsidR="00600719" w:rsidRPr="00F31D8E" w:rsidRDefault="00600719" w:rsidP="00600719">
      <w:pPr>
        <w:pStyle w:val="Akapitzlist"/>
        <w:numPr>
          <w:ilvl w:val="0"/>
          <w:numId w:val="14"/>
        </w:numPr>
        <w:tabs>
          <w:tab w:val="left" w:pos="540"/>
          <w:tab w:val="left" w:pos="993"/>
        </w:tabs>
        <w:spacing w:line="260" w:lineRule="exact"/>
        <w:ind w:left="993" w:hanging="851"/>
        <w:jc w:val="both"/>
        <w:rPr>
          <w:rFonts w:ascii="Arial" w:hAnsi="Arial" w:cs="Arial"/>
          <w:sz w:val="18"/>
          <w:szCs w:val="18"/>
        </w:rPr>
      </w:pPr>
      <w:r w:rsidRPr="00F31D8E">
        <w:rPr>
          <w:rFonts w:ascii="Arial" w:hAnsi="Arial" w:cs="Arial"/>
          <w:sz w:val="18"/>
          <w:szCs w:val="18"/>
        </w:rPr>
        <w:t>pozostałe pozaszkolne formy edukacji, gdzie indziej niesklasyfikowane,</w:t>
      </w:r>
    </w:p>
    <w:p w:rsidR="00600719" w:rsidRPr="00F31D8E" w:rsidRDefault="00600719" w:rsidP="00600719">
      <w:pPr>
        <w:pStyle w:val="Akapitzlist"/>
        <w:numPr>
          <w:ilvl w:val="0"/>
          <w:numId w:val="14"/>
        </w:numPr>
        <w:tabs>
          <w:tab w:val="left" w:pos="540"/>
          <w:tab w:val="left" w:pos="993"/>
        </w:tabs>
        <w:spacing w:line="260" w:lineRule="exact"/>
        <w:ind w:left="993" w:hanging="851"/>
        <w:jc w:val="both"/>
        <w:rPr>
          <w:rFonts w:ascii="Arial" w:hAnsi="Arial" w:cs="Arial"/>
          <w:sz w:val="18"/>
          <w:szCs w:val="18"/>
        </w:rPr>
      </w:pPr>
      <w:r w:rsidRPr="00F31D8E">
        <w:rPr>
          <w:rFonts w:ascii="Arial" w:hAnsi="Arial" w:cs="Arial"/>
          <w:sz w:val="18"/>
          <w:szCs w:val="18"/>
        </w:rPr>
        <w:t>działalność związana z organizacją targów, wystaw i kongresów,</w:t>
      </w:r>
    </w:p>
    <w:p w:rsidR="00600719" w:rsidRPr="00F31D8E" w:rsidRDefault="00600719" w:rsidP="00600719">
      <w:pPr>
        <w:pStyle w:val="Akapitzlist"/>
        <w:numPr>
          <w:ilvl w:val="0"/>
          <w:numId w:val="14"/>
        </w:numPr>
        <w:tabs>
          <w:tab w:val="left" w:pos="540"/>
          <w:tab w:val="left" w:pos="993"/>
        </w:tabs>
        <w:spacing w:line="260" w:lineRule="exact"/>
        <w:ind w:left="993" w:hanging="851"/>
        <w:jc w:val="both"/>
        <w:rPr>
          <w:rFonts w:ascii="Arial" w:hAnsi="Arial" w:cs="Arial"/>
          <w:sz w:val="18"/>
          <w:szCs w:val="18"/>
        </w:rPr>
      </w:pPr>
      <w:r w:rsidRPr="00F31D8E">
        <w:rPr>
          <w:rFonts w:ascii="Arial" w:hAnsi="Arial" w:cs="Arial"/>
          <w:sz w:val="18"/>
          <w:szCs w:val="18"/>
        </w:rPr>
        <w:t>pozostała sprzedaż detaliczna prowadzona w niewyspecjalizowanych sklepach,</w:t>
      </w:r>
    </w:p>
    <w:p w:rsidR="00600719" w:rsidRPr="00F31D8E" w:rsidRDefault="00600719" w:rsidP="00600719">
      <w:pPr>
        <w:pStyle w:val="Akapitzlist"/>
        <w:numPr>
          <w:ilvl w:val="0"/>
          <w:numId w:val="14"/>
        </w:numPr>
        <w:tabs>
          <w:tab w:val="left" w:pos="540"/>
          <w:tab w:val="left" w:pos="993"/>
        </w:tabs>
        <w:spacing w:line="260" w:lineRule="exact"/>
        <w:ind w:left="993" w:hanging="851"/>
        <w:jc w:val="both"/>
        <w:rPr>
          <w:rFonts w:ascii="Arial" w:hAnsi="Arial" w:cs="Arial"/>
          <w:sz w:val="18"/>
          <w:szCs w:val="18"/>
        </w:rPr>
      </w:pPr>
      <w:r w:rsidRPr="00F31D8E">
        <w:rPr>
          <w:rFonts w:ascii="Arial" w:hAnsi="Arial" w:cs="Arial"/>
          <w:sz w:val="18"/>
          <w:szCs w:val="18"/>
        </w:rPr>
        <w:t>działalność obiektów sportowych,</w:t>
      </w:r>
    </w:p>
    <w:p w:rsidR="00600719" w:rsidRPr="00F31D8E" w:rsidRDefault="00600719" w:rsidP="00600719">
      <w:pPr>
        <w:pStyle w:val="Akapitzlist"/>
        <w:numPr>
          <w:ilvl w:val="0"/>
          <w:numId w:val="14"/>
        </w:numPr>
        <w:tabs>
          <w:tab w:val="left" w:pos="540"/>
          <w:tab w:val="left" w:pos="993"/>
        </w:tabs>
        <w:spacing w:line="260" w:lineRule="exact"/>
        <w:ind w:left="993" w:hanging="851"/>
        <w:jc w:val="both"/>
        <w:rPr>
          <w:rFonts w:ascii="Arial" w:hAnsi="Arial" w:cs="Arial"/>
          <w:sz w:val="18"/>
          <w:szCs w:val="18"/>
        </w:rPr>
      </w:pPr>
      <w:r w:rsidRPr="00F31D8E">
        <w:rPr>
          <w:rFonts w:ascii="Arial" w:hAnsi="Arial" w:cs="Arial"/>
          <w:sz w:val="18"/>
          <w:szCs w:val="18"/>
        </w:rPr>
        <w:t>działalność obiektów służących poprawie kondycji fizycznej,</w:t>
      </w:r>
    </w:p>
    <w:p w:rsidR="00600719" w:rsidRPr="00F31D8E" w:rsidRDefault="00600719" w:rsidP="00600719">
      <w:pPr>
        <w:pStyle w:val="Akapitzlist"/>
        <w:numPr>
          <w:ilvl w:val="0"/>
          <w:numId w:val="14"/>
        </w:numPr>
        <w:tabs>
          <w:tab w:val="left" w:pos="540"/>
          <w:tab w:val="left" w:pos="993"/>
        </w:tabs>
        <w:spacing w:line="260" w:lineRule="exact"/>
        <w:ind w:left="993" w:hanging="851"/>
        <w:jc w:val="both"/>
        <w:rPr>
          <w:rFonts w:ascii="Arial" w:hAnsi="Arial" w:cs="Arial"/>
          <w:sz w:val="18"/>
          <w:szCs w:val="18"/>
        </w:rPr>
      </w:pPr>
      <w:r w:rsidRPr="00F31D8E">
        <w:rPr>
          <w:rFonts w:ascii="Arial" w:hAnsi="Arial" w:cs="Arial"/>
          <w:sz w:val="18"/>
          <w:szCs w:val="18"/>
        </w:rPr>
        <w:t>fryzjerstwo i pozostałe zabiegi kosmetyczne,</w:t>
      </w:r>
    </w:p>
    <w:p w:rsidR="00600719" w:rsidRPr="00F31D8E" w:rsidRDefault="00600719" w:rsidP="00600719">
      <w:pPr>
        <w:pStyle w:val="Akapitzlist"/>
        <w:numPr>
          <w:ilvl w:val="0"/>
          <w:numId w:val="14"/>
        </w:numPr>
        <w:tabs>
          <w:tab w:val="left" w:pos="540"/>
        </w:tabs>
        <w:spacing w:line="260" w:lineRule="exact"/>
        <w:ind w:left="567" w:hanging="425"/>
        <w:jc w:val="both"/>
        <w:rPr>
          <w:rFonts w:ascii="Arial" w:hAnsi="Arial" w:cs="Arial"/>
          <w:sz w:val="18"/>
          <w:szCs w:val="18"/>
        </w:rPr>
      </w:pPr>
      <w:r w:rsidRPr="00F31D8E">
        <w:rPr>
          <w:rFonts w:ascii="Arial" w:hAnsi="Arial" w:cs="Arial"/>
          <w:sz w:val="18"/>
          <w:szCs w:val="18"/>
        </w:rPr>
        <w:t>dzierżawa własności intelektualnej i podobnych produktów, z wyłączeniem prac chronionych prawem autorskim.</w:t>
      </w:r>
    </w:p>
    <w:p w:rsidR="00600719" w:rsidRPr="00F31D8E" w:rsidRDefault="00600719" w:rsidP="00600719">
      <w:pPr>
        <w:tabs>
          <w:tab w:val="left" w:pos="540"/>
        </w:tabs>
        <w:spacing w:line="260" w:lineRule="exact"/>
        <w:jc w:val="both"/>
        <w:rPr>
          <w:rFonts w:ascii="Arial" w:hAnsi="Arial" w:cs="Arial"/>
          <w:sz w:val="18"/>
          <w:szCs w:val="18"/>
        </w:rPr>
      </w:pPr>
    </w:p>
    <w:p w:rsidR="00600719" w:rsidRPr="00661ED4" w:rsidRDefault="00600719" w:rsidP="00600719">
      <w:pPr>
        <w:tabs>
          <w:tab w:val="left" w:pos="540"/>
        </w:tabs>
        <w:spacing w:line="260" w:lineRule="exact"/>
        <w:jc w:val="both"/>
        <w:rPr>
          <w:rFonts w:ascii="Arial" w:hAnsi="Arial" w:cs="Arial"/>
          <w:sz w:val="18"/>
          <w:szCs w:val="18"/>
        </w:rPr>
      </w:pPr>
      <w:r w:rsidRPr="00661ED4">
        <w:rPr>
          <w:rFonts w:ascii="Arial" w:hAnsi="Arial" w:cs="Arial"/>
          <w:sz w:val="18"/>
          <w:szCs w:val="18"/>
        </w:rPr>
        <w:t>Akcje spółki znajdują się w obrocie na rynku regulowanym na Giełdzie Papierów Wartościowych w Warszawie.</w:t>
      </w:r>
    </w:p>
    <w:p w:rsidR="00600719" w:rsidRPr="00661ED4" w:rsidRDefault="00600719" w:rsidP="00600719">
      <w:pPr>
        <w:tabs>
          <w:tab w:val="left" w:pos="540"/>
        </w:tabs>
        <w:spacing w:line="260" w:lineRule="exact"/>
        <w:jc w:val="both"/>
        <w:rPr>
          <w:rFonts w:ascii="Arial" w:hAnsi="Arial" w:cs="Arial"/>
          <w:sz w:val="18"/>
          <w:szCs w:val="18"/>
        </w:rPr>
      </w:pPr>
    </w:p>
    <w:p w:rsidR="00600719" w:rsidRPr="00491116" w:rsidRDefault="00600719" w:rsidP="00600719">
      <w:pPr>
        <w:tabs>
          <w:tab w:val="left" w:pos="540"/>
        </w:tabs>
        <w:spacing w:line="260" w:lineRule="exact"/>
        <w:jc w:val="both"/>
        <w:rPr>
          <w:rFonts w:ascii="Arial" w:hAnsi="Arial" w:cs="Arial"/>
          <w:sz w:val="18"/>
          <w:szCs w:val="18"/>
        </w:rPr>
      </w:pPr>
      <w:r w:rsidRPr="00491116">
        <w:rPr>
          <w:rFonts w:ascii="Arial" w:hAnsi="Arial" w:cs="Arial"/>
          <w:sz w:val="18"/>
          <w:szCs w:val="18"/>
        </w:rPr>
        <w:t>Podmiotem dominującym wobec Spółki jest Fundusz Hotele 01 Spółka z o.o. spółka komandytowo-akcyjna, który posiada 67,71% akcji Spółki. Pośrednio poprzez spółki zależne, KGHM I Fundusz Inwestycyjny Zamknięty Aktywów Niepublicznych posiada łącznie 69,71% akcji Spółki (Szczegóły w nocie XXI).</w:t>
      </w:r>
    </w:p>
    <w:p w:rsidR="00600719" w:rsidRDefault="00600719" w:rsidP="00600719">
      <w:pPr>
        <w:tabs>
          <w:tab w:val="left" w:pos="540"/>
        </w:tabs>
        <w:spacing w:line="260" w:lineRule="exact"/>
        <w:jc w:val="both"/>
        <w:rPr>
          <w:rFonts w:ascii="Arial" w:hAnsi="Arial" w:cs="Arial"/>
          <w:sz w:val="18"/>
          <w:szCs w:val="18"/>
        </w:rPr>
      </w:pPr>
      <w:r w:rsidRPr="002D538C">
        <w:rPr>
          <w:rFonts w:ascii="Arial" w:hAnsi="Arial" w:cs="Arial"/>
          <w:sz w:val="18"/>
          <w:szCs w:val="18"/>
        </w:rPr>
        <w:t>Jednostką dominującą wyższego szczebla jest spółka KGHM Polska Miedź S.A, w której 31,79 % akcji posiada Skarb Państwa.</w:t>
      </w:r>
    </w:p>
    <w:p w:rsidR="00600719" w:rsidRDefault="00600719" w:rsidP="00600719">
      <w:pPr>
        <w:tabs>
          <w:tab w:val="left" w:pos="540"/>
        </w:tabs>
        <w:spacing w:line="260" w:lineRule="exact"/>
        <w:jc w:val="both"/>
        <w:rPr>
          <w:rFonts w:ascii="Arial" w:hAnsi="Arial" w:cs="Arial"/>
          <w:sz w:val="18"/>
          <w:szCs w:val="18"/>
        </w:rPr>
      </w:pPr>
    </w:p>
    <w:p w:rsidR="00600719" w:rsidRPr="00661ED4" w:rsidRDefault="00600719" w:rsidP="00600719">
      <w:pPr>
        <w:tabs>
          <w:tab w:val="left" w:pos="540"/>
        </w:tabs>
        <w:spacing w:line="260" w:lineRule="exact"/>
        <w:jc w:val="both"/>
        <w:rPr>
          <w:rFonts w:ascii="Arial" w:hAnsi="Arial" w:cs="Arial"/>
          <w:sz w:val="8"/>
          <w:szCs w:val="8"/>
        </w:rPr>
      </w:pPr>
      <w:r w:rsidRPr="00661ED4">
        <w:rPr>
          <w:rFonts w:ascii="Arial" w:hAnsi="Arial" w:cs="Arial"/>
          <w:sz w:val="18"/>
          <w:szCs w:val="18"/>
        </w:rPr>
        <w:t xml:space="preserve">W skład Zarządu na dzień 30 </w:t>
      </w:r>
      <w:r>
        <w:rPr>
          <w:rFonts w:ascii="Arial" w:hAnsi="Arial" w:cs="Arial"/>
          <w:sz w:val="18"/>
          <w:szCs w:val="18"/>
        </w:rPr>
        <w:t>września</w:t>
      </w:r>
      <w:r w:rsidRPr="00661ED4">
        <w:rPr>
          <w:rFonts w:ascii="Arial" w:hAnsi="Arial" w:cs="Arial"/>
          <w:sz w:val="18"/>
          <w:szCs w:val="18"/>
        </w:rPr>
        <w:t xml:space="preserve"> </w:t>
      </w:r>
      <w:r>
        <w:rPr>
          <w:rFonts w:ascii="Arial" w:hAnsi="Arial" w:cs="Arial"/>
          <w:sz w:val="18"/>
          <w:szCs w:val="18"/>
        </w:rPr>
        <w:t>2021</w:t>
      </w:r>
      <w:r w:rsidRPr="00661ED4">
        <w:rPr>
          <w:rFonts w:ascii="Arial" w:hAnsi="Arial" w:cs="Arial"/>
          <w:sz w:val="18"/>
          <w:szCs w:val="18"/>
        </w:rPr>
        <w:t xml:space="preserve"> r. wchodzili:</w:t>
      </w:r>
    </w:p>
    <w:p w:rsidR="00600719" w:rsidRPr="00661ED4" w:rsidRDefault="00600719" w:rsidP="00600719">
      <w:pPr>
        <w:tabs>
          <w:tab w:val="left" w:pos="540"/>
        </w:tabs>
        <w:spacing w:line="260" w:lineRule="exact"/>
        <w:jc w:val="both"/>
        <w:rPr>
          <w:rFonts w:ascii="Arial" w:hAnsi="Arial" w:cs="Arial"/>
          <w:sz w:val="18"/>
          <w:szCs w:val="18"/>
        </w:rPr>
      </w:pPr>
      <w:r w:rsidRPr="00661ED4">
        <w:rPr>
          <w:rFonts w:ascii="Arial" w:hAnsi="Arial" w:cs="Arial"/>
          <w:sz w:val="18"/>
          <w:szCs w:val="18"/>
        </w:rPr>
        <w:t xml:space="preserve">- </w:t>
      </w:r>
      <w:r>
        <w:rPr>
          <w:rFonts w:ascii="Arial" w:hAnsi="Arial" w:cs="Arial"/>
          <w:sz w:val="18"/>
          <w:szCs w:val="18"/>
        </w:rPr>
        <w:t>Łukasz Ciołek</w:t>
      </w:r>
      <w:r w:rsidRPr="00661ED4">
        <w:rPr>
          <w:rFonts w:ascii="Arial" w:hAnsi="Arial" w:cs="Arial"/>
          <w:sz w:val="18"/>
          <w:szCs w:val="18"/>
        </w:rPr>
        <w:t xml:space="preserve"> – Prezes Zarządu</w:t>
      </w:r>
    </w:p>
    <w:p w:rsidR="00600719" w:rsidRPr="00661ED4" w:rsidRDefault="00600719" w:rsidP="00600719">
      <w:pPr>
        <w:tabs>
          <w:tab w:val="left" w:pos="540"/>
        </w:tabs>
        <w:spacing w:line="260" w:lineRule="exact"/>
        <w:jc w:val="both"/>
        <w:rPr>
          <w:rFonts w:ascii="Arial" w:hAnsi="Arial" w:cs="Arial"/>
          <w:sz w:val="18"/>
          <w:szCs w:val="18"/>
        </w:rPr>
      </w:pPr>
      <w:r w:rsidRPr="00661ED4">
        <w:rPr>
          <w:rFonts w:ascii="Arial" w:hAnsi="Arial" w:cs="Arial"/>
          <w:sz w:val="18"/>
          <w:szCs w:val="18"/>
        </w:rPr>
        <w:t xml:space="preserve">- </w:t>
      </w:r>
      <w:r>
        <w:rPr>
          <w:rFonts w:ascii="Arial" w:hAnsi="Arial" w:cs="Arial"/>
          <w:sz w:val="18"/>
          <w:szCs w:val="18"/>
        </w:rPr>
        <w:t>Urszula Bąkowska-Morawska</w:t>
      </w:r>
      <w:r w:rsidRPr="00661ED4">
        <w:rPr>
          <w:rFonts w:ascii="Arial" w:hAnsi="Arial" w:cs="Arial"/>
          <w:sz w:val="18"/>
          <w:szCs w:val="18"/>
        </w:rPr>
        <w:t xml:space="preserve"> – Wiceprezes Zarządu.</w:t>
      </w:r>
    </w:p>
    <w:p w:rsidR="00600719" w:rsidRPr="00661ED4" w:rsidRDefault="00600719" w:rsidP="00600719">
      <w:pPr>
        <w:tabs>
          <w:tab w:val="left" w:pos="540"/>
        </w:tabs>
        <w:spacing w:line="260" w:lineRule="exact"/>
        <w:jc w:val="both"/>
        <w:rPr>
          <w:rFonts w:ascii="Arial" w:hAnsi="Arial" w:cs="Arial"/>
          <w:sz w:val="18"/>
          <w:szCs w:val="18"/>
        </w:rPr>
      </w:pPr>
    </w:p>
    <w:p w:rsidR="00600719" w:rsidRDefault="00600719" w:rsidP="00600719">
      <w:pPr>
        <w:tabs>
          <w:tab w:val="left" w:pos="540"/>
        </w:tabs>
        <w:spacing w:line="260" w:lineRule="exact"/>
        <w:jc w:val="both"/>
        <w:rPr>
          <w:rFonts w:ascii="Arial" w:hAnsi="Arial" w:cs="Arial"/>
          <w:sz w:val="18"/>
          <w:szCs w:val="18"/>
        </w:rPr>
      </w:pPr>
      <w:r>
        <w:rPr>
          <w:rFonts w:ascii="Arial" w:hAnsi="Arial" w:cs="Arial"/>
          <w:sz w:val="18"/>
          <w:szCs w:val="18"/>
        </w:rPr>
        <w:t>W trakcie 9 m-cy 2021</w:t>
      </w:r>
      <w:r w:rsidRPr="00B441B3">
        <w:rPr>
          <w:rFonts w:ascii="Arial" w:hAnsi="Arial" w:cs="Arial"/>
          <w:sz w:val="18"/>
          <w:szCs w:val="18"/>
        </w:rPr>
        <w:t xml:space="preserve"> roku</w:t>
      </w:r>
      <w:r>
        <w:rPr>
          <w:rFonts w:ascii="Arial" w:hAnsi="Arial" w:cs="Arial"/>
          <w:sz w:val="18"/>
          <w:szCs w:val="18"/>
        </w:rPr>
        <w:t xml:space="preserve"> nie </w:t>
      </w:r>
      <w:r w:rsidRPr="00B441B3">
        <w:rPr>
          <w:rFonts w:ascii="Arial" w:hAnsi="Arial" w:cs="Arial"/>
          <w:sz w:val="18"/>
          <w:szCs w:val="18"/>
        </w:rPr>
        <w:t>wystąpiły zmiany w składzie Zarządu.</w:t>
      </w:r>
      <w:r>
        <w:rPr>
          <w:rFonts w:ascii="Arial" w:hAnsi="Arial" w:cs="Arial"/>
          <w:sz w:val="18"/>
          <w:szCs w:val="18"/>
        </w:rPr>
        <w:t xml:space="preserve"> </w:t>
      </w:r>
    </w:p>
    <w:p w:rsidR="00600719" w:rsidRDefault="00600719" w:rsidP="00600719">
      <w:pPr>
        <w:tabs>
          <w:tab w:val="left" w:pos="540"/>
        </w:tabs>
        <w:spacing w:line="260" w:lineRule="exact"/>
        <w:jc w:val="both"/>
        <w:rPr>
          <w:rFonts w:ascii="Arial" w:hAnsi="Arial" w:cs="Arial"/>
          <w:sz w:val="18"/>
          <w:szCs w:val="18"/>
        </w:rPr>
      </w:pPr>
    </w:p>
    <w:p w:rsidR="00600719" w:rsidRPr="00F31D8E" w:rsidRDefault="00600719" w:rsidP="00600719">
      <w:pPr>
        <w:tabs>
          <w:tab w:val="left" w:pos="360"/>
          <w:tab w:val="left" w:pos="540"/>
        </w:tabs>
        <w:spacing w:line="260" w:lineRule="exact"/>
        <w:jc w:val="both"/>
        <w:rPr>
          <w:rFonts w:ascii="Arial" w:hAnsi="Arial" w:cs="Arial"/>
          <w:sz w:val="18"/>
          <w:szCs w:val="18"/>
        </w:rPr>
      </w:pPr>
      <w:r w:rsidRPr="00045C58">
        <w:rPr>
          <w:rFonts w:ascii="Arial" w:hAnsi="Arial" w:cs="Arial"/>
          <w:sz w:val="18"/>
          <w:szCs w:val="18"/>
        </w:rPr>
        <w:t>Do przeliczenia wybranych danych finansowych na walutę EUR przyjęto następujące kursy:</w:t>
      </w:r>
    </w:p>
    <w:p w:rsidR="00600719" w:rsidRPr="00F31D8E" w:rsidRDefault="00600719" w:rsidP="00600719">
      <w:pPr>
        <w:tabs>
          <w:tab w:val="left" w:pos="360"/>
          <w:tab w:val="left" w:pos="540"/>
        </w:tabs>
        <w:spacing w:line="260" w:lineRule="exact"/>
        <w:jc w:val="both"/>
        <w:rPr>
          <w:rFonts w:ascii="Arial" w:hAnsi="Arial" w:cs="Arial"/>
          <w:sz w:val="18"/>
          <w:szCs w:val="18"/>
        </w:rPr>
      </w:pPr>
    </w:p>
    <w:p w:rsidR="00600719" w:rsidRPr="00491116" w:rsidRDefault="00600719" w:rsidP="00600719">
      <w:pPr>
        <w:pStyle w:val="Akapitzlist"/>
        <w:numPr>
          <w:ilvl w:val="0"/>
          <w:numId w:val="28"/>
        </w:numPr>
        <w:tabs>
          <w:tab w:val="left" w:pos="540"/>
        </w:tabs>
        <w:spacing w:line="260" w:lineRule="exact"/>
        <w:ind w:left="567" w:hanging="567"/>
        <w:jc w:val="both"/>
        <w:rPr>
          <w:rFonts w:ascii="Arial" w:hAnsi="Arial" w:cs="Arial"/>
          <w:sz w:val="18"/>
          <w:szCs w:val="18"/>
        </w:rPr>
      </w:pPr>
      <w:r w:rsidRPr="00491116">
        <w:rPr>
          <w:rFonts w:ascii="Arial" w:hAnsi="Arial" w:cs="Arial"/>
          <w:sz w:val="18"/>
          <w:szCs w:val="18"/>
        </w:rPr>
        <w:t>przeliczenie obrotów, wyników finansowych oraz przepływów pieniężnych za okres bieżący, według kursu 4,5664 PLN/EUR,</w:t>
      </w:r>
    </w:p>
    <w:p w:rsidR="00600719" w:rsidRPr="00491116" w:rsidRDefault="00600719" w:rsidP="00600719">
      <w:pPr>
        <w:pStyle w:val="Akapitzlist"/>
        <w:numPr>
          <w:ilvl w:val="0"/>
          <w:numId w:val="28"/>
        </w:numPr>
        <w:tabs>
          <w:tab w:val="left" w:pos="540"/>
        </w:tabs>
        <w:spacing w:line="260" w:lineRule="exact"/>
        <w:ind w:left="567" w:hanging="567"/>
        <w:jc w:val="both"/>
        <w:rPr>
          <w:rFonts w:ascii="Arial" w:hAnsi="Arial" w:cs="Arial"/>
          <w:sz w:val="18"/>
          <w:szCs w:val="18"/>
        </w:rPr>
      </w:pPr>
      <w:r w:rsidRPr="00491116">
        <w:rPr>
          <w:rFonts w:ascii="Arial" w:hAnsi="Arial" w:cs="Arial"/>
          <w:sz w:val="18"/>
          <w:szCs w:val="18"/>
        </w:rPr>
        <w:t>przeliczenie aktywów, kapitału i zobowiązań na 30 września 2021 r. według kursu 4,6329 PLN/EUR</w:t>
      </w:r>
    </w:p>
    <w:p w:rsidR="00600719" w:rsidRPr="00491116" w:rsidRDefault="00600719" w:rsidP="00600719">
      <w:pPr>
        <w:pStyle w:val="Akapitzlist"/>
        <w:numPr>
          <w:ilvl w:val="0"/>
          <w:numId w:val="28"/>
        </w:numPr>
        <w:tabs>
          <w:tab w:val="left" w:pos="540"/>
        </w:tabs>
        <w:spacing w:line="260" w:lineRule="exact"/>
        <w:ind w:left="567" w:hanging="567"/>
        <w:jc w:val="both"/>
        <w:rPr>
          <w:rFonts w:ascii="Arial" w:hAnsi="Arial" w:cs="Arial"/>
          <w:sz w:val="18"/>
          <w:szCs w:val="18"/>
        </w:rPr>
      </w:pPr>
      <w:r w:rsidRPr="00491116">
        <w:rPr>
          <w:rFonts w:ascii="Arial" w:hAnsi="Arial" w:cs="Arial"/>
          <w:sz w:val="18"/>
          <w:szCs w:val="18"/>
        </w:rPr>
        <w:t>przeliczenie obrotów, wyników finansowych oraz przepływów pieniężnych za okres porównywalny, według kursu 4,4420 PLN/EUR,</w:t>
      </w:r>
    </w:p>
    <w:p w:rsidR="00600719" w:rsidRPr="00491116" w:rsidRDefault="00600719" w:rsidP="00600719">
      <w:pPr>
        <w:pStyle w:val="Akapitzlist"/>
        <w:numPr>
          <w:ilvl w:val="0"/>
          <w:numId w:val="28"/>
        </w:numPr>
        <w:tabs>
          <w:tab w:val="left" w:pos="540"/>
        </w:tabs>
        <w:spacing w:line="260" w:lineRule="exact"/>
        <w:ind w:hanging="720"/>
        <w:jc w:val="both"/>
        <w:rPr>
          <w:rFonts w:ascii="Arial" w:hAnsi="Arial" w:cs="Arial"/>
          <w:sz w:val="18"/>
          <w:szCs w:val="18"/>
        </w:rPr>
      </w:pPr>
      <w:r w:rsidRPr="00491116">
        <w:rPr>
          <w:rFonts w:ascii="Arial" w:hAnsi="Arial" w:cs="Arial"/>
          <w:sz w:val="18"/>
          <w:szCs w:val="18"/>
        </w:rPr>
        <w:t>przeliczenie aktywów, kapitału i zobowiązań na 31 grudnia 2020 r. według kursu 4,6148 PLN/EUR.</w:t>
      </w:r>
    </w:p>
    <w:p w:rsidR="00600719" w:rsidRDefault="00600719" w:rsidP="00600719">
      <w:pPr>
        <w:tabs>
          <w:tab w:val="left" w:pos="540"/>
        </w:tabs>
        <w:spacing w:line="260" w:lineRule="exact"/>
        <w:jc w:val="both"/>
        <w:rPr>
          <w:rFonts w:ascii="Arial" w:hAnsi="Arial" w:cs="Arial"/>
          <w:i/>
          <w:sz w:val="18"/>
          <w:szCs w:val="18"/>
        </w:rPr>
      </w:pPr>
    </w:p>
    <w:p w:rsidR="00600719" w:rsidRPr="00F31D8E" w:rsidRDefault="00600719" w:rsidP="00600719">
      <w:pPr>
        <w:tabs>
          <w:tab w:val="left" w:pos="540"/>
        </w:tabs>
        <w:spacing w:line="260" w:lineRule="exact"/>
        <w:jc w:val="both"/>
        <w:rPr>
          <w:rFonts w:ascii="Arial" w:hAnsi="Arial" w:cs="Arial"/>
          <w:i/>
          <w:sz w:val="18"/>
          <w:szCs w:val="18"/>
        </w:rPr>
      </w:pPr>
    </w:p>
    <w:p w:rsidR="00600719" w:rsidRPr="00F31D8E" w:rsidRDefault="00600719" w:rsidP="00600719">
      <w:pPr>
        <w:tabs>
          <w:tab w:val="left" w:pos="540"/>
        </w:tabs>
        <w:spacing w:line="260" w:lineRule="exact"/>
        <w:jc w:val="both"/>
        <w:rPr>
          <w:rFonts w:ascii="Arial" w:hAnsi="Arial" w:cs="Arial"/>
          <w:i/>
          <w:sz w:val="18"/>
          <w:szCs w:val="18"/>
        </w:rPr>
      </w:pPr>
      <w:r w:rsidRPr="00F31D8E">
        <w:rPr>
          <w:rFonts w:ascii="Arial" w:hAnsi="Arial" w:cs="Arial"/>
          <w:b/>
          <w:bCs/>
          <w:i/>
          <w:sz w:val="18"/>
          <w:szCs w:val="18"/>
        </w:rPr>
        <w:t>2.  Zasady rachunkowości.</w:t>
      </w:r>
    </w:p>
    <w:p w:rsidR="00600719" w:rsidRPr="00F31D8E" w:rsidRDefault="00600719" w:rsidP="00600719">
      <w:pPr>
        <w:tabs>
          <w:tab w:val="left" w:pos="540"/>
        </w:tabs>
        <w:spacing w:line="260" w:lineRule="exact"/>
        <w:jc w:val="both"/>
        <w:rPr>
          <w:rFonts w:ascii="Arial" w:hAnsi="Arial" w:cs="Arial"/>
          <w:b/>
          <w:bCs/>
          <w:i/>
          <w:sz w:val="18"/>
          <w:szCs w:val="18"/>
        </w:rPr>
      </w:pPr>
      <w:r w:rsidRPr="00F31D8E">
        <w:rPr>
          <w:rFonts w:ascii="Arial" w:hAnsi="Arial" w:cs="Arial"/>
          <w:b/>
          <w:bCs/>
          <w:i/>
          <w:sz w:val="18"/>
          <w:szCs w:val="18"/>
        </w:rPr>
        <w:t>2.1 Podstawa sporządzenia.</w:t>
      </w:r>
    </w:p>
    <w:p w:rsidR="00600719" w:rsidRPr="00F31D8E" w:rsidRDefault="00600719" w:rsidP="00600719">
      <w:pPr>
        <w:tabs>
          <w:tab w:val="left" w:pos="540"/>
        </w:tabs>
        <w:spacing w:line="260" w:lineRule="exact"/>
        <w:jc w:val="both"/>
        <w:rPr>
          <w:rFonts w:ascii="Arial" w:hAnsi="Arial" w:cs="Arial"/>
          <w:sz w:val="18"/>
          <w:szCs w:val="18"/>
        </w:rPr>
      </w:pPr>
    </w:p>
    <w:p w:rsidR="00600719" w:rsidRPr="00A26FC9" w:rsidRDefault="00600719" w:rsidP="00600719">
      <w:pPr>
        <w:spacing w:before="60" w:line="240" w:lineRule="atLeast"/>
        <w:jc w:val="both"/>
        <w:rPr>
          <w:rFonts w:ascii="Arial" w:hAnsi="Arial" w:cs="Arial"/>
          <w:i/>
          <w:sz w:val="18"/>
          <w:szCs w:val="18"/>
        </w:rPr>
      </w:pPr>
      <w:r w:rsidRPr="003A6B13">
        <w:rPr>
          <w:rFonts w:ascii="Arial" w:hAnsi="Arial" w:cs="Arial"/>
          <w:sz w:val="18"/>
          <w:szCs w:val="18"/>
        </w:rPr>
        <w:t>N</w:t>
      </w:r>
      <w:r w:rsidRPr="00A26FC9">
        <w:rPr>
          <w:rFonts w:ascii="Arial" w:hAnsi="Arial" w:cs="Arial"/>
          <w:sz w:val="18"/>
          <w:szCs w:val="18"/>
        </w:rPr>
        <w:t>iniejsze śródroczne skrócone sprawozdanie finansowe zostało sporządzone zgodnie z Międzynarodowymi Standardami Sprawozdawczości Finansowej („MSSF”), w szczególności zgodnie z Międzynarodowym Standardem Rachunkowości nr 34 oraz MSSF zatwierdzonymi przez UE.</w:t>
      </w:r>
    </w:p>
    <w:p w:rsidR="00600719" w:rsidRPr="00A26FC9" w:rsidRDefault="00600719" w:rsidP="00600719">
      <w:pPr>
        <w:tabs>
          <w:tab w:val="left" w:pos="540"/>
        </w:tabs>
        <w:spacing w:line="260" w:lineRule="exact"/>
        <w:jc w:val="both"/>
        <w:rPr>
          <w:rFonts w:ascii="Arial" w:hAnsi="Arial" w:cs="Arial"/>
          <w:sz w:val="18"/>
          <w:szCs w:val="18"/>
        </w:rPr>
      </w:pPr>
      <w:r w:rsidRPr="00A26FC9">
        <w:rPr>
          <w:rFonts w:ascii="Arial" w:hAnsi="Arial" w:cs="Arial"/>
          <w:sz w:val="18"/>
          <w:szCs w:val="18"/>
        </w:rPr>
        <w:t>MSSF obejmują standardy i interpretacje zaakceptowane przez Radę Międzynarodowych Standardów Rachunkowości („RMSR”) oraz Komitet ds. Interpretacji Międzynarodowej Sprawozdawczości Finansowej („KIMSF”).</w:t>
      </w:r>
    </w:p>
    <w:p w:rsidR="00600719" w:rsidRPr="00A26FC9" w:rsidRDefault="00600719" w:rsidP="00600719">
      <w:pPr>
        <w:tabs>
          <w:tab w:val="left" w:pos="540"/>
        </w:tabs>
        <w:spacing w:line="260" w:lineRule="exact"/>
        <w:jc w:val="both"/>
        <w:rPr>
          <w:rFonts w:ascii="Arial" w:hAnsi="Arial" w:cs="Arial"/>
          <w:sz w:val="18"/>
          <w:szCs w:val="18"/>
        </w:rPr>
      </w:pPr>
    </w:p>
    <w:p w:rsidR="00600719" w:rsidRPr="00A26FC9" w:rsidRDefault="00600719" w:rsidP="00600719">
      <w:pPr>
        <w:tabs>
          <w:tab w:val="left" w:pos="540"/>
        </w:tabs>
        <w:spacing w:line="260" w:lineRule="exact"/>
        <w:jc w:val="both"/>
        <w:rPr>
          <w:rFonts w:ascii="Arial" w:hAnsi="Arial" w:cs="Arial"/>
          <w:sz w:val="18"/>
          <w:szCs w:val="18"/>
        </w:rPr>
      </w:pPr>
      <w:r w:rsidRPr="00A26FC9">
        <w:rPr>
          <w:rFonts w:ascii="Arial" w:hAnsi="Arial" w:cs="Arial"/>
          <w:sz w:val="18"/>
          <w:szCs w:val="18"/>
        </w:rPr>
        <w:lastRenderedPageBreak/>
        <w:t xml:space="preserve">Niniejsze śródroczne skrócone sprawozdanie finansowe jest przedstawione w tysiącach złotych („tys. zł.”), </w:t>
      </w:r>
      <w:r w:rsidRPr="00A26FC9">
        <w:rPr>
          <w:rFonts w:ascii="Arial" w:hAnsi="Arial" w:cs="Arial"/>
          <w:sz w:val="18"/>
          <w:szCs w:val="18"/>
        </w:rPr>
        <w:br/>
        <w:t>o ile nie wskazano inaczej.</w:t>
      </w:r>
    </w:p>
    <w:p w:rsidR="00600719" w:rsidRPr="00A26FC9" w:rsidRDefault="00600719" w:rsidP="00600719">
      <w:pPr>
        <w:tabs>
          <w:tab w:val="left" w:pos="540"/>
        </w:tabs>
        <w:spacing w:line="260" w:lineRule="exact"/>
        <w:jc w:val="both"/>
        <w:rPr>
          <w:rFonts w:ascii="Arial" w:hAnsi="Arial" w:cs="Arial"/>
          <w:sz w:val="18"/>
          <w:szCs w:val="18"/>
        </w:rPr>
      </w:pPr>
      <w:r w:rsidRPr="00A26FC9">
        <w:rPr>
          <w:rFonts w:ascii="Arial" w:hAnsi="Arial" w:cs="Arial"/>
          <w:sz w:val="18"/>
          <w:szCs w:val="18"/>
        </w:rPr>
        <w:t>Śródroczny wynik finansowy może nie odzwierciedlać w pełni możliwego do zrealizowania wyniku finansowego za rok obrotowy.</w:t>
      </w:r>
    </w:p>
    <w:p w:rsidR="00600719" w:rsidRPr="00A26FC9" w:rsidRDefault="00600719" w:rsidP="00600719">
      <w:pPr>
        <w:tabs>
          <w:tab w:val="left" w:pos="540"/>
        </w:tabs>
        <w:spacing w:line="260" w:lineRule="exact"/>
        <w:jc w:val="both"/>
        <w:rPr>
          <w:rFonts w:ascii="Arial" w:hAnsi="Arial" w:cs="Arial"/>
          <w:sz w:val="18"/>
          <w:szCs w:val="18"/>
        </w:rPr>
      </w:pPr>
      <w:r w:rsidRPr="00A26FC9">
        <w:rPr>
          <w:rFonts w:ascii="Arial" w:hAnsi="Arial" w:cs="Arial"/>
          <w:sz w:val="18"/>
          <w:szCs w:val="18"/>
        </w:rPr>
        <w:t>Niniejsze sprawozdanie finansowe zostało sporządzone przy założeniu kontynuacji działalności gospodarczej przez Spółkę w niezmienionej formie i zakresie przez okres co najmniej 12 miesięcy od dnia kończącego okres sprawozdawczy i nie istnieją przesłanki zamierzonego lub przymusowego zaniechania bądź istotnego ograniczenia przez nią dotychczasowej działalności. Zarząd Spółki nie stwierdza na dzień podpisania sprawozdania finansowego faktów i okoliczności wskazujących na zagrożenie kontynuacji działalności w dającej się przewidzieć przyszłości.</w:t>
      </w:r>
    </w:p>
    <w:p w:rsidR="00600719" w:rsidRPr="00A26FC9" w:rsidRDefault="00600719" w:rsidP="00600719">
      <w:pPr>
        <w:tabs>
          <w:tab w:val="left" w:pos="540"/>
        </w:tabs>
        <w:spacing w:line="260" w:lineRule="exact"/>
        <w:jc w:val="both"/>
        <w:rPr>
          <w:rFonts w:ascii="Arial" w:hAnsi="Arial" w:cs="Arial"/>
          <w:sz w:val="18"/>
          <w:szCs w:val="18"/>
        </w:rPr>
      </w:pPr>
    </w:p>
    <w:p w:rsidR="00600719" w:rsidRPr="0052770A" w:rsidRDefault="00600719" w:rsidP="00600719">
      <w:pPr>
        <w:tabs>
          <w:tab w:val="left" w:pos="540"/>
        </w:tabs>
        <w:spacing w:line="260" w:lineRule="exact"/>
        <w:jc w:val="both"/>
        <w:rPr>
          <w:rFonts w:ascii="Arial" w:hAnsi="Arial" w:cs="Arial"/>
          <w:sz w:val="18"/>
          <w:szCs w:val="18"/>
        </w:rPr>
      </w:pPr>
      <w:r w:rsidRPr="002057E7">
        <w:rPr>
          <w:rFonts w:ascii="Arial" w:hAnsi="Arial" w:cs="Arial"/>
          <w:sz w:val="18"/>
          <w:szCs w:val="18"/>
        </w:rPr>
        <w:t xml:space="preserve">Śródroczne skrócone sprawozdanie finansowe nie obejmuje wszystkich informacji oraz ujawnień wymaganych </w:t>
      </w:r>
      <w:r w:rsidRPr="002057E7">
        <w:rPr>
          <w:rFonts w:ascii="Arial" w:hAnsi="Arial" w:cs="Arial"/>
          <w:sz w:val="18"/>
          <w:szCs w:val="18"/>
        </w:rPr>
        <w:br/>
        <w:t xml:space="preserve">w rocznym sprawozdaniu finansowym i </w:t>
      </w:r>
      <w:r w:rsidRPr="0052770A">
        <w:rPr>
          <w:rFonts w:ascii="Arial" w:hAnsi="Arial" w:cs="Arial"/>
          <w:sz w:val="18"/>
          <w:szCs w:val="18"/>
        </w:rPr>
        <w:t>należy je czytać łącznie ze sprawozdaniem finansowym Spółki za rok zakończony 31 grudnia 2020 r. opublikowanym w dniu 12.03.2021 r.</w:t>
      </w:r>
    </w:p>
    <w:p w:rsidR="00600719" w:rsidRPr="0052770A" w:rsidRDefault="00600719" w:rsidP="00600719">
      <w:pPr>
        <w:tabs>
          <w:tab w:val="left" w:pos="540"/>
        </w:tabs>
        <w:jc w:val="both"/>
        <w:rPr>
          <w:rFonts w:ascii="Arial" w:hAnsi="Arial" w:cs="Arial"/>
          <w:b/>
          <w:bCs/>
          <w:sz w:val="18"/>
          <w:szCs w:val="18"/>
        </w:rPr>
      </w:pPr>
    </w:p>
    <w:p w:rsidR="00600719" w:rsidRDefault="00600719" w:rsidP="00600719">
      <w:pPr>
        <w:tabs>
          <w:tab w:val="left" w:pos="540"/>
        </w:tabs>
        <w:jc w:val="both"/>
        <w:rPr>
          <w:rFonts w:ascii="Arial" w:hAnsi="Arial" w:cs="Arial"/>
          <w:b/>
          <w:bCs/>
          <w:sz w:val="18"/>
          <w:szCs w:val="18"/>
        </w:rPr>
      </w:pPr>
    </w:p>
    <w:p w:rsidR="00600719" w:rsidRPr="0052770A" w:rsidRDefault="00600719" w:rsidP="00600719">
      <w:pPr>
        <w:tabs>
          <w:tab w:val="left" w:pos="540"/>
        </w:tabs>
        <w:jc w:val="both"/>
        <w:rPr>
          <w:rFonts w:ascii="Arial" w:hAnsi="Arial" w:cs="Arial"/>
          <w:b/>
          <w:bCs/>
          <w:sz w:val="18"/>
          <w:szCs w:val="18"/>
        </w:rPr>
      </w:pPr>
      <w:r w:rsidRPr="0052770A">
        <w:rPr>
          <w:rFonts w:ascii="Arial" w:hAnsi="Arial" w:cs="Arial"/>
          <w:b/>
          <w:bCs/>
          <w:sz w:val="18"/>
          <w:szCs w:val="18"/>
        </w:rPr>
        <w:t>2.2 Polityka rachunkowości.</w:t>
      </w:r>
    </w:p>
    <w:p w:rsidR="00600719" w:rsidRPr="0052770A" w:rsidRDefault="00600719" w:rsidP="00600719">
      <w:pPr>
        <w:tabs>
          <w:tab w:val="left" w:pos="540"/>
        </w:tabs>
        <w:spacing w:line="260" w:lineRule="exact"/>
        <w:jc w:val="both"/>
        <w:rPr>
          <w:rFonts w:ascii="Arial" w:hAnsi="Arial" w:cs="Arial"/>
          <w:sz w:val="18"/>
          <w:szCs w:val="18"/>
        </w:rPr>
      </w:pPr>
    </w:p>
    <w:p w:rsidR="00600719" w:rsidRPr="00661ED4" w:rsidRDefault="00600719" w:rsidP="00600719">
      <w:pPr>
        <w:tabs>
          <w:tab w:val="left" w:pos="540"/>
        </w:tabs>
        <w:spacing w:before="60" w:line="240" w:lineRule="atLeast"/>
        <w:jc w:val="both"/>
        <w:rPr>
          <w:rFonts w:ascii="Arial" w:hAnsi="Arial" w:cs="Arial"/>
          <w:sz w:val="18"/>
          <w:szCs w:val="18"/>
        </w:rPr>
      </w:pPr>
      <w:r w:rsidRPr="0052770A">
        <w:rPr>
          <w:rFonts w:ascii="Arial" w:hAnsi="Arial" w:cs="Arial"/>
          <w:sz w:val="18"/>
          <w:szCs w:val="18"/>
        </w:rPr>
        <w:t xml:space="preserve">Polityka rachunkowości została przedstawiona w dokumencie: </w:t>
      </w:r>
      <w:r w:rsidRPr="0052770A">
        <w:rPr>
          <w:rFonts w:ascii="Arial" w:hAnsi="Arial" w:cs="Arial"/>
          <w:i/>
          <w:sz w:val="18"/>
          <w:szCs w:val="18"/>
        </w:rPr>
        <w:t>„Sprawozdanie finansowe za 2020 rok sporządzone zgodnie z MSSF zatwierdzonym przez UE</w:t>
      </w:r>
      <w:r w:rsidRPr="0052770A">
        <w:rPr>
          <w:rFonts w:ascii="Arial" w:hAnsi="Arial" w:cs="Arial"/>
          <w:sz w:val="18"/>
          <w:szCs w:val="18"/>
        </w:rPr>
        <w:t>” opublikowanym w dniu 12.03.2021 r.</w:t>
      </w:r>
      <w:r w:rsidRPr="00661ED4">
        <w:rPr>
          <w:rFonts w:ascii="Arial" w:hAnsi="Arial" w:cs="Arial"/>
          <w:sz w:val="18"/>
          <w:szCs w:val="18"/>
        </w:rPr>
        <w:t xml:space="preserve"> </w:t>
      </w:r>
    </w:p>
    <w:p w:rsidR="00600719" w:rsidRPr="00B225CC" w:rsidRDefault="00600719" w:rsidP="00600719">
      <w:pPr>
        <w:tabs>
          <w:tab w:val="left" w:pos="540"/>
        </w:tabs>
        <w:spacing w:line="260" w:lineRule="exact"/>
        <w:jc w:val="both"/>
        <w:rPr>
          <w:rFonts w:ascii="Arial" w:hAnsi="Arial" w:cs="Arial"/>
          <w:sz w:val="18"/>
          <w:szCs w:val="18"/>
        </w:rPr>
      </w:pPr>
    </w:p>
    <w:p w:rsidR="00600719" w:rsidRDefault="00600719" w:rsidP="00600719">
      <w:pPr>
        <w:tabs>
          <w:tab w:val="left" w:pos="540"/>
        </w:tabs>
        <w:spacing w:line="260" w:lineRule="exact"/>
        <w:jc w:val="both"/>
        <w:rPr>
          <w:rFonts w:ascii="Arial" w:hAnsi="Arial" w:cs="Arial"/>
          <w:sz w:val="18"/>
          <w:szCs w:val="18"/>
        </w:rPr>
      </w:pPr>
      <w:r w:rsidRPr="00AC3BCD">
        <w:rPr>
          <w:rFonts w:ascii="Arial" w:hAnsi="Arial" w:cs="Arial"/>
          <w:sz w:val="18"/>
          <w:szCs w:val="18"/>
        </w:rPr>
        <w:t>W bieżącym okresie Spółka nie wprowadziła zmian do zasad rachunkowości.</w:t>
      </w:r>
      <w:r>
        <w:rPr>
          <w:rFonts w:ascii="Arial" w:hAnsi="Arial" w:cs="Arial"/>
          <w:sz w:val="18"/>
          <w:szCs w:val="18"/>
        </w:rPr>
        <w:t xml:space="preserve"> </w:t>
      </w:r>
    </w:p>
    <w:p w:rsidR="00600719" w:rsidRPr="00B225CC" w:rsidRDefault="00600719" w:rsidP="00600719">
      <w:pPr>
        <w:tabs>
          <w:tab w:val="left" w:pos="540"/>
        </w:tabs>
        <w:spacing w:line="260" w:lineRule="exact"/>
        <w:jc w:val="both"/>
        <w:rPr>
          <w:rFonts w:ascii="Arial" w:hAnsi="Arial" w:cs="Arial"/>
          <w:sz w:val="18"/>
          <w:szCs w:val="18"/>
        </w:rPr>
      </w:pPr>
      <w:r>
        <w:rPr>
          <w:rFonts w:ascii="Arial" w:hAnsi="Arial" w:cs="Arial"/>
          <w:sz w:val="18"/>
          <w:szCs w:val="18"/>
        </w:rPr>
        <w:t>Od dnia 1 stycznia 2021 roku w INTERFERIE S.A. obowiązuje nowy plan kont, wdrożony w związk</w:t>
      </w:r>
      <w:r w:rsidR="006D578F">
        <w:rPr>
          <w:rFonts w:ascii="Arial" w:hAnsi="Arial" w:cs="Arial"/>
          <w:sz w:val="18"/>
          <w:szCs w:val="18"/>
        </w:rPr>
        <w:t>u ze świadczeniem przez  Spółkę</w:t>
      </w:r>
      <w:r w:rsidRPr="001643FD">
        <w:rPr>
          <w:rFonts w:ascii="Arial" w:hAnsi="Arial" w:cs="Arial"/>
          <w:sz w:val="18"/>
          <w:szCs w:val="18"/>
        </w:rPr>
        <w:t xml:space="preserve"> usług, o których mowa w art. 31lc ust. 6 ustawy o świadczeniach opieki zdrowotnej finansowanych ze środków publicznych .</w:t>
      </w:r>
    </w:p>
    <w:p w:rsidR="00600719" w:rsidRDefault="00600719" w:rsidP="00600719">
      <w:pPr>
        <w:rPr>
          <w:rFonts w:ascii="Arial" w:hAnsi="Arial" w:cs="Arial"/>
          <w:b/>
          <w:sz w:val="18"/>
          <w:szCs w:val="18"/>
        </w:rPr>
      </w:pPr>
    </w:p>
    <w:p w:rsidR="00600719" w:rsidRPr="00F31D8E" w:rsidRDefault="00600719" w:rsidP="00600719">
      <w:pPr>
        <w:rPr>
          <w:rFonts w:ascii="Arial" w:hAnsi="Arial" w:cs="Arial"/>
          <w:b/>
          <w:sz w:val="18"/>
          <w:szCs w:val="18"/>
        </w:rPr>
      </w:pPr>
    </w:p>
    <w:p w:rsidR="00600719" w:rsidRPr="00F31D8E" w:rsidRDefault="00600719" w:rsidP="00600719">
      <w:pPr>
        <w:tabs>
          <w:tab w:val="left" w:pos="540"/>
        </w:tabs>
        <w:rPr>
          <w:rFonts w:ascii="Arial" w:hAnsi="Arial" w:cs="Arial"/>
          <w:sz w:val="18"/>
          <w:szCs w:val="18"/>
        </w:rPr>
      </w:pPr>
      <w:r w:rsidRPr="00F31D8E">
        <w:rPr>
          <w:rFonts w:ascii="Arial" w:hAnsi="Arial" w:cs="Arial"/>
          <w:b/>
          <w:sz w:val="18"/>
          <w:szCs w:val="18"/>
        </w:rPr>
        <w:t>II.</w:t>
      </w:r>
      <w:r w:rsidRPr="00F31D8E">
        <w:rPr>
          <w:rFonts w:ascii="Arial" w:hAnsi="Arial" w:cs="Arial"/>
          <w:b/>
          <w:bCs/>
          <w:sz w:val="18"/>
          <w:szCs w:val="18"/>
        </w:rPr>
        <w:t xml:space="preserve"> Cykliczność, sezonowość działalności</w:t>
      </w:r>
      <w:r w:rsidRPr="00F31D8E">
        <w:rPr>
          <w:rFonts w:ascii="Arial" w:hAnsi="Arial" w:cs="Arial"/>
          <w:sz w:val="18"/>
          <w:szCs w:val="18"/>
        </w:rPr>
        <w:t>.</w:t>
      </w:r>
    </w:p>
    <w:p w:rsidR="00600719" w:rsidRPr="00F31D8E" w:rsidRDefault="00600719" w:rsidP="00600719">
      <w:pPr>
        <w:tabs>
          <w:tab w:val="left" w:pos="540"/>
        </w:tabs>
        <w:spacing w:line="260" w:lineRule="exact"/>
        <w:jc w:val="both"/>
        <w:rPr>
          <w:rFonts w:ascii="Arial" w:hAnsi="Arial" w:cs="Arial"/>
          <w:sz w:val="18"/>
          <w:szCs w:val="18"/>
        </w:rPr>
      </w:pPr>
    </w:p>
    <w:p w:rsidR="00600719" w:rsidRPr="00661ED4" w:rsidRDefault="00600719" w:rsidP="00600719">
      <w:pPr>
        <w:tabs>
          <w:tab w:val="left" w:pos="540"/>
        </w:tabs>
        <w:spacing w:before="60" w:line="240" w:lineRule="atLeast"/>
        <w:jc w:val="both"/>
        <w:rPr>
          <w:rFonts w:ascii="Arial" w:hAnsi="Arial" w:cs="Arial"/>
          <w:sz w:val="18"/>
          <w:szCs w:val="18"/>
        </w:rPr>
      </w:pPr>
      <w:r w:rsidRPr="00661ED4">
        <w:rPr>
          <w:rFonts w:ascii="Arial" w:hAnsi="Arial" w:cs="Arial"/>
          <w:sz w:val="18"/>
          <w:szCs w:val="18"/>
        </w:rPr>
        <w:t>Charakterystyczną cechą profilu działalności spółek branży turystycznej jest sezonowość. Obiekty INTERFERIE S.A. znajdują się zarówno w górach jak i nad morzem i wszystkie są przystosowane do całorocznej działalności. Dodatkowo świadczone w nich pakiety w zakresie „sport i zdrowie” sprzyjają wygładzaniu trendu.</w:t>
      </w:r>
      <w:r>
        <w:rPr>
          <w:rFonts w:ascii="Arial" w:hAnsi="Arial" w:cs="Arial"/>
          <w:sz w:val="18"/>
          <w:szCs w:val="18"/>
        </w:rPr>
        <w:t xml:space="preserve"> </w:t>
      </w:r>
      <w:r>
        <w:rPr>
          <w:rFonts w:ascii="Arial" w:hAnsi="Arial" w:cs="Arial"/>
          <w:sz w:val="18"/>
          <w:szCs w:val="18"/>
        </w:rPr>
        <w:br/>
      </w:r>
      <w:r w:rsidRPr="00661ED4">
        <w:rPr>
          <w:rFonts w:ascii="Arial" w:hAnsi="Arial" w:cs="Arial"/>
          <w:sz w:val="18"/>
          <w:szCs w:val="18"/>
        </w:rPr>
        <w:t>W związku z powyższym Zarząd Spółki ocenia, że działalnoś</w:t>
      </w:r>
      <w:r>
        <w:rPr>
          <w:rFonts w:ascii="Arial" w:hAnsi="Arial" w:cs="Arial"/>
          <w:sz w:val="18"/>
          <w:szCs w:val="18"/>
        </w:rPr>
        <w:t>ć</w:t>
      </w:r>
      <w:r w:rsidRPr="00661ED4">
        <w:rPr>
          <w:rFonts w:ascii="Arial" w:hAnsi="Arial" w:cs="Arial"/>
          <w:sz w:val="18"/>
          <w:szCs w:val="18"/>
        </w:rPr>
        <w:t xml:space="preserve"> jednostki nie cechuje wyraźna sezonowość.</w:t>
      </w:r>
    </w:p>
    <w:p w:rsidR="00600719" w:rsidRDefault="00600719" w:rsidP="00600719">
      <w:pPr>
        <w:rPr>
          <w:rFonts w:ascii="Arial" w:hAnsi="Arial" w:cs="Arial"/>
          <w:b/>
          <w:bCs/>
          <w:sz w:val="18"/>
          <w:szCs w:val="18"/>
        </w:rPr>
      </w:pPr>
    </w:p>
    <w:p w:rsidR="00600719" w:rsidRPr="00F31D8E" w:rsidRDefault="00600719" w:rsidP="00600719">
      <w:pPr>
        <w:rPr>
          <w:rFonts w:ascii="Arial" w:hAnsi="Arial" w:cs="Arial"/>
          <w:b/>
          <w:bCs/>
          <w:sz w:val="18"/>
          <w:szCs w:val="18"/>
        </w:rPr>
      </w:pPr>
    </w:p>
    <w:p w:rsidR="00600719" w:rsidRPr="00F31D8E" w:rsidRDefault="00600719" w:rsidP="00600719">
      <w:pPr>
        <w:tabs>
          <w:tab w:val="left" w:pos="540"/>
        </w:tabs>
        <w:spacing w:line="260" w:lineRule="exact"/>
        <w:jc w:val="both"/>
        <w:rPr>
          <w:rFonts w:ascii="Arial" w:hAnsi="Arial" w:cs="Arial"/>
          <w:b/>
          <w:bCs/>
          <w:sz w:val="18"/>
          <w:szCs w:val="18"/>
        </w:rPr>
      </w:pPr>
      <w:r w:rsidRPr="00F31D8E">
        <w:rPr>
          <w:rFonts w:ascii="Arial" w:hAnsi="Arial" w:cs="Arial"/>
          <w:b/>
          <w:bCs/>
          <w:sz w:val="18"/>
          <w:szCs w:val="18"/>
        </w:rPr>
        <w:t>III. Pozycje wpływające na aktywa, pasywa, kapitał, wynik finansowy netto lub przepływy środków pieniężnych, które są nietypowe ze względu na ich wielkość .</w:t>
      </w:r>
    </w:p>
    <w:p w:rsidR="00600719" w:rsidRPr="00F31D8E" w:rsidRDefault="00600719" w:rsidP="00600719">
      <w:pPr>
        <w:tabs>
          <w:tab w:val="left" w:pos="540"/>
        </w:tabs>
        <w:spacing w:line="260" w:lineRule="exact"/>
        <w:jc w:val="both"/>
        <w:rPr>
          <w:rFonts w:ascii="Arial" w:hAnsi="Arial" w:cs="Arial"/>
          <w:b/>
          <w:bCs/>
          <w:i/>
          <w:sz w:val="18"/>
          <w:szCs w:val="18"/>
        </w:rPr>
      </w:pPr>
    </w:p>
    <w:p w:rsidR="00600719" w:rsidRPr="008C2C93" w:rsidRDefault="00600719" w:rsidP="00600719">
      <w:pPr>
        <w:pStyle w:val="Akapitzlist"/>
        <w:numPr>
          <w:ilvl w:val="0"/>
          <w:numId w:val="24"/>
        </w:numPr>
        <w:tabs>
          <w:tab w:val="left" w:pos="540"/>
        </w:tabs>
        <w:spacing w:line="260" w:lineRule="exact"/>
        <w:ind w:left="426" w:hanging="426"/>
        <w:jc w:val="both"/>
        <w:rPr>
          <w:rFonts w:ascii="Arial" w:hAnsi="Arial" w:cs="Arial"/>
          <w:b/>
          <w:bCs/>
          <w:i/>
          <w:sz w:val="18"/>
          <w:szCs w:val="18"/>
        </w:rPr>
      </w:pPr>
      <w:r w:rsidRPr="008C2C93">
        <w:rPr>
          <w:rFonts w:ascii="Arial" w:hAnsi="Arial" w:cs="Arial"/>
          <w:b/>
          <w:bCs/>
          <w:i/>
          <w:sz w:val="18"/>
          <w:szCs w:val="18"/>
        </w:rPr>
        <w:t xml:space="preserve"> Sytuacja i wyniki finansowe znaczącej Spółki stowarzyszonej</w:t>
      </w:r>
    </w:p>
    <w:p w:rsidR="00600719" w:rsidRPr="00F31D8E" w:rsidRDefault="00600719" w:rsidP="00600719">
      <w:pPr>
        <w:pStyle w:val="Akapitzlist"/>
        <w:tabs>
          <w:tab w:val="left" w:pos="540"/>
        </w:tabs>
        <w:spacing w:line="260" w:lineRule="exact"/>
        <w:ind w:left="426"/>
        <w:jc w:val="both"/>
        <w:rPr>
          <w:rFonts w:ascii="Arial" w:hAnsi="Arial" w:cs="Arial"/>
          <w:b/>
          <w:bCs/>
          <w:i/>
          <w:sz w:val="18"/>
          <w:szCs w:val="18"/>
        </w:rPr>
      </w:pPr>
    </w:p>
    <w:p w:rsidR="00600719" w:rsidRPr="00491116" w:rsidRDefault="00600719" w:rsidP="003132B0">
      <w:pPr>
        <w:tabs>
          <w:tab w:val="left" w:pos="540"/>
        </w:tabs>
        <w:spacing w:before="60" w:line="240" w:lineRule="atLeast"/>
        <w:jc w:val="both"/>
        <w:rPr>
          <w:rFonts w:ascii="Arial" w:hAnsi="Arial" w:cs="Arial"/>
          <w:sz w:val="18"/>
          <w:szCs w:val="18"/>
        </w:rPr>
      </w:pPr>
      <w:r w:rsidRPr="00491116">
        <w:rPr>
          <w:rFonts w:ascii="Arial" w:hAnsi="Arial" w:cs="Arial"/>
          <w:sz w:val="18"/>
          <w:szCs w:val="18"/>
        </w:rPr>
        <w:t xml:space="preserve">INTERFERIE S.A. posiada jedną spółkę stowarzyszoną, jest nią Interferie Medical SPA Sp. z. o.o. i udziały w niej wynoszą 32,63%. Spółka ta została zawiązana dnia 1.02.2010 r. celem budowy kompleksu wypoczynkowo – rehabilitacyjnego w Świnoujściu. </w:t>
      </w:r>
    </w:p>
    <w:p w:rsidR="00600719" w:rsidRPr="00491116" w:rsidRDefault="00600719" w:rsidP="003132B0">
      <w:pPr>
        <w:tabs>
          <w:tab w:val="left" w:pos="540"/>
        </w:tabs>
        <w:spacing w:before="60" w:line="240" w:lineRule="atLeast"/>
        <w:jc w:val="both"/>
        <w:rPr>
          <w:rFonts w:ascii="Arial" w:hAnsi="Arial" w:cs="Arial"/>
          <w:sz w:val="18"/>
          <w:szCs w:val="18"/>
        </w:rPr>
      </w:pPr>
      <w:r w:rsidRPr="00491116">
        <w:rPr>
          <w:rFonts w:ascii="Arial" w:hAnsi="Arial" w:cs="Arial"/>
          <w:sz w:val="18"/>
          <w:szCs w:val="18"/>
        </w:rPr>
        <w:t>Na dzień 30 września 2021 r. aktywa Spółki Interferie Medical SPA wyniosły 104 645 tys. zł, w stosunku do stanu na 31.12.2020 r. nastąpił wzrost wartości aktywów Spółki o 4 373 tys. zł. Zobowiązania na dzień 30 września 2021 r. wyniosły 36 902 tys. zł i wzrosły w stosunku do stanu z 31.12.2020 r. o 3 606 tys. zł.</w:t>
      </w:r>
    </w:p>
    <w:p w:rsidR="00600719" w:rsidRPr="00D94CB2" w:rsidRDefault="00600719" w:rsidP="003132B0">
      <w:pPr>
        <w:tabs>
          <w:tab w:val="left" w:pos="540"/>
        </w:tabs>
        <w:spacing w:before="60" w:line="240" w:lineRule="atLeast"/>
        <w:jc w:val="both"/>
        <w:rPr>
          <w:rFonts w:ascii="Arial" w:hAnsi="Arial" w:cs="Arial"/>
          <w:sz w:val="18"/>
          <w:szCs w:val="18"/>
        </w:rPr>
      </w:pPr>
      <w:r w:rsidRPr="00491116">
        <w:rPr>
          <w:rFonts w:ascii="Arial" w:hAnsi="Arial" w:cs="Arial"/>
          <w:sz w:val="18"/>
          <w:szCs w:val="18"/>
        </w:rPr>
        <w:t xml:space="preserve">Za 9 m-cy 2021 r. Spółka Interferie Medical SPA osiągnęła zysk netto w wysokości 766 tys. zł (158 tys. zł </w:t>
      </w:r>
      <w:r w:rsidR="003132B0">
        <w:rPr>
          <w:rFonts w:ascii="Arial" w:hAnsi="Arial" w:cs="Arial"/>
          <w:sz w:val="18"/>
          <w:szCs w:val="18"/>
        </w:rPr>
        <w:br/>
      </w:r>
      <w:r w:rsidRPr="00491116">
        <w:rPr>
          <w:rFonts w:ascii="Arial" w:hAnsi="Arial" w:cs="Arial"/>
          <w:sz w:val="18"/>
          <w:szCs w:val="18"/>
        </w:rPr>
        <w:t>w analogicznym okresie roku ubiegłego).</w:t>
      </w:r>
    </w:p>
    <w:p w:rsidR="00600719" w:rsidRPr="00F31D8E" w:rsidRDefault="00600719" w:rsidP="00600719">
      <w:pPr>
        <w:tabs>
          <w:tab w:val="left" w:pos="540"/>
        </w:tabs>
        <w:spacing w:line="260" w:lineRule="exact"/>
        <w:jc w:val="both"/>
        <w:rPr>
          <w:rFonts w:ascii="Arial" w:hAnsi="Arial" w:cs="Arial"/>
          <w:sz w:val="18"/>
          <w:szCs w:val="18"/>
        </w:rPr>
      </w:pPr>
    </w:p>
    <w:p w:rsidR="00600719" w:rsidRPr="008C2C93" w:rsidRDefault="00600719" w:rsidP="00600719">
      <w:pPr>
        <w:pStyle w:val="Akapitzlist"/>
        <w:numPr>
          <w:ilvl w:val="0"/>
          <w:numId w:val="24"/>
        </w:numPr>
        <w:tabs>
          <w:tab w:val="left" w:pos="540"/>
        </w:tabs>
        <w:spacing w:before="60"/>
        <w:ind w:hanging="502"/>
        <w:jc w:val="both"/>
        <w:rPr>
          <w:rFonts w:ascii="Arial" w:hAnsi="Arial" w:cs="Arial"/>
          <w:b/>
          <w:bCs/>
          <w:i/>
          <w:sz w:val="18"/>
          <w:szCs w:val="18"/>
        </w:rPr>
      </w:pPr>
      <w:r w:rsidRPr="008C2C93">
        <w:rPr>
          <w:rFonts w:ascii="Arial" w:hAnsi="Arial" w:cs="Arial"/>
          <w:b/>
          <w:bCs/>
          <w:i/>
          <w:sz w:val="18"/>
          <w:szCs w:val="18"/>
        </w:rPr>
        <w:t xml:space="preserve"> Wycena aktywów trwałych</w:t>
      </w:r>
    </w:p>
    <w:p w:rsidR="00600719" w:rsidRPr="00AA4DEA" w:rsidRDefault="00600719" w:rsidP="00600719">
      <w:pPr>
        <w:pStyle w:val="Akapitzlist"/>
        <w:tabs>
          <w:tab w:val="left" w:pos="540"/>
        </w:tabs>
        <w:spacing w:before="60"/>
        <w:ind w:left="502"/>
        <w:jc w:val="both"/>
        <w:rPr>
          <w:rFonts w:ascii="Arial" w:hAnsi="Arial" w:cs="Arial"/>
          <w:b/>
          <w:bCs/>
          <w:i/>
          <w:sz w:val="18"/>
          <w:szCs w:val="18"/>
        </w:rPr>
      </w:pPr>
    </w:p>
    <w:p w:rsidR="00600719" w:rsidRDefault="00600719" w:rsidP="003132B0">
      <w:pPr>
        <w:spacing w:line="260" w:lineRule="exact"/>
        <w:jc w:val="both"/>
        <w:rPr>
          <w:rFonts w:ascii="Arial" w:hAnsi="Arial" w:cs="Arial"/>
          <w:sz w:val="18"/>
          <w:szCs w:val="18"/>
        </w:rPr>
      </w:pPr>
      <w:r w:rsidRPr="008A7B77">
        <w:rPr>
          <w:rFonts w:ascii="Arial" w:hAnsi="Arial" w:cs="Arial"/>
          <w:bCs/>
          <w:sz w:val="18"/>
          <w:szCs w:val="18"/>
        </w:rPr>
        <w:t xml:space="preserve">W okresie 9 </w:t>
      </w:r>
      <w:r w:rsidRPr="00665262">
        <w:rPr>
          <w:rFonts w:ascii="Arial" w:hAnsi="Arial" w:cs="Arial"/>
          <w:bCs/>
          <w:sz w:val="18"/>
          <w:szCs w:val="18"/>
        </w:rPr>
        <w:t xml:space="preserve">miesięcy </w:t>
      </w:r>
      <w:r>
        <w:rPr>
          <w:rFonts w:ascii="Arial" w:hAnsi="Arial" w:cs="Arial"/>
          <w:bCs/>
          <w:sz w:val="18"/>
          <w:szCs w:val="18"/>
        </w:rPr>
        <w:t>2021</w:t>
      </w:r>
      <w:r w:rsidRPr="00665262">
        <w:rPr>
          <w:rFonts w:ascii="Arial" w:hAnsi="Arial" w:cs="Arial"/>
          <w:bCs/>
          <w:sz w:val="18"/>
          <w:szCs w:val="18"/>
        </w:rPr>
        <w:t xml:space="preserve"> r. naliczono amortyzację rzeczowego majątku trwałego i wartości niematerialnych</w:t>
      </w:r>
      <w:r w:rsidR="008C2C93">
        <w:rPr>
          <w:rFonts w:ascii="Arial" w:hAnsi="Arial" w:cs="Arial"/>
          <w:bCs/>
          <w:sz w:val="18"/>
          <w:szCs w:val="18"/>
        </w:rPr>
        <w:br/>
      </w:r>
      <w:r w:rsidRPr="00665262">
        <w:rPr>
          <w:rFonts w:ascii="Arial" w:hAnsi="Arial" w:cs="Arial"/>
          <w:bCs/>
          <w:sz w:val="18"/>
          <w:szCs w:val="18"/>
        </w:rPr>
        <w:t xml:space="preserve"> w </w:t>
      </w:r>
      <w:r w:rsidRPr="00740BB8">
        <w:rPr>
          <w:rFonts w:ascii="Arial" w:hAnsi="Arial" w:cs="Arial"/>
          <w:bCs/>
          <w:sz w:val="18"/>
          <w:szCs w:val="18"/>
        </w:rPr>
        <w:t xml:space="preserve">wysokości </w:t>
      </w:r>
      <w:r>
        <w:rPr>
          <w:rFonts w:ascii="Arial" w:hAnsi="Arial" w:cs="Arial"/>
          <w:bCs/>
          <w:sz w:val="18"/>
          <w:szCs w:val="18"/>
        </w:rPr>
        <w:t>3 561</w:t>
      </w:r>
      <w:r w:rsidRPr="00740BB8">
        <w:rPr>
          <w:rFonts w:ascii="Arial" w:hAnsi="Arial" w:cs="Arial"/>
          <w:bCs/>
          <w:sz w:val="18"/>
          <w:szCs w:val="18"/>
        </w:rPr>
        <w:t xml:space="preserve"> tys. zł </w:t>
      </w:r>
      <w:r w:rsidRPr="00740BB8">
        <w:rPr>
          <w:rFonts w:ascii="Arial" w:hAnsi="Arial" w:cs="Arial"/>
          <w:sz w:val="18"/>
          <w:szCs w:val="18"/>
        </w:rPr>
        <w:t>(</w:t>
      </w:r>
      <w:r>
        <w:rPr>
          <w:rFonts w:ascii="Arial" w:hAnsi="Arial" w:cs="Arial"/>
          <w:bCs/>
          <w:sz w:val="18"/>
          <w:szCs w:val="18"/>
        </w:rPr>
        <w:t>1 885</w:t>
      </w:r>
      <w:r w:rsidRPr="00740BB8">
        <w:rPr>
          <w:rFonts w:ascii="Arial" w:hAnsi="Arial" w:cs="Arial"/>
          <w:bCs/>
          <w:sz w:val="18"/>
          <w:szCs w:val="18"/>
        </w:rPr>
        <w:t xml:space="preserve"> t</w:t>
      </w:r>
      <w:r w:rsidRPr="00740BB8">
        <w:rPr>
          <w:rFonts w:ascii="Arial" w:hAnsi="Arial" w:cs="Arial"/>
          <w:sz w:val="18"/>
          <w:szCs w:val="18"/>
        </w:rPr>
        <w:t>ys.</w:t>
      </w:r>
      <w:r w:rsidRPr="00665262">
        <w:rPr>
          <w:rFonts w:ascii="Arial" w:hAnsi="Arial" w:cs="Arial"/>
          <w:sz w:val="18"/>
          <w:szCs w:val="18"/>
        </w:rPr>
        <w:t xml:space="preserve"> zł w analogicznym okresie roku ubiegłego).</w:t>
      </w:r>
    </w:p>
    <w:p w:rsidR="00600719" w:rsidRDefault="00600719" w:rsidP="00600719">
      <w:pPr>
        <w:rPr>
          <w:rFonts w:ascii="Arial" w:hAnsi="Arial" w:cs="Arial"/>
          <w:sz w:val="18"/>
          <w:szCs w:val="18"/>
        </w:rPr>
      </w:pPr>
    </w:p>
    <w:p w:rsidR="00600719" w:rsidRPr="008C2C93" w:rsidRDefault="00600719" w:rsidP="008C2C93">
      <w:pPr>
        <w:pStyle w:val="Akapitzlist"/>
        <w:numPr>
          <w:ilvl w:val="0"/>
          <w:numId w:val="24"/>
        </w:numPr>
        <w:tabs>
          <w:tab w:val="left" w:pos="540"/>
        </w:tabs>
        <w:spacing w:line="260" w:lineRule="exact"/>
        <w:ind w:left="426" w:hanging="426"/>
        <w:jc w:val="both"/>
        <w:rPr>
          <w:rFonts w:ascii="Arial" w:hAnsi="Arial" w:cs="Arial"/>
          <w:b/>
          <w:bCs/>
          <w:i/>
          <w:sz w:val="18"/>
          <w:szCs w:val="18"/>
        </w:rPr>
      </w:pPr>
      <w:r w:rsidRPr="008C2C93">
        <w:rPr>
          <w:rFonts w:ascii="Arial" w:hAnsi="Arial" w:cs="Arial"/>
          <w:b/>
          <w:bCs/>
          <w:i/>
          <w:sz w:val="18"/>
          <w:szCs w:val="18"/>
        </w:rPr>
        <w:t xml:space="preserve"> Kredyty, pożyczki i inne zewnętrzne źródła finansowania</w:t>
      </w:r>
    </w:p>
    <w:p w:rsidR="00600719" w:rsidRDefault="00600719" w:rsidP="00600719">
      <w:pPr>
        <w:tabs>
          <w:tab w:val="left" w:pos="540"/>
        </w:tabs>
        <w:spacing w:line="260" w:lineRule="exact"/>
        <w:jc w:val="both"/>
        <w:rPr>
          <w:rFonts w:ascii="Arial" w:hAnsi="Arial" w:cs="Arial"/>
          <w:b/>
          <w:sz w:val="18"/>
          <w:szCs w:val="18"/>
        </w:rPr>
      </w:pPr>
    </w:p>
    <w:tbl>
      <w:tblPr>
        <w:tblW w:w="0" w:type="auto"/>
        <w:tblInd w:w="56" w:type="dxa"/>
        <w:tblLayout w:type="fixed"/>
        <w:tblCellMar>
          <w:left w:w="70" w:type="dxa"/>
          <w:right w:w="70" w:type="dxa"/>
        </w:tblCellMar>
        <w:tblLook w:val="0000" w:firstRow="0" w:lastRow="0" w:firstColumn="0" w:lastColumn="0" w:noHBand="0" w:noVBand="0"/>
      </w:tblPr>
      <w:tblGrid>
        <w:gridCol w:w="4376"/>
        <w:gridCol w:w="160"/>
        <w:gridCol w:w="2268"/>
        <w:gridCol w:w="2268"/>
      </w:tblGrid>
      <w:tr w:rsidR="00600719" w:rsidRPr="000422AF" w:rsidTr="006D578F">
        <w:trPr>
          <w:gridAfter w:val="1"/>
          <w:wAfter w:w="2268" w:type="dxa"/>
          <w:trHeight w:val="227"/>
        </w:trPr>
        <w:tc>
          <w:tcPr>
            <w:tcW w:w="4376" w:type="dxa"/>
            <w:tcBorders>
              <w:top w:val="nil"/>
              <w:left w:val="nil"/>
              <w:bottom w:val="nil"/>
              <w:right w:val="nil"/>
            </w:tcBorders>
            <w:noWrap/>
            <w:vAlign w:val="bottom"/>
          </w:tcPr>
          <w:p w:rsidR="00600719" w:rsidRPr="00FB5980" w:rsidRDefault="00600719" w:rsidP="006D578F">
            <w:pPr>
              <w:rPr>
                <w:rFonts w:ascii="Arial" w:hAnsi="Arial" w:cs="Arial"/>
                <w:sz w:val="16"/>
                <w:szCs w:val="16"/>
              </w:rPr>
            </w:pPr>
          </w:p>
        </w:tc>
        <w:tc>
          <w:tcPr>
            <w:tcW w:w="160" w:type="dxa"/>
            <w:tcBorders>
              <w:top w:val="nil"/>
              <w:left w:val="nil"/>
              <w:bottom w:val="nil"/>
              <w:right w:val="nil"/>
            </w:tcBorders>
            <w:noWrap/>
            <w:vAlign w:val="bottom"/>
          </w:tcPr>
          <w:p w:rsidR="00600719" w:rsidRPr="00FB5980" w:rsidRDefault="00600719" w:rsidP="006D578F">
            <w:pPr>
              <w:rPr>
                <w:rFonts w:ascii="Arial" w:hAnsi="Arial" w:cs="Arial"/>
                <w:b/>
                <w:bCs/>
                <w:sz w:val="16"/>
                <w:szCs w:val="16"/>
              </w:rPr>
            </w:pPr>
          </w:p>
        </w:tc>
        <w:tc>
          <w:tcPr>
            <w:tcW w:w="2268" w:type="dxa"/>
            <w:tcBorders>
              <w:top w:val="nil"/>
              <w:left w:val="nil"/>
              <w:bottom w:val="nil"/>
              <w:right w:val="nil"/>
            </w:tcBorders>
            <w:noWrap/>
            <w:vAlign w:val="bottom"/>
          </w:tcPr>
          <w:p w:rsidR="00600719" w:rsidRPr="000422AF" w:rsidRDefault="00600719" w:rsidP="006D578F">
            <w:pPr>
              <w:tabs>
                <w:tab w:val="left" w:pos="781"/>
              </w:tabs>
              <w:jc w:val="center"/>
              <w:rPr>
                <w:rFonts w:ascii="Arial" w:hAnsi="Arial" w:cs="Arial"/>
                <w:b/>
                <w:bCs/>
                <w:sz w:val="16"/>
                <w:szCs w:val="16"/>
              </w:rPr>
            </w:pPr>
            <w:r w:rsidRPr="000422AF">
              <w:rPr>
                <w:rFonts w:ascii="Arial" w:hAnsi="Arial" w:cs="Arial"/>
                <w:b/>
                <w:bCs/>
                <w:sz w:val="16"/>
                <w:szCs w:val="16"/>
              </w:rPr>
              <w:t>Stan na dzień</w:t>
            </w:r>
          </w:p>
        </w:tc>
      </w:tr>
      <w:tr w:rsidR="00600719" w:rsidRPr="000422AF" w:rsidTr="006D578F">
        <w:trPr>
          <w:trHeight w:val="227"/>
        </w:trPr>
        <w:tc>
          <w:tcPr>
            <w:tcW w:w="4376" w:type="dxa"/>
            <w:tcBorders>
              <w:top w:val="nil"/>
              <w:left w:val="nil"/>
              <w:bottom w:val="nil"/>
              <w:right w:val="nil"/>
            </w:tcBorders>
            <w:noWrap/>
            <w:vAlign w:val="bottom"/>
          </w:tcPr>
          <w:p w:rsidR="00600719" w:rsidRPr="000422AF" w:rsidRDefault="00600719" w:rsidP="006D578F">
            <w:pPr>
              <w:rPr>
                <w:rFonts w:ascii="Arial" w:hAnsi="Arial" w:cs="Arial"/>
                <w:sz w:val="16"/>
                <w:szCs w:val="16"/>
              </w:rPr>
            </w:pPr>
          </w:p>
        </w:tc>
        <w:tc>
          <w:tcPr>
            <w:tcW w:w="160" w:type="dxa"/>
            <w:tcBorders>
              <w:top w:val="nil"/>
              <w:left w:val="nil"/>
              <w:bottom w:val="nil"/>
              <w:right w:val="nil"/>
            </w:tcBorders>
            <w:noWrap/>
            <w:vAlign w:val="bottom"/>
          </w:tcPr>
          <w:p w:rsidR="00600719" w:rsidRPr="000422AF" w:rsidRDefault="00600719" w:rsidP="006D578F">
            <w:pPr>
              <w:rPr>
                <w:rFonts w:ascii="Arial" w:hAnsi="Arial" w:cs="Arial"/>
                <w:b/>
                <w:bCs/>
                <w:sz w:val="16"/>
                <w:szCs w:val="16"/>
              </w:rPr>
            </w:pPr>
          </w:p>
        </w:tc>
        <w:tc>
          <w:tcPr>
            <w:tcW w:w="2268" w:type="dxa"/>
            <w:tcBorders>
              <w:top w:val="nil"/>
              <w:left w:val="nil"/>
              <w:bottom w:val="nil"/>
              <w:right w:val="nil"/>
            </w:tcBorders>
            <w:noWrap/>
            <w:vAlign w:val="bottom"/>
          </w:tcPr>
          <w:p w:rsidR="00600719" w:rsidRPr="000422AF" w:rsidRDefault="00600719" w:rsidP="006D578F">
            <w:pPr>
              <w:jc w:val="right"/>
              <w:rPr>
                <w:rFonts w:ascii="Arial" w:hAnsi="Arial" w:cs="Arial"/>
                <w:b/>
                <w:bCs/>
                <w:sz w:val="16"/>
                <w:szCs w:val="16"/>
              </w:rPr>
            </w:pPr>
            <w:r w:rsidRPr="000422AF">
              <w:rPr>
                <w:rFonts w:ascii="Arial" w:hAnsi="Arial" w:cs="Arial"/>
                <w:b/>
                <w:bCs/>
                <w:sz w:val="16"/>
                <w:szCs w:val="16"/>
              </w:rPr>
              <w:t>30.09.2021</w:t>
            </w:r>
          </w:p>
          <w:p w:rsidR="00600719" w:rsidRPr="000422AF" w:rsidRDefault="00600719" w:rsidP="006D578F">
            <w:pPr>
              <w:jc w:val="right"/>
              <w:rPr>
                <w:rFonts w:ascii="Arial" w:hAnsi="Arial" w:cs="Arial"/>
                <w:b/>
                <w:bCs/>
                <w:sz w:val="16"/>
                <w:szCs w:val="16"/>
              </w:rPr>
            </w:pPr>
            <w:r w:rsidRPr="000422AF">
              <w:rPr>
                <w:rFonts w:ascii="Arial" w:hAnsi="Arial" w:cs="Arial"/>
                <w:sz w:val="16"/>
                <w:szCs w:val="16"/>
              </w:rPr>
              <w:t>(niebadane)</w:t>
            </w:r>
          </w:p>
        </w:tc>
        <w:tc>
          <w:tcPr>
            <w:tcW w:w="2268" w:type="dxa"/>
            <w:tcBorders>
              <w:top w:val="nil"/>
              <w:left w:val="nil"/>
              <w:bottom w:val="nil"/>
              <w:right w:val="nil"/>
            </w:tcBorders>
            <w:vAlign w:val="bottom"/>
          </w:tcPr>
          <w:p w:rsidR="00600719" w:rsidRPr="000422AF" w:rsidRDefault="00600719" w:rsidP="006D578F">
            <w:pPr>
              <w:jc w:val="right"/>
              <w:rPr>
                <w:rFonts w:ascii="Arial" w:hAnsi="Arial" w:cs="Arial"/>
                <w:b/>
                <w:bCs/>
                <w:sz w:val="16"/>
                <w:szCs w:val="16"/>
              </w:rPr>
            </w:pPr>
            <w:r w:rsidRPr="000422AF">
              <w:rPr>
                <w:rFonts w:ascii="Arial" w:hAnsi="Arial" w:cs="Arial"/>
                <w:b/>
                <w:bCs/>
                <w:sz w:val="16"/>
                <w:szCs w:val="16"/>
              </w:rPr>
              <w:t>31.12.2020</w:t>
            </w:r>
          </w:p>
        </w:tc>
      </w:tr>
      <w:tr w:rsidR="00600719" w:rsidRPr="000422AF" w:rsidTr="006D578F">
        <w:trPr>
          <w:trHeight w:val="227"/>
        </w:trPr>
        <w:tc>
          <w:tcPr>
            <w:tcW w:w="4376" w:type="dxa"/>
            <w:tcBorders>
              <w:top w:val="nil"/>
              <w:left w:val="nil"/>
              <w:bottom w:val="nil"/>
              <w:right w:val="nil"/>
            </w:tcBorders>
            <w:noWrap/>
            <w:vAlign w:val="bottom"/>
          </w:tcPr>
          <w:p w:rsidR="00600719" w:rsidRPr="000422AF" w:rsidRDefault="00600719" w:rsidP="006D578F">
            <w:pPr>
              <w:rPr>
                <w:rFonts w:ascii="Arial" w:hAnsi="Arial" w:cs="Arial"/>
                <w:b/>
                <w:bCs/>
                <w:sz w:val="16"/>
                <w:szCs w:val="16"/>
              </w:rPr>
            </w:pPr>
            <w:r w:rsidRPr="000422AF">
              <w:rPr>
                <w:rFonts w:ascii="Arial" w:hAnsi="Arial" w:cs="Arial"/>
                <w:b/>
                <w:bCs/>
                <w:sz w:val="16"/>
                <w:szCs w:val="16"/>
              </w:rPr>
              <w:t>Długoterminowe kredyty i pożyczki</w:t>
            </w:r>
          </w:p>
        </w:tc>
        <w:tc>
          <w:tcPr>
            <w:tcW w:w="160" w:type="dxa"/>
            <w:tcBorders>
              <w:top w:val="nil"/>
              <w:left w:val="nil"/>
              <w:bottom w:val="nil"/>
              <w:right w:val="nil"/>
            </w:tcBorders>
            <w:noWrap/>
            <w:vAlign w:val="bottom"/>
          </w:tcPr>
          <w:p w:rsidR="00600719" w:rsidRPr="000422AF" w:rsidRDefault="00600719" w:rsidP="006D578F">
            <w:pPr>
              <w:rPr>
                <w:rFonts w:ascii="Arial" w:hAnsi="Arial" w:cs="Arial"/>
                <w:sz w:val="16"/>
                <w:szCs w:val="16"/>
              </w:rPr>
            </w:pPr>
          </w:p>
        </w:tc>
        <w:tc>
          <w:tcPr>
            <w:tcW w:w="2268" w:type="dxa"/>
            <w:tcBorders>
              <w:top w:val="single" w:sz="8" w:space="0" w:color="auto"/>
              <w:left w:val="nil"/>
              <w:bottom w:val="nil"/>
              <w:right w:val="nil"/>
            </w:tcBorders>
            <w:noWrap/>
            <w:vAlign w:val="bottom"/>
          </w:tcPr>
          <w:p w:rsidR="00600719" w:rsidRPr="000422AF" w:rsidRDefault="00600719" w:rsidP="006D578F">
            <w:pPr>
              <w:rPr>
                <w:rFonts w:ascii="Arial" w:hAnsi="Arial" w:cs="Arial"/>
                <w:sz w:val="16"/>
                <w:szCs w:val="16"/>
              </w:rPr>
            </w:pPr>
            <w:r w:rsidRPr="000422AF">
              <w:rPr>
                <w:rFonts w:ascii="Arial" w:hAnsi="Arial" w:cs="Arial"/>
                <w:sz w:val="16"/>
                <w:szCs w:val="16"/>
              </w:rPr>
              <w:t> </w:t>
            </w:r>
          </w:p>
        </w:tc>
        <w:tc>
          <w:tcPr>
            <w:tcW w:w="2268" w:type="dxa"/>
            <w:tcBorders>
              <w:top w:val="single" w:sz="8" w:space="0" w:color="auto"/>
              <w:left w:val="nil"/>
              <w:bottom w:val="nil"/>
              <w:right w:val="nil"/>
            </w:tcBorders>
            <w:vAlign w:val="bottom"/>
          </w:tcPr>
          <w:p w:rsidR="00600719" w:rsidRPr="000422AF" w:rsidRDefault="00600719" w:rsidP="006D578F">
            <w:pPr>
              <w:rPr>
                <w:rFonts w:ascii="Arial" w:hAnsi="Arial" w:cs="Arial"/>
                <w:sz w:val="16"/>
                <w:szCs w:val="16"/>
              </w:rPr>
            </w:pPr>
            <w:r w:rsidRPr="000422AF">
              <w:rPr>
                <w:rFonts w:ascii="Arial" w:hAnsi="Arial" w:cs="Arial"/>
                <w:sz w:val="16"/>
                <w:szCs w:val="16"/>
              </w:rPr>
              <w:t> </w:t>
            </w:r>
          </w:p>
        </w:tc>
      </w:tr>
      <w:tr w:rsidR="00600719" w:rsidRPr="000422AF" w:rsidTr="006D578F">
        <w:trPr>
          <w:trHeight w:val="227"/>
        </w:trPr>
        <w:tc>
          <w:tcPr>
            <w:tcW w:w="4376" w:type="dxa"/>
            <w:tcBorders>
              <w:top w:val="nil"/>
              <w:left w:val="nil"/>
              <w:bottom w:val="nil"/>
              <w:right w:val="nil"/>
            </w:tcBorders>
            <w:noWrap/>
            <w:vAlign w:val="bottom"/>
          </w:tcPr>
          <w:p w:rsidR="00600719" w:rsidRPr="000422AF" w:rsidRDefault="00600719" w:rsidP="006D578F">
            <w:pPr>
              <w:rPr>
                <w:rFonts w:ascii="Arial" w:hAnsi="Arial" w:cs="Arial"/>
                <w:sz w:val="16"/>
                <w:szCs w:val="16"/>
              </w:rPr>
            </w:pPr>
            <w:r w:rsidRPr="000422AF">
              <w:rPr>
                <w:rFonts w:ascii="Arial" w:hAnsi="Arial" w:cs="Arial"/>
                <w:sz w:val="16"/>
                <w:szCs w:val="16"/>
              </w:rPr>
              <w:t>Kredyty</w:t>
            </w:r>
          </w:p>
        </w:tc>
        <w:tc>
          <w:tcPr>
            <w:tcW w:w="160" w:type="dxa"/>
            <w:tcBorders>
              <w:top w:val="nil"/>
              <w:left w:val="nil"/>
              <w:bottom w:val="nil"/>
              <w:right w:val="nil"/>
            </w:tcBorders>
            <w:noWrap/>
            <w:vAlign w:val="bottom"/>
          </w:tcPr>
          <w:p w:rsidR="00600719" w:rsidRPr="000422AF" w:rsidRDefault="00600719" w:rsidP="006D578F">
            <w:pPr>
              <w:rPr>
                <w:rFonts w:ascii="Arial" w:hAnsi="Arial" w:cs="Arial"/>
                <w:sz w:val="16"/>
                <w:szCs w:val="16"/>
              </w:rPr>
            </w:pPr>
          </w:p>
        </w:tc>
        <w:tc>
          <w:tcPr>
            <w:tcW w:w="2268" w:type="dxa"/>
            <w:tcBorders>
              <w:top w:val="nil"/>
              <w:left w:val="nil"/>
              <w:bottom w:val="nil"/>
              <w:right w:val="nil"/>
            </w:tcBorders>
            <w:noWrap/>
            <w:vAlign w:val="center"/>
          </w:tcPr>
          <w:p w:rsidR="00600719" w:rsidRPr="000422AF" w:rsidRDefault="00600719" w:rsidP="006D578F">
            <w:pPr>
              <w:jc w:val="right"/>
              <w:rPr>
                <w:rFonts w:ascii="Arial" w:hAnsi="Arial" w:cs="Arial"/>
                <w:sz w:val="16"/>
                <w:szCs w:val="16"/>
              </w:rPr>
            </w:pPr>
            <w:r w:rsidRPr="000422AF">
              <w:rPr>
                <w:rFonts w:ascii="Arial" w:hAnsi="Arial" w:cs="Arial"/>
                <w:sz w:val="16"/>
                <w:szCs w:val="16"/>
              </w:rPr>
              <w:t>38 088</w:t>
            </w:r>
          </w:p>
        </w:tc>
        <w:tc>
          <w:tcPr>
            <w:tcW w:w="2268" w:type="dxa"/>
            <w:tcBorders>
              <w:top w:val="nil"/>
              <w:left w:val="nil"/>
              <w:bottom w:val="nil"/>
              <w:right w:val="nil"/>
            </w:tcBorders>
            <w:vAlign w:val="center"/>
          </w:tcPr>
          <w:p w:rsidR="00600719" w:rsidRPr="000422AF" w:rsidRDefault="00600719" w:rsidP="006D578F">
            <w:pPr>
              <w:jc w:val="right"/>
              <w:rPr>
                <w:rFonts w:ascii="Arial" w:hAnsi="Arial" w:cs="Arial"/>
                <w:sz w:val="16"/>
                <w:szCs w:val="16"/>
              </w:rPr>
            </w:pPr>
            <w:r w:rsidRPr="000422AF">
              <w:rPr>
                <w:rFonts w:ascii="Arial" w:hAnsi="Arial" w:cs="Arial"/>
                <w:sz w:val="16"/>
                <w:szCs w:val="16"/>
              </w:rPr>
              <w:t>23 849</w:t>
            </w:r>
          </w:p>
        </w:tc>
      </w:tr>
      <w:tr w:rsidR="00600719" w:rsidRPr="000422AF" w:rsidTr="006D578F">
        <w:trPr>
          <w:trHeight w:val="227"/>
        </w:trPr>
        <w:tc>
          <w:tcPr>
            <w:tcW w:w="4376" w:type="dxa"/>
            <w:tcBorders>
              <w:top w:val="nil"/>
              <w:left w:val="nil"/>
              <w:bottom w:val="nil"/>
              <w:right w:val="nil"/>
            </w:tcBorders>
            <w:noWrap/>
            <w:vAlign w:val="bottom"/>
          </w:tcPr>
          <w:p w:rsidR="00600719" w:rsidRPr="000422AF" w:rsidRDefault="00600719" w:rsidP="006D578F">
            <w:pPr>
              <w:rPr>
                <w:rFonts w:ascii="Arial" w:hAnsi="Arial" w:cs="Arial"/>
                <w:sz w:val="16"/>
                <w:szCs w:val="16"/>
              </w:rPr>
            </w:pPr>
            <w:r w:rsidRPr="000422AF">
              <w:rPr>
                <w:rFonts w:ascii="Arial" w:hAnsi="Arial" w:cs="Arial"/>
                <w:sz w:val="16"/>
                <w:szCs w:val="16"/>
              </w:rPr>
              <w:t>Pożyczki</w:t>
            </w:r>
          </w:p>
        </w:tc>
        <w:tc>
          <w:tcPr>
            <w:tcW w:w="160" w:type="dxa"/>
            <w:tcBorders>
              <w:top w:val="nil"/>
              <w:left w:val="nil"/>
              <w:bottom w:val="nil"/>
              <w:right w:val="nil"/>
            </w:tcBorders>
            <w:noWrap/>
            <w:vAlign w:val="bottom"/>
          </w:tcPr>
          <w:p w:rsidR="00600719" w:rsidRPr="000422AF" w:rsidRDefault="00600719" w:rsidP="006D578F">
            <w:pPr>
              <w:rPr>
                <w:rFonts w:ascii="Arial" w:hAnsi="Arial" w:cs="Arial"/>
                <w:sz w:val="16"/>
                <w:szCs w:val="16"/>
              </w:rPr>
            </w:pPr>
          </w:p>
        </w:tc>
        <w:tc>
          <w:tcPr>
            <w:tcW w:w="2268" w:type="dxa"/>
            <w:tcBorders>
              <w:top w:val="nil"/>
              <w:left w:val="nil"/>
              <w:bottom w:val="nil"/>
              <w:right w:val="nil"/>
            </w:tcBorders>
            <w:noWrap/>
            <w:vAlign w:val="center"/>
          </w:tcPr>
          <w:p w:rsidR="00600719" w:rsidRPr="000422AF" w:rsidRDefault="00600719" w:rsidP="006D578F">
            <w:pPr>
              <w:jc w:val="right"/>
              <w:rPr>
                <w:rFonts w:ascii="Arial" w:hAnsi="Arial" w:cs="Arial"/>
                <w:sz w:val="16"/>
                <w:szCs w:val="16"/>
              </w:rPr>
            </w:pPr>
            <w:r w:rsidRPr="000422AF">
              <w:rPr>
                <w:rFonts w:ascii="Arial" w:hAnsi="Arial" w:cs="Arial"/>
                <w:sz w:val="16"/>
                <w:szCs w:val="16"/>
              </w:rPr>
              <w:t>344</w:t>
            </w:r>
          </w:p>
        </w:tc>
        <w:tc>
          <w:tcPr>
            <w:tcW w:w="2268" w:type="dxa"/>
            <w:tcBorders>
              <w:top w:val="nil"/>
              <w:left w:val="nil"/>
              <w:bottom w:val="nil"/>
              <w:right w:val="nil"/>
            </w:tcBorders>
            <w:vAlign w:val="center"/>
          </w:tcPr>
          <w:p w:rsidR="00600719" w:rsidRPr="000422AF" w:rsidRDefault="00600719" w:rsidP="006D578F">
            <w:pPr>
              <w:jc w:val="right"/>
              <w:rPr>
                <w:rFonts w:ascii="Arial" w:hAnsi="Arial" w:cs="Arial"/>
                <w:sz w:val="16"/>
                <w:szCs w:val="16"/>
              </w:rPr>
            </w:pPr>
            <w:r w:rsidRPr="000422AF">
              <w:rPr>
                <w:rFonts w:ascii="Arial" w:hAnsi="Arial" w:cs="Arial"/>
                <w:sz w:val="16"/>
                <w:szCs w:val="16"/>
              </w:rPr>
              <w:t>-</w:t>
            </w:r>
          </w:p>
        </w:tc>
      </w:tr>
      <w:tr w:rsidR="00600719" w:rsidRPr="000422AF" w:rsidTr="006D578F">
        <w:trPr>
          <w:trHeight w:val="227"/>
        </w:trPr>
        <w:tc>
          <w:tcPr>
            <w:tcW w:w="4376" w:type="dxa"/>
            <w:tcBorders>
              <w:top w:val="nil"/>
              <w:left w:val="nil"/>
              <w:bottom w:val="nil"/>
              <w:right w:val="nil"/>
            </w:tcBorders>
            <w:noWrap/>
            <w:vAlign w:val="bottom"/>
          </w:tcPr>
          <w:p w:rsidR="00600719" w:rsidRPr="000422AF" w:rsidRDefault="00600719" w:rsidP="006D578F">
            <w:pPr>
              <w:rPr>
                <w:rFonts w:ascii="Arial" w:hAnsi="Arial" w:cs="Arial"/>
                <w:sz w:val="16"/>
                <w:szCs w:val="16"/>
              </w:rPr>
            </w:pPr>
            <w:r w:rsidRPr="000422AF">
              <w:rPr>
                <w:rFonts w:ascii="Arial" w:hAnsi="Arial" w:cs="Arial"/>
                <w:sz w:val="16"/>
                <w:szCs w:val="16"/>
              </w:rPr>
              <w:t>Zobowiązania z tytułu leasingu finansowego</w:t>
            </w:r>
          </w:p>
        </w:tc>
        <w:tc>
          <w:tcPr>
            <w:tcW w:w="160" w:type="dxa"/>
            <w:tcBorders>
              <w:top w:val="nil"/>
              <w:left w:val="nil"/>
              <w:bottom w:val="nil"/>
              <w:right w:val="nil"/>
            </w:tcBorders>
            <w:noWrap/>
            <w:vAlign w:val="bottom"/>
          </w:tcPr>
          <w:p w:rsidR="00600719" w:rsidRPr="000422AF" w:rsidRDefault="00600719" w:rsidP="006D578F">
            <w:pPr>
              <w:rPr>
                <w:rFonts w:ascii="Arial" w:hAnsi="Arial" w:cs="Arial"/>
                <w:sz w:val="16"/>
                <w:szCs w:val="16"/>
              </w:rPr>
            </w:pPr>
          </w:p>
        </w:tc>
        <w:tc>
          <w:tcPr>
            <w:tcW w:w="2268" w:type="dxa"/>
            <w:tcBorders>
              <w:top w:val="nil"/>
              <w:left w:val="nil"/>
              <w:bottom w:val="nil"/>
              <w:right w:val="nil"/>
            </w:tcBorders>
            <w:noWrap/>
            <w:vAlign w:val="center"/>
          </w:tcPr>
          <w:p w:rsidR="00600719" w:rsidRPr="000422AF" w:rsidRDefault="00600719" w:rsidP="006D578F">
            <w:pPr>
              <w:jc w:val="right"/>
              <w:rPr>
                <w:rFonts w:ascii="Arial" w:hAnsi="Arial" w:cs="Arial"/>
                <w:sz w:val="16"/>
                <w:szCs w:val="16"/>
              </w:rPr>
            </w:pPr>
            <w:r w:rsidRPr="000422AF">
              <w:rPr>
                <w:rFonts w:ascii="Arial" w:hAnsi="Arial" w:cs="Arial"/>
                <w:sz w:val="16"/>
                <w:szCs w:val="16"/>
              </w:rPr>
              <w:t>4 624</w:t>
            </w:r>
          </w:p>
        </w:tc>
        <w:tc>
          <w:tcPr>
            <w:tcW w:w="2268" w:type="dxa"/>
            <w:tcBorders>
              <w:top w:val="nil"/>
              <w:left w:val="nil"/>
              <w:bottom w:val="nil"/>
              <w:right w:val="nil"/>
            </w:tcBorders>
            <w:vAlign w:val="center"/>
          </w:tcPr>
          <w:p w:rsidR="00600719" w:rsidRPr="000422AF" w:rsidRDefault="00600719" w:rsidP="006D578F">
            <w:pPr>
              <w:jc w:val="right"/>
              <w:rPr>
                <w:rFonts w:ascii="Arial" w:hAnsi="Arial" w:cs="Arial"/>
                <w:sz w:val="16"/>
                <w:szCs w:val="16"/>
              </w:rPr>
            </w:pPr>
            <w:r w:rsidRPr="000422AF">
              <w:rPr>
                <w:rFonts w:ascii="Arial" w:hAnsi="Arial" w:cs="Arial"/>
                <w:sz w:val="16"/>
                <w:szCs w:val="16"/>
              </w:rPr>
              <w:t>4 994</w:t>
            </w:r>
          </w:p>
        </w:tc>
      </w:tr>
      <w:tr w:rsidR="00600719" w:rsidRPr="000422AF" w:rsidTr="006D578F">
        <w:trPr>
          <w:trHeight w:val="227"/>
        </w:trPr>
        <w:tc>
          <w:tcPr>
            <w:tcW w:w="4376" w:type="dxa"/>
            <w:tcBorders>
              <w:top w:val="nil"/>
              <w:left w:val="nil"/>
              <w:bottom w:val="nil"/>
              <w:right w:val="nil"/>
            </w:tcBorders>
            <w:noWrap/>
            <w:vAlign w:val="bottom"/>
          </w:tcPr>
          <w:p w:rsidR="00600719" w:rsidRPr="000422AF" w:rsidRDefault="00600719" w:rsidP="006D578F">
            <w:pPr>
              <w:rPr>
                <w:rFonts w:ascii="Arial" w:hAnsi="Arial" w:cs="Arial"/>
                <w:b/>
                <w:bCs/>
                <w:sz w:val="16"/>
                <w:szCs w:val="16"/>
              </w:rPr>
            </w:pPr>
            <w:r w:rsidRPr="000422AF">
              <w:rPr>
                <w:rFonts w:ascii="Arial" w:hAnsi="Arial" w:cs="Arial"/>
                <w:b/>
                <w:bCs/>
                <w:sz w:val="16"/>
                <w:szCs w:val="16"/>
              </w:rPr>
              <w:t xml:space="preserve">Długoterminowe kredyty, pożyczki i inne zewnętrzne źródła finansowania, razem  </w:t>
            </w:r>
          </w:p>
        </w:tc>
        <w:tc>
          <w:tcPr>
            <w:tcW w:w="160" w:type="dxa"/>
            <w:tcBorders>
              <w:top w:val="nil"/>
              <w:left w:val="nil"/>
              <w:bottom w:val="nil"/>
              <w:right w:val="nil"/>
            </w:tcBorders>
            <w:noWrap/>
            <w:vAlign w:val="bottom"/>
          </w:tcPr>
          <w:p w:rsidR="00600719" w:rsidRPr="000422AF" w:rsidRDefault="00600719" w:rsidP="006D578F">
            <w:pPr>
              <w:rPr>
                <w:rFonts w:ascii="Arial" w:hAnsi="Arial" w:cs="Arial"/>
                <w:sz w:val="16"/>
                <w:szCs w:val="16"/>
              </w:rPr>
            </w:pPr>
          </w:p>
        </w:tc>
        <w:tc>
          <w:tcPr>
            <w:tcW w:w="2268" w:type="dxa"/>
            <w:tcBorders>
              <w:top w:val="nil"/>
              <w:left w:val="nil"/>
              <w:bottom w:val="nil"/>
              <w:right w:val="nil"/>
            </w:tcBorders>
            <w:noWrap/>
            <w:vAlign w:val="center"/>
          </w:tcPr>
          <w:p w:rsidR="00600719" w:rsidRPr="000422AF" w:rsidRDefault="00600719" w:rsidP="006D578F">
            <w:pPr>
              <w:jc w:val="right"/>
              <w:rPr>
                <w:rFonts w:ascii="Arial" w:hAnsi="Arial" w:cs="Arial"/>
                <w:b/>
                <w:sz w:val="16"/>
                <w:szCs w:val="16"/>
              </w:rPr>
            </w:pPr>
            <w:r w:rsidRPr="000422AF">
              <w:rPr>
                <w:rFonts w:ascii="Arial" w:hAnsi="Arial" w:cs="Arial"/>
                <w:b/>
                <w:sz w:val="16"/>
                <w:szCs w:val="16"/>
              </w:rPr>
              <w:t>43 056</w:t>
            </w:r>
          </w:p>
        </w:tc>
        <w:tc>
          <w:tcPr>
            <w:tcW w:w="2268" w:type="dxa"/>
            <w:tcBorders>
              <w:top w:val="nil"/>
              <w:left w:val="nil"/>
              <w:bottom w:val="nil"/>
              <w:right w:val="nil"/>
            </w:tcBorders>
            <w:vAlign w:val="center"/>
          </w:tcPr>
          <w:p w:rsidR="00600719" w:rsidRPr="000422AF" w:rsidRDefault="00600719" w:rsidP="006D578F">
            <w:pPr>
              <w:jc w:val="right"/>
              <w:rPr>
                <w:rFonts w:ascii="Arial" w:hAnsi="Arial" w:cs="Arial"/>
                <w:b/>
                <w:bCs/>
                <w:sz w:val="16"/>
                <w:szCs w:val="16"/>
              </w:rPr>
            </w:pPr>
            <w:r w:rsidRPr="000422AF">
              <w:rPr>
                <w:rFonts w:ascii="Arial" w:hAnsi="Arial" w:cs="Arial"/>
                <w:b/>
                <w:bCs/>
                <w:sz w:val="16"/>
                <w:szCs w:val="16"/>
              </w:rPr>
              <w:t>28 843</w:t>
            </w:r>
          </w:p>
        </w:tc>
      </w:tr>
      <w:tr w:rsidR="00600719" w:rsidRPr="000422AF" w:rsidTr="006D578F">
        <w:trPr>
          <w:trHeight w:val="227"/>
        </w:trPr>
        <w:tc>
          <w:tcPr>
            <w:tcW w:w="4376" w:type="dxa"/>
            <w:tcBorders>
              <w:top w:val="nil"/>
              <w:left w:val="nil"/>
              <w:bottom w:val="nil"/>
              <w:right w:val="nil"/>
            </w:tcBorders>
            <w:noWrap/>
            <w:vAlign w:val="bottom"/>
          </w:tcPr>
          <w:p w:rsidR="00600719" w:rsidRPr="000422AF" w:rsidRDefault="00600719" w:rsidP="006D578F">
            <w:pPr>
              <w:rPr>
                <w:rFonts w:ascii="Arial" w:hAnsi="Arial" w:cs="Arial"/>
                <w:b/>
                <w:bCs/>
                <w:sz w:val="16"/>
                <w:szCs w:val="16"/>
              </w:rPr>
            </w:pPr>
            <w:r w:rsidRPr="000422AF">
              <w:rPr>
                <w:rFonts w:ascii="Arial" w:hAnsi="Arial" w:cs="Arial"/>
                <w:b/>
                <w:bCs/>
                <w:sz w:val="16"/>
                <w:szCs w:val="16"/>
              </w:rPr>
              <w:t>Krótkoterminowe kredyty i pożyczki</w:t>
            </w:r>
          </w:p>
        </w:tc>
        <w:tc>
          <w:tcPr>
            <w:tcW w:w="160" w:type="dxa"/>
            <w:tcBorders>
              <w:top w:val="nil"/>
              <w:left w:val="nil"/>
              <w:bottom w:val="nil"/>
              <w:right w:val="nil"/>
            </w:tcBorders>
            <w:noWrap/>
            <w:vAlign w:val="bottom"/>
          </w:tcPr>
          <w:p w:rsidR="00600719" w:rsidRPr="000422AF" w:rsidRDefault="00600719" w:rsidP="006D578F">
            <w:pPr>
              <w:rPr>
                <w:rFonts w:ascii="Arial" w:hAnsi="Arial" w:cs="Arial"/>
                <w:sz w:val="16"/>
                <w:szCs w:val="16"/>
              </w:rPr>
            </w:pPr>
          </w:p>
        </w:tc>
        <w:tc>
          <w:tcPr>
            <w:tcW w:w="2268" w:type="dxa"/>
            <w:tcBorders>
              <w:top w:val="nil"/>
              <w:left w:val="nil"/>
              <w:bottom w:val="nil"/>
              <w:right w:val="nil"/>
            </w:tcBorders>
            <w:noWrap/>
            <w:vAlign w:val="center"/>
          </w:tcPr>
          <w:p w:rsidR="00600719" w:rsidRPr="000422AF" w:rsidRDefault="00600719" w:rsidP="006D578F">
            <w:pPr>
              <w:jc w:val="right"/>
              <w:rPr>
                <w:rFonts w:ascii="Arial" w:hAnsi="Arial" w:cs="Arial"/>
                <w:b/>
                <w:sz w:val="16"/>
                <w:szCs w:val="16"/>
              </w:rPr>
            </w:pPr>
          </w:p>
        </w:tc>
        <w:tc>
          <w:tcPr>
            <w:tcW w:w="2268" w:type="dxa"/>
            <w:tcBorders>
              <w:top w:val="nil"/>
              <w:left w:val="nil"/>
              <w:bottom w:val="nil"/>
              <w:right w:val="nil"/>
            </w:tcBorders>
            <w:vAlign w:val="center"/>
          </w:tcPr>
          <w:p w:rsidR="00600719" w:rsidRPr="000422AF" w:rsidRDefault="00600719" w:rsidP="006D578F">
            <w:pPr>
              <w:jc w:val="right"/>
              <w:rPr>
                <w:rFonts w:ascii="Arial" w:hAnsi="Arial" w:cs="Arial"/>
                <w:sz w:val="16"/>
                <w:szCs w:val="16"/>
              </w:rPr>
            </w:pPr>
          </w:p>
        </w:tc>
      </w:tr>
      <w:tr w:rsidR="00600719" w:rsidRPr="000422AF" w:rsidTr="006D578F">
        <w:trPr>
          <w:trHeight w:val="227"/>
        </w:trPr>
        <w:tc>
          <w:tcPr>
            <w:tcW w:w="4376" w:type="dxa"/>
            <w:tcBorders>
              <w:top w:val="nil"/>
              <w:left w:val="nil"/>
              <w:right w:val="nil"/>
            </w:tcBorders>
            <w:noWrap/>
            <w:vAlign w:val="bottom"/>
          </w:tcPr>
          <w:p w:rsidR="00600719" w:rsidRPr="000422AF" w:rsidRDefault="00600719" w:rsidP="006D578F">
            <w:pPr>
              <w:rPr>
                <w:rFonts w:ascii="Arial" w:hAnsi="Arial" w:cs="Arial"/>
                <w:sz w:val="16"/>
                <w:szCs w:val="16"/>
              </w:rPr>
            </w:pPr>
            <w:r w:rsidRPr="000422AF">
              <w:rPr>
                <w:rFonts w:ascii="Arial" w:hAnsi="Arial" w:cs="Arial"/>
                <w:sz w:val="16"/>
                <w:szCs w:val="16"/>
              </w:rPr>
              <w:t>Kredyty</w:t>
            </w:r>
          </w:p>
        </w:tc>
        <w:tc>
          <w:tcPr>
            <w:tcW w:w="160" w:type="dxa"/>
            <w:tcBorders>
              <w:top w:val="nil"/>
              <w:left w:val="nil"/>
              <w:right w:val="nil"/>
            </w:tcBorders>
            <w:noWrap/>
            <w:vAlign w:val="bottom"/>
          </w:tcPr>
          <w:p w:rsidR="00600719" w:rsidRPr="000422AF" w:rsidRDefault="00600719" w:rsidP="006D578F">
            <w:pPr>
              <w:rPr>
                <w:rFonts w:ascii="Arial" w:hAnsi="Arial" w:cs="Arial"/>
                <w:sz w:val="16"/>
                <w:szCs w:val="16"/>
              </w:rPr>
            </w:pPr>
          </w:p>
        </w:tc>
        <w:tc>
          <w:tcPr>
            <w:tcW w:w="2268" w:type="dxa"/>
            <w:tcBorders>
              <w:top w:val="nil"/>
              <w:left w:val="nil"/>
              <w:right w:val="nil"/>
            </w:tcBorders>
            <w:noWrap/>
            <w:vAlign w:val="center"/>
          </w:tcPr>
          <w:p w:rsidR="00600719" w:rsidRPr="000422AF" w:rsidRDefault="00600719" w:rsidP="006D578F">
            <w:pPr>
              <w:jc w:val="right"/>
              <w:rPr>
                <w:rFonts w:ascii="Arial" w:hAnsi="Arial" w:cs="Arial"/>
                <w:sz w:val="16"/>
                <w:szCs w:val="16"/>
              </w:rPr>
            </w:pPr>
            <w:r w:rsidRPr="000422AF">
              <w:rPr>
                <w:rFonts w:ascii="Arial" w:hAnsi="Arial" w:cs="Arial"/>
                <w:sz w:val="16"/>
                <w:szCs w:val="16"/>
              </w:rPr>
              <w:t>2 366</w:t>
            </w:r>
          </w:p>
        </w:tc>
        <w:tc>
          <w:tcPr>
            <w:tcW w:w="2268" w:type="dxa"/>
            <w:tcBorders>
              <w:top w:val="nil"/>
              <w:left w:val="nil"/>
              <w:right w:val="nil"/>
            </w:tcBorders>
            <w:vAlign w:val="center"/>
          </w:tcPr>
          <w:p w:rsidR="00600719" w:rsidRPr="000422AF" w:rsidRDefault="00600719" w:rsidP="006D578F">
            <w:pPr>
              <w:jc w:val="right"/>
              <w:rPr>
                <w:rFonts w:ascii="Arial" w:hAnsi="Arial" w:cs="Arial"/>
                <w:sz w:val="16"/>
                <w:szCs w:val="16"/>
              </w:rPr>
            </w:pPr>
            <w:r w:rsidRPr="000422AF">
              <w:rPr>
                <w:rFonts w:ascii="Arial" w:hAnsi="Arial" w:cs="Arial"/>
                <w:sz w:val="16"/>
                <w:szCs w:val="16"/>
              </w:rPr>
              <w:t>1 777</w:t>
            </w:r>
          </w:p>
        </w:tc>
      </w:tr>
      <w:tr w:rsidR="00600719" w:rsidRPr="000422AF" w:rsidTr="006D578F">
        <w:trPr>
          <w:trHeight w:val="227"/>
        </w:trPr>
        <w:tc>
          <w:tcPr>
            <w:tcW w:w="4376" w:type="dxa"/>
            <w:tcBorders>
              <w:top w:val="nil"/>
              <w:left w:val="nil"/>
              <w:bottom w:val="nil"/>
              <w:right w:val="nil"/>
            </w:tcBorders>
            <w:shd w:val="clear" w:color="auto" w:fill="FFFFFF" w:themeFill="background1"/>
            <w:noWrap/>
            <w:vAlign w:val="bottom"/>
          </w:tcPr>
          <w:p w:rsidR="00600719" w:rsidRPr="000422AF" w:rsidRDefault="00600719" w:rsidP="006D578F">
            <w:pPr>
              <w:rPr>
                <w:rFonts w:ascii="Arial" w:hAnsi="Arial" w:cs="Arial"/>
                <w:sz w:val="16"/>
                <w:szCs w:val="16"/>
              </w:rPr>
            </w:pPr>
            <w:r w:rsidRPr="000422AF">
              <w:rPr>
                <w:rFonts w:ascii="Arial" w:hAnsi="Arial" w:cs="Arial"/>
                <w:sz w:val="16"/>
                <w:szCs w:val="16"/>
              </w:rPr>
              <w:t>Pożyczki</w:t>
            </w:r>
          </w:p>
        </w:tc>
        <w:tc>
          <w:tcPr>
            <w:tcW w:w="160" w:type="dxa"/>
            <w:tcBorders>
              <w:top w:val="nil"/>
              <w:left w:val="nil"/>
              <w:bottom w:val="nil"/>
              <w:right w:val="nil"/>
            </w:tcBorders>
            <w:shd w:val="clear" w:color="auto" w:fill="FFFFFF" w:themeFill="background1"/>
            <w:noWrap/>
            <w:vAlign w:val="bottom"/>
          </w:tcPr>
          <w:p w:rsidR="00600719" w:rsidRPr="000422AF" w:rsidRDefault="00600719" w:rsidP="006D578F">
            <w:pPr>
              <w:rPr>
                <w:rFonts w:ascii="Arial" w:hAnsi="Arial" w:cs="Arial"/>
                <w:sz w:val="16"/>
                <w:szCs w:val="16"/>
              </w:rPr>
            </w:pPr>
          </w:p>
        </w:tc>
        <w:tc>
          <w:tcPr>
            <w:tcW w:w="2268" w:type="dxa"/>
            <w:tcBorders>
              <w:top w:val="nil"/>
              <w:left w:val="nil"/>
              <w:bottom w:val="nil"/>
              <w:right w:val="nil"/>
            </w:tcBorders>
            <w:shd w:val="clear" w:color="auto" w:fill="FFFFFF" w:themeFill="background1"/>
            <w:noWrap/>
            <w:vAlign w:val="center"/>
          </w:tcPr>
          <w:p w:rsidR="00600719" w:rsidRPr="000422AF" w:rsidRDefault="00600719" w:rsidP="006D578F">
            <w:pPr>
              <w:jc w:val="right"/>
              <w:rPr>
                <w:rFonts w:ascii="Arial" w:hAnsi="Arial" w:cs="Arial"/>
                <w:sz w:val="16"/>
                <w:szCs w:val="16"/>
              </w:rPr>
            </w:pPr>
            <w:r w:rsidRPr="000422AF">
              <w:rPr>
                <w:rFonts w:ascii="Arial" w:hAnsi="Arial" w:cs="Arial"/>
                <w:sz w:val="16"/>
                <w:szCs w:val="16"/>
              </w:rPr>
              <w:t>217</w:t>
            </w:r>
          </w:p>
        </w:tc>
        <w:tc>
          <w:tcPr>
            <w:tcW w:w="2268" w:type="dxa"/>
            <w:tcBorders>
              <w:top w:val="nil"/>
              <w:left w:val="nil"/>
              <w:bottom w:val="nil"/>
              <w:right w:val="nil"/>
            </w:tcBorders>
            <w:shd w:val="clear" w:color="auto" w:fill="FFFFFF" w:themeFill="background1"/>
            <w:vAlign w:val="center"/>
          </w:tcPr>
          <w:p w:rsidR="00600719" w:rsidRPr="000422AF" w:rsidRDefault="00600719" w:rsidP="006D578F">
            <w:pPr>
              <w:jc w:val="right"/>
              <w:rPr>
                <w:rFonts w:ascii="Arial" w:hAnsi="Arial" w:cs="Arial"/>
                <w:sz w:val="16"/>
                <w:szCs w:val="16"/>
              </w:rPr>
            </w:pPr>
            <w:r>
              <w:rPr>
                <w:rFonts w:ascii="Arial" w:hAnsi="Arial" w:cs="Arial"/>
                <w:sz w:val="16"/>
                <w:szCs w:val="16"/>
              </w:rPr>
              <w:t>-</w:t>
            </w:r>
          </w:p>
        </w:tc>
      </w:tr>
      <w:tr w:rsidR="00600719" w:rsidRPr="000422AF" w:rsidTr="006D578F">
        <w:trPr>
          <w:trHeight w:val="227"/>
        </w:trPr>
        <w:tc>
          <w:tcPr>
            <w:tcW w:w="4376" w:type="dxa"/>
            <w:tcBorders>
              <w:top w:val="nil"/>
              <w:left w:val="nil"/>
              <w:bottom w:val="nil"/>
              <w:right w:val="nil"/>
            </w:tcBorders>
            <w:shd w:val="clear" w:color="auto" w:fill="FFFFFF" w:themeFill="background1"/>
            <w:noWrap/>
            <w:vAlign w:val="bottom"/>
          </w:tcPr>
          <w:p w:rsidR="00600719" w:rsidRPr="000422AF" w:rsidRDefault="00600719" w:rsidP="006D578F">
            <w:pPr>
              <w:rPr>
                <w:rFonts w:ascii="Arial" w:hAnsi="Arial" w:cs="Arial"/>
                <w:sz w:val="16"/>
                <w:szCs w:val="16"/>
              </w:rPr>
            </w:pPr>
            <w:r w:rsidRPr="000422AF">
              <w:rPr>
                <w:rFonts w:ascii="Arial" w:hAnsi="Arial" w:cs="Arial"/>
                <w:sz w:val="16"/>
                <w:szCs w:val="16"/>
              </w:rPr>
              <w:t>Zobowiązania z tytułu leasingu finansowego</w:t>
            </w:r>
          </w:p>
        </w:tc>
        <w:tc>
          <w:tcPr>
            <w:tcW w:w="160" w:type="dxa"/>
            <w:tcBorders>
              <w:top w:val="nil"/>
              <w:left w:val="nil"/>
              <w:bottom w:val="nil"/>
              <w:right w:val="nil"/>
            </w:tcBorders>
            <w:shd w:val="clear" w:color="auto" w:fill="FFFFFF" w:themeFill="background1"/>
            <w:noWrap/>
            <w:vAlign w:val="bottom"/>
          </w:tcPr>
          <w:p w:rsidR="00600719" w:rsidRPr="000422AF" w:rsidRDefault="00600719" w:rsidP="006D578F">
            <w:pPr>
              <w:rPr>
                <w:rFonts w:ascii="Arial" w:hAnsi="Arial" w:cs="Arial"/>
                <w:sz w:val="16"/>
                <w:szCs w:val="16"/>
              </w:rPr>
            </w:pPr>
          </w:p>
        </w:tc>
        <w:tc>
          <w:tcPr>
            <w:tcW w:w="2268" w:type="dxa"/>
            <w:tcBorders>
              <w:top w:val="nil"/>
              <w:left w:val="nil"/>
              <w:bottom w:val="nil"/>
              <w:right w:val="nil"/>
            </w:tcBorders>
            <w:shd w:val="clear" w:color="auto" w:fill="FFFFFF" w:themeFill="background1"/>
            <w:noWrap/>
            <w:vAlign w:val="center"/>
          </w:tcPr>
          <w:p w:rsidR="00600719" w:rsidRPr="000422AF" w:rsidRDefault="00600719" w:rsidP="006D578F">
            <w:pPr>
              <w:jc w:val="right"/>
              <w:rPr>
                <w:rFonts w:ascii="Arial" w:hAnsi="Arial" w:cs="Arial"/>
                <w:sz w:val="16"/>
                <w:szCs w:val="16"/>
              </w:rPr>
            </w:pPr>
            <w:r w:rsidRPr="000422AF">
              <w:rPr>
                <w:rFonts w:ascii="Arial" w:hAnsi="Arial" w:cs="Arial"/>
                <w:sz w:val="16"/>
                <w:szCs w:val="16"/>
              </w:rPr>
              <w:t>479</w:t>
            </w:r>
          </w:p>
        </w:tc>
        <w:tc>
          <w:tcPr>
            <w:tcW w:w="2268" w:type="dxa"/>
            <w:tcBorders>
              <w:top w:val="nil"/>
              <w:left w:val="nil"/>
              <w:bottom w:val="nil"/>
              <w:right w:val="nil"/>
            </w:tcBorders>
            <w:shd w:val="clear" w:color="auto" w:fill="FFFFFF" w:themeFill="background1"/>
            <w:vAlign w:val="center"/>
          </w:tcPr>
          <w:p w:rsidR="00600719" w:rsidRPr="000422AF" w:rsidRDefault="00600719" w:rsidP="006D578F">
            <w:pPr>
              <w:jc w:val="right"/>
              <w:rPr>
                <w:rFonts w:ascii="Arial" w:hAnsi="Arial" w:cs="Arial"/>
                <w:sz w:val="16"/>
                <w:szCs w:val="16"/>
              </w:rPr>
            </w:pPr>
            <w:r w:rsidRPr="000422AF">
              <w:rPr>
                <w:rFonts w:ascii="Arial" w:hAnsi="Arial" w:cs="Arial"/>
                <w:sz w:val="16"/>
                <w:szCs w:val="16"/>
              </w:rPr>
              <w:t>490</w:t>
            </w:r>
          </w:p>
        </w:tc>
      </w:tr>
      <w:tr w:rsidR="00600719" w:rsidRPr="000422AF" w:rsidTr="006D578F">
        <w:trPr>
          <w:trHeight w:val="227"/>
        </w:trPr>
        <w:tc>
          <w:tcPr>
            <w:tcW w:w="4376" w:type="dxa"/>
            <w:tcBorders>
              <w:top w:val="nil"/>
              <w:left w:val="nil"/>
              <w:right w:val="nil"/>
            </w:tcBorders>
            <w:shd w:val="clear" w:color="auto" w:fill="FFFFFF" w:themeFill="background1"/>
            <w:noWrap/>
            <w:vAlign w:val="bottom"/>
          </w:tcPr>
          <w:p w:rsidR="00600719" w:rsidRPr="000422AF" w:rsidRDefault="00600719" w:rsidP="006D578F">
            <w:pPr>
              <w:rPr>
                <w:rFonts w:ascii="Arial" w:hAnsi="Arial" w:cs="Arial"/>
                <w:sz w:val="16"/>
                <w:szCs w:val="16"/>
              </w:rPr>
            </w:pPr>
            <w:r w:rsidRPr="000422AF">
              <w:rPr>
                <w:rFonts w:ascii="Arial" w:hAnsi="Arial" w:cs="Arial"/>
                <w:sz w:val="16"/>
                <w:szCs w:val="16"/>
              </w:rPr>
              <w:t>Kredyty w rachunku bieżącym</w:t>
            </w:r>
          </w:p>
        </w:tc>
        <w:tc>
          <w:tcPr>
            <w:tcW w:w="160" w:type="dxa"/>
            <w:tcBorders>
              <w:top w:val="nil"/>
              <w:left w:val="nil"/>
              <w:right w:val="nil"/>
            </w:tcBorders>
            <w:shd w:val="clear" w:color="auto" w:fill="FFFFFF" w:themeFill="background1"/>
            <w:noWrap/>
            <w:vAlign w:val="bottom"/>
          </w:tcPr>
          <w:p w:rsidR="00600719" w:rsidRPr="000422AF" w:rsidRDefault="00600719" w:rsidP="006D578F">
            <w:pPr>
              <w:rPr>
                <w:rFonts w:ascii="Arial" w:hAnsi="Arial" w:cs="Arial"/>
                <w:sz w:val="16"/>
                <w:szCs w:val="16"/>
              </w:rPr>
            </w:pPr>
          </w:p>
        </w:tc>
        <w:tc>
          <w:tcPr>
            <w:tcW w:w="2268" w:type="dxa"/>
            <w:tcBorders>
              <w:top w:val="nil"/>
              <w:left w:val="nil"/>
              <w:right w:val="nil"/>
            </w:tcBorders>
            <w:shd w:val="clear" w:color="auto" w:fill="FFFFFF" w:themeFill="background1"/>
            <w:noWrap/>
            <w:vAlign w:val="center"/>
          </w:tcPr>
          <w:p w:rsidR="00600719" w:rsidRPr="000422AF" w:rsidRDefault="00600719" w:rsidP="006D578F">
            <w:pPr>
              <w:jc w:val="right"/>
              <w:rPr>
                <w:rFonts w:ascii="Arial" w:hAnsi="Arial" w:cs="Arial"/>
                <w:sz w:val="16"/>
                <w:szCs w:val="16"/>
              </w:rPr>
            </w:pPr>
            <w:r w:rsidRPr="000422AF">
              <w:rPr>
                <w:rFonts w:ascii="Arial" w:hAnsi="Arial" w:cs="Arial"/>
                <w:sz w:val="16"/>
                <w:szCs w:val="16"/>
              </w:rPr>
              <w:t>-</w:t>
            </w:r>
          </w:p>
        </w:tc>
        <w:tc>
          <w:tcPr>
            <w:tcW w:w="2268" w:type="dxa"/>
            <w:tcBorders>
              <w:top w:val="nil"/>
              <w:left w:val="nil"/>
              <w:right w:val="nil"/>
            </w:tcBorders>
            <w:shd w:val="clear" w:color="auto" w:fill="FFFFFF" w:themeFill="background1"/>
            <w:vAlign w:val="center"/>
          </w:tcPr>
          <w:p w:rsidR="00600719" w:rsidRPr="000422AF" w:rsidRDefault="00600719" w:rsidP="006D578F">
            <w:pPr>
              <w:jc w:val="right"/>
              <w:rPr>
                <w:rFonts w:ascii="Arial" w:hAnsi="Arial" w:cs="Arial"/>
                <w:sz w:val="16"/>
                <w:szCs w:val="16"/>
              </w:rPr>
            </w:pPr>
            <w:r w:rsidRPr="000422AF">
              <w:rPr>
                <w:rFonts w:ascii="Arial" w:hAnsi="Arial" w:cs="Arial"/>
                <w:sz w:val="16"/>
                <w:szCs w:val="16"/>
              </w:rPr>
              <w:t xml:space="preserve"> -</w:t>
            </w:r>
          </w:p>
        </w:tc>
      </w:tr>
      <w:tr w:rsidR="00600719" w:rsidRPr="000422AF" w:rsidTr="006D578F">
        <w:trPr>
          <w:trHeight w:val="227"/>
        </w:trPr>
        <w:tc>
          <w:tcPr>
            <w:tcW w:w="4376" w:type="dxa"/>
            <w:tcBorders>
              <w:top w:val="nil"/>
              <w:left w:val="nil"/>
              <w:bottom w:val="nil"/>
              <w:right w:val="nil"/>
            </w:tcBorders>
            <w:shd w:val="clear" w:color="auto" w:fill="FFFFFF" w:themeFill="background1"/>
            <w:noWrap/>
            <w:vAlign w:val="bottom"/>
          </w:tcPr>
          <w:p w:rsidR="00600719" w:rsidRPr="000422AF" w:rsidRDefault="00600719" w:rsidP="006D578F">
            <w:pPr>
              <w:rPr>
                <w:rFonts w:ascii="Arial" w:hAnsi="Arial" w:cs="Arial"/>
                <w:sz w:val="16"/>
                <w:szCs w:val="16"/>
              </w:rPr>
            </w:pPr>
            <w:r w:rsidRPr="000422AF">
              <w:rPr>
                <w:rFonts w:ascii="Arial" w:hAnsi="Arial" w:cs="Arial"/>
                <w:sz w:val="16"/>
                <w:szCs w:val="16"/>
              </w:rPr>
              <w:t xml:space="preserve">Kredyt dzienny w </w:t>
            </w:r>
            <w:proofErr w:type="spellStart"/>
            <w:r w:rsidRPr="000422AF">
              <w:rPr>
                <w:rFonts w:ascii="Arial" w:hAnsi="Arial" w:cs="Arial"/>
                <w:sz w:val="16"/>
                <w:szCs w:val="16"/>
              </w:rPr>
              <w:t>cashpoolingu</w:t>
            </w:r>
            <w:proofErr w:type="spellEnd"/>
          </w:p>
        </w:tc>
        <w:tc>
          <w:tcPr>
            <w:tcW w:w="160" w:type="dxa"/>
            <w:tcBorders>
              <w:top w:val="nil"/>
              <w:left w:val="nil"/>
              <w:bottom w:val="nil"/>
              <w:right w:val="nil"/>
            </w:tcBorders>
            <w:shd w:val="clear" w:color="auto" w:fill="FFFFFF" w:themeFill="background1"/>
            <w:noWrap/>
            <w:vAlign w:val="bottom"/>
          </w:tcPr>
          <w:p w:rsidR="00600719" w:rsidRPr="000422AF" w:rsidRDefault="00600719" w:rsidP="006D578F">
            <w:pPr>
              <w:rPr>
                <w:rFonts w:ascii="Arial" w:hAnsi="Arial" w:cs="Arial"/>
                <w:sz w:val="16"/>
                <w:szCs w:val="16"/>
              </w:rPr>
            </w:pPr>
          </w:p>
        </w:tc>
        <w:tc>
          <w:tcPr>
            <w:tcW w:w="2268" w:type="dxa"/>
            <w:tcBorders>
              <w:top w:val="nil"/>
              <w:left w:val="nil"/>
              <w:bottom w:val="nil"/>
              <w:right w:val="nil"/>
            </w:tcBorders>
            <w:shd w:val="clear" w:color="auto" w:fill="FFFFFF" w:themeFill="background1"/>
            <w:noWrap/>
            <w:vAlign w:val="center"/>
          </w:tcPr>
          <w:p w:rsidR="00600719" w:rsidRPr="000422AF" w:rsidRDefault="00600719" w:rsidP="006D578F">
            <w:pPr>
              <w:jc w:val="right"/>
              <w:rPr>
                <w:rFonts w:ascii="Arial" w:hAnsi="Arial" w:cs="Arial"/>
                <w:sz w:val="16"/>
                <w:szCs w:val="16"/>
              </w:rPr>
            </w:pPr>
            <w:r w:rsidRPr="000422AF">
              <w:rPr>
                <w:rFonts w:ascii="Arial" w:hAnsi="Arial" w:cs="Arial"/>
                <w:sz w:val="16"/>
                <w:szCs w:val="16"/>
              </w:rPr>
              <w:t>-</w:t>
            </w:r>
          </w:p>
        </w:tc>
        <w:tc>
          <w:tcPr>
            <w:tcW w:w="2268" w:type="dxa"/>
            <w:tcBorders>
              <w:top w:val="nil"/>
              <w:left w:val="nil"/>
              <w:bottom w:val="nil"/>
              <w:right w:val="nil"/>
            </w:tcBorders>
            <w:shd w:val="clear" w:color="auto" w:fill="FFFFFF" w:themeFill="background1"/>
            <w:vAlign w:val="center"/>
          </w:tcPr>
          <w:p w:rsidR="00600719" w:rsidRPr="000422AF" w:rsidRDefault="00600719" w:rsidP="006D578F">
            <w:pPr>
              <w:jc w:val="right"/>
              <w:rPr>
                <w:rFonts w:ascii="Arial" w:hAnsi="Arial" w:cs="Arial"/>
                <w:sz w:val="16"/>
                <w:szCs w:val="16"/>
              </w:rPr>
            </w:pPr>
            <w:r w:rsidRPr="000422AF">
              <w:rPr>
                <w:rFonts w:ascii="Arial" w:hAnsi="Arial" w:cs="Arial"/>
                <w:sz w:val="16"/>
                <w:szCs w:val="16"/>
              </w:rPr>
              <w:t>3 240</w:t>
            </w:r>
          </w:p>
        </w:tc>
      </w:tr>
      <w:tr w:rsidR="00600719" w:rsidRPr="000422AF" w:rsidTr="006D578F">
        <w:trPr>
          <w:trHeight w:val="227"/>
        </w:trPr>
        <w:tc>
          <w:tcPr>
            <w:tcW w:w="4376" w:type="dxa"/>
            <w:tcBorders>
              <w:top w:val="nil"/>
              <w:left w:val="nil"/>
              <w:bottom w:val="nil"/>
              <w:right w:val="nil"/>
            </w:tcBorders>
            <w:noWrap/>
            <w:vAlign w:val="bottom"/>
          </w:tcPr>
          <w:p w:rsidR="00600719" w:rsidRPr="000422AF" w:rsidRDefault="00600719" w:rsidP="006D578F">
            <w:pPr>
              <w:rPr>
                <w:rFonts w:ascii="Arial" w:hAnsi="Arial" w:cs="Arial"/>
                <w:b/>
                <w:bCs/>
                <w:sz w:val="16"/>
                <w:szCs w:val="16"/>
              </w:rPr>
            </w:pPr>
            <w:r w:rsidRPr="000422AF">
              <w:rPr>
                <w:rFonts w:ascii="Arial" w:hAnsi="Arial" w:cs="Arial"/>
                <w:b/>
                <w:bCs/>
                <w:sz w:val="16"/>
                <w:szCs w:val="16"/>
              </w:rPr>
              <w:t>Krótkoterminowe kredyty,  pożyczki i inne zewnętrzne źródła finansowania, razem</w:t>
            </w:r>
          </w:p>
        </w:tc>
        <w:tc>
          <w:tcPr>
            <w:tcW w:w="160" w:type="dxa"/>
            <w:tcBorders>
              <w:top w:val="nil"/>
              <w:left w:val="nil"/>
              <w:bottom w:val="nil"/>
              <w:right w:val="nil"/>
            </w:tcBorders>
            <w:noWrap/>
            <w:vAlign w:val="bottom"/>
          </w:tcPr>
          <w:p w:rsidR="00600719" w:rsidRPr="000422AF" w:rsidRDefault="00600719" w:rsidP="006D578F">
            <w:pPr>
              <w:rPr>
                <w:rFonts w:ascii="Arial" w:hAnsi="Arial" w:cs="Arial"/>
                <w:sz w:val="16"/>
                <w:szCs w:val="16"/>
              </w:rPr>
            </w:pPr>
          </w:p>
        </w:tc>
        <w:tc>
          <w:tcPr>
            <w:tcW w:w="2268" w:type="dxa"/>
            <w:tcBorders>
              <w:top w:val="nil"/>
              <w:left w:val="nil"/>
              <w:bottom w:val="nil"/>
              <w:right w:val="nil"/>
            </w:tcBorders>
            <w:noWrap/>
            <w:vAlign w:val="center"/>
          </w:tcPr>
          <w:p w:rsidR="00600719" w:rsidRPr="000422AF" w:rsidRDefault="00600719" w:rsidP="006D578F">
            <w:pPr>
              <w:jc w:val="right"/>
              <w:rPr>
                <w:rFonts w:ascii="Arial" w:hAnsi="Arial" w:cs="Arial"/>
                <w:b/>
                <w:sz w:val="16"/>
                <w:szCs w:val="16"/>
              </w:rPr>
            </w:pPr>
            <w:r w:rsidRPr="000422AF">
              <w:rPr>
                <w:rFonts w:ascii="Arial" w:hAnsi="Arial" w:cs="Arial"/>
                <w:b/>
                <w:sz w:val="16"/>
                <w:szCs w:val="16"/>
              </w:rPr>
              <w:t>3 062</w:t>
            </w:r>
          </w:p>
        </w:tc>
        <w:tc>
          <w:tcPr>
            <w:tcW w:w="2268" w:type="dxa"/>
            <w:tcBorders>
              <w:top w:val="nil"/>
              <w:left w:val="nil"/>
              <w:bottom w:val="nil"/>
              <w:right w:val="nil"/>
            </w:tcBorders>
            <w:vAlign w:val="center"/>
          </w:tcPr>
          <w:p w:rsidR="00600719" w:rsidRPr="000422AF" w:rsidRDefault="00600719" w:rsidP="006D578F">
            <w:pPr>
              <w:jc w:val="right"/>
              <w:rPr>
                <w:rFonts w:ascii="Arial" w:hAnsi="Arial" w:cs="Arial"/>
                <w:b/>
                <w:bCs/>
                <w:sz w:val="16"/>
                <w:szCs w:val="16"/>
              </w:rPr>
            </w:pPr>
          </w:p>
          <w:p w:rsidR="00600719" w:rsidRPr="000422AF" w:rsidRDefault="00600719" w:rsidP="006D578F">
            <w:pPr>
              <w:jc w:val="right"/>
              <w:rPr>
                <w:rFonts w:ascii="Arial" w:hAnsi="Arial" w:cs="Arial"/>
                <w:b/>
                <w:bCs/>
                <w:sz w:val="16"/>
                <w:szCs w:val="16"/>
              </w:rPr>
            </w:pPr>
            <w:r w:rsidRPr="000422AF">
              <w:rPr>
                <w:rFonts w:ascii="Arial" w:hAnsi="Arial" w:cs="Arial"/>
                <w:b/>
                <w:bCs/>
                <w:sz w:val="16"/>
                <w:szCs w:val="16"/>
              </w:rPr>
              <w:t>5 507</w:t>
            </w:r>
          </w:p>
        </w:tc>
      </w:tr>
      <w:tr w:rsidR="00600719" w:rsidRPr="000422AF" w:rsidTr="006D578F">
        <w:trPr>
          <w:trHeight w:val="227"/>
        </w:trPr>
        <w:tc>
          <w:tcPr>
            <w:tcW w:w="4376" w:type="dxa"/>
            <w:tcBorders>
              <w:top w:val="nil"/>
              <w:left w:val="nil"/>
              <w:bottom w:val="nil"/>
              <w:right w:val="nil"/>
            </w:tcBorders>
            <w:noWrap/>
            <w:vAlign w:val="bottom"/>
          </w:tcPr>
          <w:p w:rsidR="00600719" w:rsidRPr="000422AF" w:rsidRDefault="00600719" w:rsidP="006D578F">
            <w:pPr>
              <w:rPr>
                <w:rFonts w:ascii="Arial" w:hAnsi="Arial" w:cs="Arial"/>
                <w:sz w:val="16"/>
                <w:szCs w:val="16"/>
              </w:rPr>
            </w:pPr>
          </w:p>
        </w:tc>
        <w:tc>
          <w:tcPr>
            <w:tcW w:w="160" w:type="dxa"/>
            <w:tcBorders>
              <w:top w:val="nil"/>
              <w:left w:val="nil"/>
              <w:bottom w:val="nil"/>
              <w:right w:val="nil"/>
            </w:tcBorders>
            <w:noWrap/>
            <w:vAlign w:val="bottom"/>
          </w:tcPr>
          <w:p w:rsidR="00600719" w:rsidRPr="000422AF" w:rsidRDefault="00600719" w:rsidP="006D578F">
            <w:pPr>
              <w:rPr>
                <w:rFonts w:ascii="Arial" w:hAnsi="Arial" w:cs="Arial"/>
                <w:sz w:val="16"/>
                <w:szCs w:val="16"/>
              </w:rPr>
            </w:pPr>
          </w:p>
        </w:tc>
        <w:tc>
          <w:tcPr>
            <w:tcW w:w="2268" w:type="dxa"/>
            <w:tcBorders>
              <w:top w:val="nil"/>
              <w:left w:val="nil"/>
              <w:bottom w:val="nil"/>
              <w:right w:val="nil"/>
            </w:tcBorders>
            <w:noWrap/>
            <w:vAlign w:val="center"/>
          </w:tcPr>
          <w:p w:rsidR="00600719" w:rsidRPr="000422AF" w:rsidRDefault="00600719" w:rsidP="006D578F">
            <w:pPr>
              <w:jc w:val="right"/>
              <w:rPr>
                <w:rFonts w:ascii="Arial" w:hAnsi="Arial" w:cs="Arial"/>
                <w:sz w:val="16"/>
                <w:szCs w:val="16"/>
              </w:rPr>
            </w:pPr>
          </w:p>
        </w:tc>
        <w:tc>
          <w:tcPr>
            <w:tcW w:w="2268" w:type="dxa"/>
            <w:tcBorders>
              <w:top w:val="nil"/>
              <w:left w:val="nil"/>
              <w:bottom w:val="nil"/>
              <w:right w:val="nil"/>
            </w:tcBorders>
            <w:vAlign w:val="center"/>
          </w:tcPr>
          <w:p w:rsidR="00600719" w:rsidRPr="000422AF" w:rsidRDefault="00600719" w:rsidP="006D578F">
            <w:pPr>
              <w:jc w:val="right"/>
              <w:rPr>
                <w:rFonts w:ascii="Arial" w:hAnsi="Arial" w:cs="Arial"/>
                <w:sz w:val="16"/>
                <w:szCs w:val="16"/>
              </w:rPr>
            </w:pPr>
          </w:p>
        </w:tc>
      </w:tr>
      <w:tr w:rsidR="00600719" w:rsidRPr="00FB5980" w:rsidTr="006D578F">
        <w:trPr>
          <w:trHeight w:val="227"/>
        </w:trPr>
        <w:tc>
          <w:tcPr>
            <w:tcW w:w="4376" w:type="dxa"/>
            <w:tcBorders>
              <w:top w:val="nil"/>
              <w:left w:val="nil"/>
              <w:bottom w:val="nil"/>
              <w:right w:val="nil"/>
            </w:tcBorders>
            <w:noWrap/>
            <w:vAlign w:val="bottom"/>
          </w:tcPr>
          <w:p w:rsidR="00600719" w:rsidRPr="000422AF" w:rsidRDefault="00600719" w:rsidP="006D578F">
            <w:pPr>
              <w:rPr>
                <w:rFonts w:ascii="Arial" w:hAnsi="Arial" w:cs="Arial"/>
                <w:b/>
                <w:bCs/>
                <w:sz w:val="16"/>
                <w:szCs w:val="16"/>
              </w:rPr>
            </w:pPr>
            <w:r w:rsidRPr="000422AF">
              <w:rPr>
                <w:rFonts w:ascii="Arial" w:hAnsi="Arial" w:cs="Arial"/>
                <w:b/>
                <w:bCs/>
                <w:sz w:val="16"/>
                <w:szCs w:val="16"/>
              </w:rPr>
              <w:t>Kredyty i pożyczki, razem</w:t>
            </w:r>
          </w:p>
        </w:tc>
        <w:tc>
          <w:tcPr>
            <w:tcW w:w="160" w:type="dxa"/>
            <w:tcBorders>
              <w:top w:val="nil"/>
              <w:left w:val="nil"/>
              <w:bottom w:val="nil"/>
              <w:right w:val="nil"/>
            </w:tcBorders>
            <w:noWrap/>
            <w:vAlign w:val="bottom"/>
          </w:tcPr>
          <w:p w:rsidR="00600719" w:rsidRPr="000422AF" w:rsidRDefault="00600719" w:rsidP="006D578F">
            <w:pPr>
              <w:rPr>
                <w:rFonts w:ascii="Arial" w:hAnsi="Arial" w:cs="Arial"/>
                <w:sz w:val="16"/>
                <w:szCs w:val="16"/>
              </w:rPr>
            </w:pPr>
          </w:p>
        </w:tc>
        <w:tc>
          <w:tcPr>
            <w:tcW w:w="2268" w:type="dxa"/>
            <w:tcBorders>
              <w:top w:val="single" w:sz="8" w:space="0" w:color="auto"/>
              <w:left w:val="nil"/>
              <w:bottom w:val="single" w:sz="8" w:space="0" w:color="auto"/>
              <w:right w:val="nil"/>
            </w:tcBorders>
            <w:noWrap/>
            <w:vAlign w:val="center"/>
          </w:tcPr>
          <w:p w:rsidR="00600719" w:rsidRPr="000422AF" w:rsidRDefault="00600719" w:rsidP="006D578F">
            <w:pPr>
              <w:jc w:val="right"/>
              <w:rPr>
                <w:rFonts w:ascii="Arial" w:hAnsi="Arial" w:cs="Arial"/>
                <w:b/>
                <w:sz w:val="16"/>
                <w:szCs w:val="16"/>
              </w:rPr>
            </w:pPr>
            <w:r w:rsidRPr="000422AF">
              <w:rPr>
                <w:rFonts w:ascii="Arial" w:hAnsi="Arial" w:cs="Arial"/>
                <w:b/>
                <w:sz w:val="16"/>
                <w:szCs w:val="16"/>
              </w:rPr>
              <w:t>46 118</w:t>
            </w:r>
          </w:p>
        </w:tc>
        <w:tc>
          <w:tcPr>
            <w:tcW w:w="2268" w:type="dxa"/>
            <w:tcBorders>
              <w:top w:val="single" w:sz="8" w:space="0" w:color="auto"/>
              <w:left w:val="nil"/>
              <w:bottom w:val="single" w:sz="8" w:space="0" w:color="auto"/>
              <w:right w:val="nil"/>
            </w:tcBorders>
            <w:vAlign w:val="center"/>
          </w:tcPr>
          <w:p w:rsidR="00600719" w:rsidRPr="00FB5980" w:rsidRDefault="00600719" w:rsidP="006D578F">
            <w:pPr>
              <w:jc w:val="right"/>
              <w:rPr>
                <w:rFonts w:ascii="Arial" w:hAnsi="Arial" w:cs="Arial"/>
                <w:b/>
                <w:bCs/>
                <w:sz w:val="16"/>
                <w:szCs w:val="16"/>
              </w:rPr>
            </w:pPr>
            <w:r w:rsidRPr="000422AF">
              <w:rPr>
                <w:rFonts w:ascii="Arial" w:hAnsi="Arial" w:cs="Arial"/>
                <w:b/>
                <w:bCs/>
                <w:sz w:val="16"/>
                <w:szCs w:val="16"/>
              </w:rPr>
              <w:t>34 350</w:t>
            </w:r>
          </w:p>
        </w:tc>
      </w:tr>
    </w:tbl>
    <w:p w:rsidR="00600719" w:rsidRDefault="00600719" w:rsidP="00600719">
      <w:pPr>
        <w:tabs>
          <w:tab w:val="left" w:pos="540"/>
        </w:tabs>
        <w:spacing w:line="260" w:lineRule="exact"/>
        <w:jc w:val="both"/>
        <w:rPr>
          <w:rFonts w:ascii="Arial" w:hAnsi="Arial" w:cs="Arial"/>
          <w:b/>
          <w:sz w:val="18"/>
          <w:szCs w:val="18"/>
        </w:rPr>
      </w:pPr>
    </w:p>
    <w:p w:rsidR="00600719" w:rsidRDefault="00600719" w:rsidP="00600719">
      <w:pPr>
        <w:tabs>
          <w:tab w:val="left" w:pos="540"/>
        </w:tabs>
        <w:spacing w:line="260" w:lineRule="exact"/>
        <w:jc w:val="both"/>
        <w:rPr>
          <w:rFonts w:ascii="Arial" w:hAnsi="Arial" w:cs="Arial"/>
          <w:b/>
          <w:sz w:val="18"/>
          <w:szCs w:val="18"/>
        </w:rPr>
      </w:pPr>
    </w:p>
    <w:p w:rsidR="00600719" w:rsidRDefault="00600719" w:rsidP="00600719">
      <w:pPr>
        <w:rPr>
          <w:rFonts w:ascii="Arial" w:hAnsi="Arial" w:cs="Arial"/>
          <w:b/>
          <w:sz w:val="18"/>
          <w:szCs w:val="18"/>
        </w:rPr>
      </w:pPr>
      <w:r w:rsidRPr="002D1A56">
        <w:rPr>
          <w:rFonts w:ascii="Arial" w:hAnsi="Arial" w:cs="Arial"/>
          <w:b/>
          <w:sz w:val="18"/>
          <w:szCs w:val="18"/>
        </w:rPr>
        <w:t>Opis zawartych umów kredytowych:</w:t>
      </w:r>
    </w:p>
    <w:p w:rsidR="00600719" w:rsidRPr="002D1A56" w:rsidRDefault="00600719" w:rsidP="00600719">
      <w:pPr>
        <w:rPr>
          <w:rFonts w:ascii="Arial" w:hAnsi="Arial" w:cs="Arial"/>
          <w:b/>
          <w:sz w:val="18"/>
          <w:szCs w:val="18"/>
        </w:rPr>
      </w:pPr>
    </w:p>
    <w:p w:rsidR="00600719" w:rsidRPr="00F76F93" w:rsidRDefault="00600719" w:rsidP="00600719">
      <w:pPr>
        <w:jc w:val="both"/>
        <w:rPr>
          <w:rFonts w:ascii="Arial" w:hAnsi="Arial" w:cs="Arial"/>
          <w:bCs/>
          <w:sz w:val="18"/>
          <w:szCs w:val="18"/>
        </w:rPr>
      </w:pPr>
      <w:r w:rsidRPr="00F76F93">
        <w:rPr>
          <w:rFonts w:ascii="Arial" w:hAnsi="Arial" w:cs="Arial"/>
          <w:bCs/>
          <w:sz w:val="18"/>
          <w:szCs w:val="18"/>
        </w:rPr>
        <w:t>Dnia 08 marca 2016 roku została zawarta Umowa Kredytowa pomiędzy Bankiem Pekao S.A., Interferie Medical SPA Spółka z o.o. oraz INTERFERIE S.A. Celem Umowy Kredytowej było refinansowanie dotychczasowych zadłużeń obu Spółek oraz udzielenie INTERFERIE S.A. kredytów inwestycyjnych.</w:t>
      </w:r>
    </w:p>
    <w:p w:rsidR="00600719" w:rsidRPr="00F76F93" w:rsidRDefault="00600719" w:rsidP="00600719">
      <w:pPr>
        <w:jc w:val="both"/>
        <w:rPr>
          <w:rFonts w:ascii="Arial" w:hAnsi="Arial" w:cs="Arial"/>
          <w:bCs/>
          <w:sz w:val="18"/>
          <w:szCs w:val="18"/>
        </w:rPr>
      </w:pPr>
    </w:p>
    <w:p w:rsidR="00600719" w:rsidRPr="00F76F93" w:rsidRDefault="00600719" w:rsidP="00600719">
      <w:pPr>
        <w:jc w:val="both"/>
        <w:rPr>
          <w:rFonts w:ascii="Arial" w:hAnsi="Arial" w:cs="Arial"/>
          <w:bCs/>
          <w:sz w:val="18"/>
          <w:szCs w:val="18"/>
        </w:rPr>
      </w:pPr>
      <w:r w:rsidRPr="00F76F93">
        <w:rPr>
          <w:rFonts w:ascii="Arial" w:hAnsi="Arial" w:cs="Arial"/>
          <w:bCs/>
          <w:sz w:val="18"/>
          <w:szCs w:val="18"/>
        </w:rPr>
        <w:t>Umowa Kredytowa przewiduje udostępnienie Kredytobiorcom następujących kredytów:</w:t>
      </w:r>
    </w:p>
    <w:p w:rsidR="00600719" w:rsidRPr="00F76F93" w:rsidRDefault="00600719" w:rsidP="00600719">
      <w:pPr>
        <w:numPr>
          <w:ilvl w:val="0"/>
          <w:numId w:val="32"/>
        </w:numPr>
        <w:ind w:left="851" w:hanging="284"/>
        <w:jc w:val="both"/>
        <w:rPr>
          <w:rFonts w:ascii="Arial" w:hAnsi="Arial" w:cs="Arial"/>
          <w:bCs/>
          <w:sz w:val="18"/>
          <w:szCs w:val="18"/>
        </w:rPr>
      </w:pPr>
      <w:r w:rsidRPr="00F76F93">
        <w:rPr>
          <w:rFonts w:ascii="Arial" w:hAnsi="Arial" w:cs="Arial"/>
          <w:bCs/>
          <w:sz w:val="18"/>
          <w:szCs w:val="18"/>
        </w:rPr>
        <w:t>Kredyt A, w rachunku bieżącym udzielony INTERFERIE S.A. do maksymalnej wysokości 3.000.000,00 PLN z terminem spłaty do 30 czerwca 2019 roku ( Spółka nie odnowiła kredytu );</w:t>
      </w:r>
    </w:p>
    <w:p w:rsidR="00600719" w:rsidRPr="00F76F93" w:rsidRDefault="00600719" w:rsidP="00600719">
      <w:pPr>
        <w:numPr>
          <w:ilvl w:val="0"/>
          <w:numId w:val="32"/>
        </w:numPr>
        <w:ind w:left="851" w:hanging="284"/>
        <w:jc w:val="both"/>
        <w:rPr>
          <w:rFonts w:ascii="Arial" w:hAnsi="Arial" w:cs="Arial"/>
          <w:bCs/>
          <w:sz w:val="18"/>
          <w:szCs w:val="18"/>
        </w:rPr>
      </w:pPr>
      <w:r w:rsidRPr="00F76F93">
        <w:rPr>
          <w:rFonts w:ascii="Arial" w:hAnsi="Arial" w:cs="Arial"/>
          <w:bCs/>
          <w:sz w:val="18"/>
          <w:szCs w:val="18"/>
        </w:rPr>
        <w:t>Kredyt B, refinansowany, udzielony:</w:t>
      </w:r>
    </w:p>
    <w:p w:rsidR="00600719" w:rsidRPr="00F76F93" w:rsidRDefault="00600719" w:rsidP="00600719">
      <w:pPr>
        <w:numPr>
          <w:ilvl w:val="0"/>
          <w:numId w:val="33"/>
        </w:numPr>
        <w:ind w:left="851" w:hanging="284"/>
        <w:jc w:val="both"/>
        <w:rPr>
          <w:rFonts w:ascii="Arial" w:hAnsi="Arial" w:cs="Arial"/>
          <w:bCs/>
          <w:sz w:val="18"/>
          <w:szCs w:val="18"/>
        </w:rPr>
      </w:pPr>
      <w:r w:rsidRPr="00F76F93">
        <w:rPr>
          <w:rFonts w:ascii="Arial" w:hAnsi="Arial" w:cs="Arial"/>
          <w:bCs/>
          <w:sz w:val="18"/>
          <w:szCs w:val="18"/>
        </w:rPr>
        <w:t xml:space="preserve">Interferie Medical SPA do maksymalnej wysokości 11.089.373,41 EUR z terminem spłaty do </w:t>
      </w:r>
      <w:r w:rsidR="00E029AE">
        <w:rPr>
          <w:rFonts w:ascii="Arial" w:hAnsi="Arial" w:cs="Arial"/>
          <w:bCs/>
          <w:sz w:val="18"/>
          <w:szCs w:val="18"/>
        </w:rPr>
        <w:br/>
      </w:r>
      <w:r w:rsidRPr="00F76F93">
        <w:rPr>
          <w:rFonts w:ascii="Arial" w:hAnsi="Arial" w:cs="Arial"/>
          <w:bCs/>
          <w:sz w:val="18"/>
          <w:szCs w:val="18"/>
        </w:rPr>
        <w:t xml:space="preserve">30 września 2026 roku ( zmiana terminu ostatecznej spłaty kredytu wynika z aneksu nr 3 z dnia </w:t>
      </w:r>
      <w:r w:rsidR="00E029AE">
        <w:rPr>
          <w:rFonts w:ascii="Arial" w:hAnsi="Arial" w:cs="Arial"/>
          <w:bCs/>
          <w:sz w:val="18"/>
          <w:szCs w:val="18"/>
        </w:rPr>
        <w:br/>
      </w:r>
      <w:r w:rsidRPr="00F76F93">
        <w:rPr>
          <w:rFonts w:ascii="Arial" w:hAnsi="Arial" w:cs="Arial"/>
          <w:bCs/>
          <w:sz w:val="18"/>
          <w:szCs w:val="18"/>
        </w:rPr>
        <w:t>29 czerwca 2018 roku );</w:t>
      </w:r>
    </w:p>
    <w:p w:rsidR="00600719" w:rsidRPr="00F76F93" w:rsidRDefault="00600719" w:rsidP="00600719">
      <w:pPr>
        <w:numPr>
          <w:ilvl w:val="0"/>
          <w:numId w:val="33"/>
        </w:numPr>
        <w:ind w:left="851" w:hanging="284"/>
        <w:jc w:val="both"/>
        <w:rPr>
          <w:rFonts w:ascii="Arial" w:hAnsi="Arial" w:cs="Arial"/>
          <w:bCs/>
          <w:sz w:val="18"/>
          <w:szCs w:val="18"/>
        </w:rPr>
      </w:pPr>
      <w:r w:rsidRPr="00F76F93">
        <w:rPr>
          <w:rFonts w:ascii="Arial" w:hAnsi="Arial" w:cs="Arial"/>
          <w:bCs/>
          <w:sz w:val="18"/>
          <w:szCs w:val="18"/>
        </w:rPr>
        <w:t>INTERFERIE S.A. do maksymalnej wysokości 40.920,00 EUR z terminem spłaty do 31 grudnia 2016 roku ( kredyt spłacony zgodnie z umową );</w:t>
      </w:r>
    </w:p>
    <w:p w:rsidR="00600719" w:rsidRPr="00F76F93" w:rsidRDefault="00600719" w:rsidP="00600719">
      <w:pPr>
        <w:numPr>
          <w:ilvl w:val="0"/>
          <w:numId w:val="33"/>
        </w:numPr>
        <w:ind w:left="851" w:hanging="284"/>
        <w:jc w:val="both"/>
        <w:rPr>
          <w:rFonts w:ascii="Arial" w:hAnsi="Arial" w:cs="Arial"/>
          <w:bCs/>
          <w:sz w:val="18"/>
          <w:szCs w:val="18"/>
        </w:rPr>
      </w:pPr>
      <w:r w:rsidRPr="00F76F93">
        <w:rPr>
          <w:rFonts w:ascii="Arial" w:hAnsi="Arial" w:cs="Arial"/>
          <w:bCs/>
          <w:sz w:val="18"/>
          <w:szCs w:val="18"/>
        </w:rPr>
        <w:t>INTERFERIE S.A. do maksymalnej wysokości 2.117.557,47 EUR z terminem spłaty do 30 września 2021 roku.</w:t>
      </w:r>
      <w:r>
        <w:rPr>
          <w:rFonts w:ascii="Arial" w:hAnsi="Arial" w:cs="Arial"/>
          <w:bCs/>
          <w:sz w:val="18"/>
          <w:szCs w:val="18"/>
        </w:rPr>
        <w:t xml:space="preserve"> ( kredyt został spłacony )</w:t>
      </w:r>
    </w:p>
    <w:p w:rsidR="00600719" w:rsidRPr="00F76F93" w:rsidRDefault="00600719" w:rsidP="00600719">
      <w:pPr>
        <w:numPr>
          <w:ilvl w:val="0"/>
          <w:numId w:val="32"/>
        </w:numPr>
        <w:ind w:left="851" w:hanging="284"/>
        <w:jc w:val="both"/>
        <w:rPr>
          <w:rFonts w:ascii="Arial" w:hAnsi="Arial" w:cs="Arial"/>
          <w:bCs/>
          <w:sz w:val="18"/>
          <w:szCs w:val="18"/>
        </w:rPr>
      </w:pPr>
      <w:r w:rsidRPr="00F76F93">
        <w:rPr>
          <w:rFonts w:ascii="Arial" w:hAnsi="Arial" w:cs="Arial"/>
          <w:bCs/>
          <w:sz w:val="18"/>
          <w:szCs w:val="18"/>
        </w:rPr>
        <w:t>Kredyt C, inwestycyjny przeznaczony na rozbudowę OSW Argentyt w Dąbkach, udzielony INTERFERIE S.A. do maksymalnej wysokości 28.000.000,00 PLN z terminem spłaty  do 31 grudnia 2027 roku. Wartość kredytu została zmieniona Aneksem nr 4 z dnia 12 sierpnia 2020 roku do kwoty 41.754.000,00 PLN. Na</w:t>
      </w:r>
      <w:r>
        <w:rPr>
          <w:rFonts w:ascii="Arial" w:hAnsi="Arial" w:cs="Arial"/>
          <w:bCs/>
          <w:sz w:val="18"/>
          <w:szCs w:val="18"/>
        </w:rPr>
        <w:t xml:space="preserve"> dzień bilansowy kredyt został uruchomiony w kwocie 40.454.375,81</w:t>
      </w:r>
      <w:r w:rsidRPr="00F76F93">
        <w:rPr>
          <w:rFonts w:ascii="Arial" w:hAnsi="Arial" w:cs="Arial"/>
          <w:bCs/>
          <w:sz w:val="18"/>
          <w:szCs w:val="18"/>
        </w:rPr>
        <w:t xml:space="preserve"> PLN.</w:t>
      </w:r>
    </w:p>
    <w:p w:rsidR="00600719" w:rsidRPr="00F76F93" w:rsidRDefault="00600719" w:rsidP="00600719">
      <w:pPr>
        <w:numPr>
          <w:ilvl w:val="0"/>
          <w:numId w:val="32"/>
        </w:numPr>
        <w:ind w:left="851" w:hanging="284"/>
        <w:jc w:val="both"/>
        <w:rPr>
          <w:rFonts w:ascii="Arial" w:hAnsi="Arial" w:cs="Arial"/>
          <w:bCs/>
          <w:sz w:val="18"/>
          <w:szCs w:val="18"/>
        </w:rPr>
      </w:pPr>
      <w:r w:rsidRPr="00F76F93">
        <w:rPr>
          <w:rFonts w:ascii="Arial" w:hAnsi="Arial" w:cs="Arial"/>
          <w:bCs/>
          <w:sz w:val="18"/>
          <w:szCs w:val="18"/>
        </w:rPr>
        <w:t>Kredyt D, inwestycyjny przeznaczony na rozbudowę OSW Chalkozyn w Kołobrzegu, udzielony INTERFERIE S.A. do maksymalnej wysokości 7.683.000,00 EUR z terminem spłaty do 31 grudnia 2028 roku( zmiana terminu ostatecznej spłaty kredytu wynika z aneksu nr 3 z dnia 29 czerwca 2018 roku ). Kredyt D na dzień bilansowy nie jest uruchomiony.</w:t>
      </w:r>
    </w:p>
    <w:p w:rsidR="00600719" w:rsidRPr="00F76F93" w:rsidRDefault="00600719" w:rsidP="00600719">
      <w:pPr>
        <w:jc w:val="both"/>
        <w:rPr>
          <w:rFonts w:ascii="Arial" w:hAnsi="Arial" w:cs="Arial"/>
          <w:bCs/>
          <w:sz w:val="18"/>
          <w:szCs w:val="18"/>
        </w:rPr>
      </w:pPr>
    </w:p>
    <w:p w:rsidR="00600719" w:rsidRPr="00F76F93" w:rsidRDefault="00600719" w:rsidP="00600719">
      <w:pPr>
        <w:jc w:val="both"/>
        <w:rPr>
          <w:rFonts w:ascii="Arial" w:hAnsi="Arial" w:cs="Arial"/>
          <w:bCs/>
          <w:sz w:val="18"/>
          <w:szCs w:val="18"/>
        </w:rPr>
      </w:pPr>
      <w:r w:rsidRPr="00F76F93">
        <w:rPr>
          <w:rFonts w:ascii="Arial" w:hAnsi="Arial" w:cs="Arial"/>
          <w:bCs/>
          <w:sz w:val="18"/>
          <w:szCs w:val="18"/>
        </w:rPr>
        <w:t>Zabezpieczeniem Umowy Kredytowej jest:</w:t>
      </w:r>
    </w:p>
    <w:p w:rsidR="00600719" w:rsidRPr="00F76F93" w:rsidRDefault="00600719" w:rsidP="00600719">
      <w:pPr>
        <w:numPr>
          <w:ilvl w:val="0"/>
          <w:numId w:val="34"/>
        </w:numPr>
        <w:jc w:val="both"/>
        <w:rPr>
          <w:rFonts w:ascii="Arial" w:hAnsi="Arial" w:cs="Arial"/>
          <w:bCs/>
          <w:sz w:val="18"/>
          <w:szCs w:val="18"/>
        </w:rPr>
      </w:pPr>
      <w:r w:rsidRPr="00F76F93">
        <w:rPr>
          <w:rFonts w:ascii="Arial" w:hAnsi="Arial" w:cs="Arial"/>
          <w:bCs/>
          <w:sz w:val="18"/>
          <w:szCs w:val="18"/>
        </w:rPr>
        <w:t xml:space="preserve"> Oświadczenie Kredytobiorców o ustanowieniu hipoteki umownej łącznej z najwyższym pierwszeństwem zaspokojenia na Nieruchomościach położonych w Świnoujściu, Dąbkach oraz Kołobrzegu, do maksymalnej kwoty zabezpieczenia  w wysokości 43.468.766,92 EUR.</w:t>
      </w:r>
    </w:p>
    <w:p w:rsidR="00600719" w:rsidRPr="00F76F93" w:rsidRDefault="00600719" w:rsidP="00600719">
      <w:pPr>
        <w:numPr>
          <w:ilvl w:val="0"/>
          <w:numId w:val="34"/>
        </w:numPr>
        <w:jc w:val="both"/>
        <w:rPr>
          <w:rFonts w:ascii="Arial" w:hAnsi="Arial" w:cs="Arial"/>
          <w:bCs/>
          <w:sz w:val="18"/>
          <w:szCs w:val="18"/>
        </w:rPr>
      </w:pPr>
      <w:r w:rsidRPr="00F76F93">
        <w:rPr>
          <w:rFonts w:ascii="Arial" w:hAnsi="Arial" w:cs="Arial"/>
          <w:bCs/>
          <w:sz w:val="18"/>
          <w:szCs w:val="18"/>
        </w:rPr>
        <w:t xml:space="preserve"> Zastaw na Udziałach:</w:t>
      </w:r>
    </w:p>
    <w:p w:rsidR="00600719" w:rsidRPr="00F76F93" w:rsidRDefault="00600719" w:rsidP="00600719">
      <w:pPr>
        <w:ind w:left="708"/>
        <w:jc w:val="both"/>
        <w:rPr>
          <w:rFonts w:ascii="Arial" w:hAnsi="Arial" w:cs="Arial"/>
          <w:bCs/>
          <w:sz w:val="18"/>
          <w:szCs w:val="18"/>
        </w:rPr>
      </w:pPr>
      <w:r w:rsidRPr="00F76F93">
        <w:rPr>
          <w:rFonts w:ascii="Arial" w:hAnsi="Arial" w:cs="Arial"/>
          <w:bCs/>
          <w:sz w:val="18"/>
          <w:szCs w:val="18"/>
        </w:rPr>
        <w:t>Umowa zastawu rejestrowego i finansowego, na podstawie której zastawy rejestrowe z najwyższym pierwszeństwem zaspokojenia (oraz zastawy finansowe jako dodatkowe zabezpieczenia), zostały ustanowione na wszystkich udziałach w kapitale zakładowym Interferie Medical SPA Spółka z o.o. posiadanych przez INTERFERIE S.A.</w:t>
      </w:r>
    </w:p>
    <w:p w:rsidR="00600719" w:rsidRPr="00F76F93" w:rsidRDefault="00600719" w:rsidP="00600719">
      <w:pPr>
        <w:ind w:left="708"/>
        <w:jc w:val="both"/>
        <w:rPr>
          <w:rFonts w:ascii="Arial" w:hAnsi="Arial" w:cs="Arial"/>
          <w:bCs/>
          <w:sz w:val="18"/>
          <w:szCs w:val="18"/>
        </w:rPr>
      </w:pPr>
      <w:r w:rsidRPr="00F76F93">
        <w:rPr>
          <w:rFonts w:ascii="Arial" w:hAnsi="Arial" w:cs="Arial"/>
          <w:bCs/>
          <w:sz w:val="18"/>
          <w:szCs w:val="18"/>
        </w:rPr>
        <w:t>Umowa zastawu rejestrowego i finansowego, na podstawie której zastawy rejestrowe z najwyższym pierwszeństwem zaspokojenia (oraz zastawy finansowe jako dodatkowe zabezpieczenia), zostały ustanowione na wszystkich udziałach w kapitale zakładowym Interferie Medical SPA Spółka z o.o. posiadanych przez Fundusz.</w:t>
      </w:r>
    </w:p>
    <w:p w:rsidR="00600719" w:rsidRPr="00F76F93" w:rsidRDefault="00600719" w:rsidP="00600719">
      <w:pPr>
        <w:numPr>
          <w:ilvl w:val="0"/>
          <w:numId w:val="34"/>
        </w:numPr>
        <w:jc w:val="both"/>
        <w:rPr>
          <w:rFonts w:ascii="Arial" w:hAnsi="Arial" w:cs="Arial"/>
          <w:bCs/>
          <w:sz w:val="18"/>
          <w:szCs w:val="18"/>
        </w:rPr>
      </w:pPr>
      <w:r w:rsidRPr="00F76F93">
        <w:rPr>
          <w:rFonts w:ascii="Arial" w:hAnsi="Arial" w:cs="Arial"/>
          <w:bCs/>
          <w:sz w:val="18"/>
          <w:szCs w:val="18"/>
        </w:rPr>
        <w:lastRenderedPageBreak/>
        <w:t xml:space="preserve"> Zastaw na Przedsiębiorstwie:</w:t>
      </w:r>
    </w:p>
    <w:p w:rsidR="00600719" w:rsidRPr="00F76F93" w:rsidRDefault="00600719" w:rsidP="00600719">
      <w:pPr>
        <w:ind w:left="708"/>
        <w:jc w:val="both"/>
        <w:rPr>
          <w:rFonts w:ascii="Arial" w:hAnsi="Arial" w:cs="Arial"/>
          <w:bCs/>
          <w:sz w:val="18"/>
          <w:szCs w:val="18"/>
        </w:rPr>
      </w:pPr>
      <w:r w:rsidRPr="00F76F93">
        <w:rPr>
          <w:rFonts w:ascii="Arial" w:hAnsi="Arial" w:cs="Arial"/>
          <w:bCs/>
          <w:sz w:val="18"/>
          <w:szCs w:val="18"/>
        </w:rPr>
        <w:t>Umowa zastawu rejestrowego, na podstawie której zastawy rejestrowe z najwyższym pierwszeństwem zaspokojenia zostały ustanowione na zbiorach rzeczy w Świnoujściu, Dąbkach  oraz Kołobrzegu.</w:t>
      </w:r>
    </w:p>
    <w:p w:rsidR="00600719" w:rsidRPr="00F76F93" w:rsidRDefault="00600719" w:rsidP="00600719">
      <w:pPr>
        <w:numPr>
          <w:ilvl w:val="0"/>
          <w:numId w:val="34"/>
        </w:numPr>
        <w:jc w:val="both"/>
        <w:rPr>
          <w:rFonts w:ascii="Arial" w:hAnsi="Arial" w:cs="Arial"/>
          <w:bCs/>
          <w:sz w:val="18"/>
          <w:szCs w:val="18"/>
        </w:rPr>
      </w:pPr>
      <w:r w:rsidRPr="00F76F93">
        <w:rPr>
          <w:rFonts w:ascii="Arial" w:hAnsi="Arial" w:cs="Arial"/>
          <w:bCs/>
          <w:sz w:val="18"/>
          <w:szCs w:val="18"/>
        </w:rPr>
        <w:t xml:space="preserve"> Zastaw na Rachunkach:</w:t>
      </w:r>
    </w:p>
    <w:p w:rsidR="00600719" w:rsidRPr="00F76F93" w:rsidRDefault="00600719" w:rsidP="00600719">
      <w:pPr>
        <w:ind w:left="708"/>
        <w:jc w:val="both"/>
        <w:rPr>
          <w:rFonts w:ascii="Arial" w:hAnsi="Arial" w:cs="Arial"/>
          <w:bCs/>
          <w:sz w:val="18"/>
          <w:szCs w:val="18"/>
        </w:rPr>
      </w:pPr>
      <w:r w:rsidRPr="00F76F93">
        <w:rPr>
          <w:rFonts w:ascii="Arial" w:hAnsi="Arial" w:cs="Arial"/>
          <w:bCs/>
          <w:sz w:val="18"/>
          <w:szCs w:val="18"/>
        </w:rPr>
        <w:t>Umowa zastawu rejestrowego, na podstawie której zastawy rejestrowe z najwyższym pierwszeństwem zaspokojenia (oraz zastawy finansowe jako dodatkowe zabezpieczenie) zostaną ustanowione na wszystkich rachunkach bankowych  Kredytobiorców.</w:t>
      </w:r>
    </w:p>
    <w:p w:rsidR="00600719" w:rsidRPr="00F76F93" w:rsidRDefault="00600719" w:rsidP="00600719">
      <w:pPr>
        <w:numPr>
          <w:ilvl w:val="0"/>
          <w:numId w:val="34"/>
        </w:numPr>
        <w:jc w:val="both"/>
        <w:rPr>
          <w:rFonts w:ascii="Arial" w:hAnsi="Arial" w:cs="Arial"/>
          <w:bCs/>
          <w:sz w:val="18"/>
          <w:szCs w:val="18"/>
        </w:rPr>
      </w:pPr>
      <w:r w:rsidRPr="00F76F93">
        <w:rPr>
          <w:rFonts w:ascii="Arial" w:hAnsi="Arial" w:cs="Arial"/>
          <w:bCs/>
          <w:sz w:val="18"/>
          <w:szCs w:val="18"/>
        </w:rPr>
        <w:t xml:space="preserve"> Pełnomocnictwo  do Rachunków Bankowych:</w:t>
      </w:r>
    </w:p>
    <w:p w:rsidR="00600719" w:rsidRPr="00F76F93" w:rsidRDefault="00600719" w:rsidP="00600719">
      <w:pPr>
        <w:ind w:left="708"/>
        <w:jc w:val="both"/>
        <w:rPr>
          <w:rFonts w:ascii="Arial" w:hAnsi="Arial" w:cs="Arial"/>
          <w:bCs/>
          <w:sz w:val="18"/>
          <w:szCs w:val="18"/>
        </w:rPr>
      </w:pPr>
      <w:r w:rsidRPr="00F76F93">
        <w:rPr>
          <w:rFonts w:ascii="Arial" w:hAnsi="Arial" w:cs="Arial"/>
          <w:bCs/>
          <w:sz w:val="18"/>
          <w:szCs w:val="18"/>
        </w:rPr>
        <w:t>Pełnomocnictwo każdego z Kredytobiorców do każdego z rachunków bankowych Kredytobiorców wraz instrukcją ustanowienia blokady  na Rachunku Rezerwowym i innych rachunkach w razie Naruszenia.</w:t>
      </w:r>
    </w:p>
    <w:p w:rsidR="00600719" w:rsidRPr="00F76F93" w:rsidRDefault="00600719" w:rsidP="00600719">
      <w:pPr>
        <w:numPr>
          <w:ilvl w:val="0"/>
          <w:numId w:val="34"/>
        </w:numPr>
        <w:jc w:val="both"/>
        <w:rPr>
          <w:rFonts w:ascii="Arial" w:hAnsi="Arial" w:cs="Arial"/>
          <w:bCs/>
          <w:sz w:val="18"/>
          <w:szCs w:val="18"/>
        </w:rPr>
      </w:pPr>
      <w:r w:rsidRPr="00F76F93">
        <w:rPr>
          <w:rFonts w:ascii="Arial" w:hAnsi="Arial" w:cs="Arial"/>
          <w:bCs/>
          <w:sz w:val="18"/>
          <w:szCs w:val="18"/>
        </w:rPr>
        <w:t xml:space="preserve"> Umowa Cesji:</w:t>
      </w:r>
    </w:p>
    <w:p w:rsidR="00600719" w:rsidRPr="00F76F93" w:rsidRDefault="00600719" w:rsidP="00600719">
      <w:pPr>
        <w:ind w:left="708"/>
        <w:jc w:val="both"/>
        <w:rPr>
          <w:rFonts w:ascii="Arial" w:hAnsi="Arial" w:cs="Arial"/>
          <w:bCs/>
          <w:sz w:val="18"/>
          <w:szCs w:val="18"/>
        </w:rPr>
      </w:pPr>
      <w:r w:rsidRPr="00F76F93">
        <w:rPr>
          <w:rFonts w:ascii="Arial" w:hAnsi="Arial" w:cs="Arial"/>
          <w:bCs/>
          <w:sz w:val="18"/>
          <w:szCs w:val="18"/>
        </w:rPr>
        <w:t>Umowa cesji, na mocy której Kredytobiorca dokonuje na rzecz Kredytodawcy, tytułem zabezpieczenia, cesji swoich praw i korzyści, w ramach przyszłych i istniejących Polis Ubezpieczeniowych, Gwarancji Wykonania i Umów Projektu.</w:t>
      </w:r>
    </w:p>
    <w:p w:rsidR="00600719" w:rsidRPr="00F76F93" w:rsidRDefault="00600719" w:rsidP="00600719">
      <w:pPr>
        <w:numPr>
          <w:ilvl w:val="0"/>
          <w:numId w:val="34"/>
        </w:numPr>
        <w:jc w:val="both"/>
        <w:rPr>
          <w:rFonts w:ascii="Arial" w:hAnsi="Arial" w:cs="Arial"/>
          <w:bCs/>
          <w:sz w:val="18"/>
          <w:szCs w:val="18"/>
        </w:rPr>
      </w:pPr>
      <w:r w:rsidRPr="00F76F93">
        <w:rPr>
          <w:rFonts w:ascii="Arial" w:hAnsi="Arial" w:cs="Arial"/>
          <w:bCs/>
          <w:sz w:val="18"/>
          <w:szCs w:val="18"/>
        </w:rPr>
        <w:t xml:space="preserve"> Oświadczenie o poddaniu się egzekucji:</w:t>
      </w:r>
    </w:p>
    <w:p w:rsidR="00600719" w:rsidRPr="00F76F93" w:rsidRDefault="00600719" w:rsidP="00600719">
      <w:pPr>
        <w:ind w:left="708"/>
        <w:jc w:val="both"/>
        <w:rPr>
          <w:rFonts w:ascii="Arial" w:hAnsi="Arial" w:cs="Arial"/>
          <w:bCs/>
          <w:sz w:val="18"/>
          <w:szCs w:val="18"/>
        </w:rPr>
      </w:pPr>
      <w:r w:rsidRPr="00F76F93">
        <w:rPr>
          <w:rFonts w:ascii="Arial" w:hAnsi="Arial" w:cs="Arial"/>
          <w:bCs/>
          <w:sz w:val="18"/>
          <w:szCs w:val="18"/>
        </w:rPr>
        <w:t>Oświadczenie każdego Kredytobiorcy o dobrowolnym poddaniu się egzekucji w trybie artykułu</w:t>
      </w:r>
      <w:r w:rsidRPr="00F76F93">
        <w:rPr>
          <w:rFonts w:ascii="Arial" w:hAnsi="Arial" w:cs="Arial"/>
          <w:bCs/>
          <w:sz w:val="18"/>
          <w:szCs w:val="18"/>
        </w:rPr>
        <w:br/>
        <w:t xml:space="preserve"> 777 kodeksu postępowania cywilnego.</w:t>
      </w:r>
    </w:p>
    <w:p w:rsidR="00600719" w:rsidRPr="00F76F93" w:rsidRDefault="00600719" w:rsidP="00600719">
      <w:pPr>
        <w:numPr>
          <w:ilvl w:val="0"/>
          <w:numId w:val="34"/>
        </w:numPr>
        <w:jc w:val="both"/>
        <w:rPr>
          <w:rFonts w:ascii="Arial" w:hAnsi="Arial" w:cs="Arial"/>
          <w:bCs/>
          <w:sz w:val="18"/>
          <w:szCs w:val="18"/>
        </w:rPr>
      </w:pPr>
      <w:r w:rsidRPr="00F76F93">
        <w:rPr>
          <w:rFonts w:ascii="Arial" w:hAnsi="Arial" w:cs="Arial"/>
          <w:bCs/>
          <w:sz w:val="18"/>
          <w:szCs w:val="18"/>
        </w:rPr>
        <w:t xml:space="preserve"> Umowa Podporządkowania:</w:t>
      </w:r>
    </w:p>
    <w:p w:rsidR="00600719" w:rsidRPr="00F76F93" w:rsidRDefault="00600719" w:rsidP="00600719">
      <w:pPr>
        <w:ind w:left="708"/>
        <w:jc w:val="both"/>
        <w:rPr>
          <w:rFonts w:ascii="Arial" w:hAnsi="Arial" w:cs="Arial"/>
          <w:bCs/>
          <w:sz w:val="18"/>
          <w:szCs w:val="18"/>
        </w:rPr>
      </w:pPr>
      <w:r w:rsidRPr="00F76F93">
        <w:rPr>
          <w:rFonts w:ascii="Arial" w:hAnsi="Arial" w:cs="Arial"/>
          <w:bCs/>
          <w:sz w:val="18"/>
          <w:szCs w:val="18"/>
        </w:rPr>
        <w:t>Umowa Podporządkowania należycie podpisana przez jej strony ( Kredytobiorców oraz wszystkie osoby będące stroną Pożyczek Podporządkowanych i Kredytodawcę).</w:t>
      </w:r>
    </w:p>
    <w:p w:rsidR="00600719" w:rsidRPr="00F76F93" w:rsidRDefault="00600719" w:rsidP="00600719">
      <w:pPr>
        <w:jc w:val="both"/>
        <w:rPr>
          <w:rFonts w:ascii="Arial" w:hAnsi="Arial" w:cs="Arial"/>
          <w:sz w:val="18"/>
          <w:szCs w:val="18"/>
        </w:rPr>
      </w:pPr>
    </w:p>
    <w:p w:rsidR="00600719" w:rsidRPr="00F76F93" w:rsidRDefault="00600719" w:rsidP="00600719">
      <w:pPr>
        <w:jc w:val="both"/>
        <w:rPr>
          <w:rFonts w:ascii="Arial" w:hAnsi="Arial" w:cs="Arial"/>
          <w:sz w:val="18"/>
          <w:szCs w:val="18"/>
        </w:rPr>
      </w:pPr>
      <w:r w:rsidRPr="00F76F93">
        <w:rPr>
          <w:rFonts w:ascii="Arial" w:hAnsi="Arial" w:cs="Arial"/>
          <w:sz w:val="18"/>
          <w:szCs w:val="18"/>
        </w:rPr>
        <w:t>W wyniku zawartej Umowy Kredytowej, INTERFERIE S.A. zobowiązuje się do utrzymania w całym okresie kredytowania prawidłową pozycję wskaźników, to jest  wskaźnik LTV na poziomie nie wyższym niż 60 % oraz wskaźnik DSCR na poziomie nie niższym niż 120 %.</w:t>
      </w:r>
    </w:p>
    <w:p w:rsidR="00600719" w:rsidRPr="00F76F93" w:rsidRDefault="00600719" w:rsidP="00600719">
      <w:pPr>
        <w:jc w:val="both"/>
        <w:rPr>
          <w:rFonts w:ascii="Arial" w:hAnsi="Arial" w:cs="Arial"/>
          <w:sz w:val="18"/>
          <w:szCs w:val="18"/>
        </w:rPr>
      </w:pPr>
      <w:r w:rsidRPr="00F76F93">
        <w:rPr>
          <w:rFonts w:ascii="Arial" w:hAnsi="Arial" w:cs="Arial"/>
          <w:sz w:val="18"/>
          <w:szCs w:val="18"/>
        </w:rPr>
        <w:t>Zgodnie z umową, weryfikacja wskaźnika LTV następuje w okresach k</w:t>
      </w:r>
      <w:r>
        <w:rPr>
          <w:rFonts w:ascii="Arial" w:hAnsi="Arial" w:cs="Arial"/>
          <w:sz w:val="18"/>
          <w:szCs w:val="18"/>
        </w:rPr>
        <w:t>wartalnych i na dzień 30 września</w:t>
      </w:r>
      <w:r w:rsidRPr="00F76F93">
        <w:rPr>
          <w:rFonts w:ascii="Arial" w:hAnsi="Arial" w:cs="Arial"/>
          <w:sz w:val="18"/>
          <w:szCs w:val="18"/>
        </w:rPr>
        <w:t xml:space="preserve"> 2021 r. jest na poziomie </w:t>
      </w:r>
      <w:r>
        <w:rPr>
          <w:rFonts w:ascii="Arial" w:hAnsi="Arial" w:cs="Arial"/>
          <w:sz w:val="18"/>
          <w:szCs w:val="18"/>
        </w:rPr>
        <w:t xml:space="preserve">23,52 </w:t>
      </w:r>
      <w:r w:rsidRPr="00F76F93">
        <w:rPr>
          <w:rFonts w:ascii="Arial" w:hAnsi="Arial" w:cs="Arial"/>
          <w:sz w:val="18"/>
          <w:szCs w:val="18"/>
        </w:rPr>
        <w:t>%. Zgodnie z Aneksem nr 3 do Umowy Kredytowej W</w:t>
      </w:r>
      <w:r>
        <w:rPr>
          <w:rFonts w:ascii="Arial" w:hAnsi="Arial" w:cs="Arial"/>
          <w:sz w:val="18"/>
          <w:szCs w:val="18"/>
        </w:rPr>
        <w:t>skaźnik DSCR na dzień 30 września</w:t>
      </w:r>
      <w:r w:rsidRPr="00F76F93">
        <w:rPr>
          <w:rFonts w:ascii="Arial" w:hAnsi="Arial" w:cs="Arial"/>
          <w:sz w:val="18"/>
          <w:szCs w:val="18"/>
        </w:rPr>
        <w:t xml:space="preserve">  2021 r. nie jest weryfikowany. </w:t>
      </w:r>
      <w:r w:rsidRPr="00F76F93">
        <w:rPr>
          <w:rFonts w:ascii="Arial" w:hAnsi="Arial" w:cs="Arial"/>
          <w:bCs/>
          <w:sz w:val="18"/>
          <w:szCs w:val="18"/>
        </w:rPr>
        <w:t>Na dzień publikacji Raportu, Spółka nie widzi zagrożeń w postaci wypowiedzenia Umowy Kredytowej zawartej dnia 08 marca 2016 roku.</w:t>
      </w:r>
    </w:p>
    <w:p w:rsidR="00600719" w:rsidRPr="00F76F93" w:rsidRDefault="00600719" w:rsidP="00600719">
      <w:pPr>
        <w:tabs>
          <w:tab w:val="left" w:pos="540"/>
        </w:tabs>
        <w:spacing w:line="260" w:lineRule="exact"/>
        <w:jc w:val="both"/>
        <w:rPr>
          <w:rFonts w:ascii="Arial" w:hAnsi="Arial" w:cs="Arial"/>
          <w:sz w:val="18"/>
          <w:szCs w:val="18"/>
        </w:rPr>
      </w:pPr>
    </w:p>
    <w:p w:rsidR="00600719" w:rsidRPr="00F76F93" w:rsidRDefault="00600719" w:rsidP="00600719">
      <w:pPr>
        <w:tabs>
          <w:tab w:val="left" w:pos="540"/>
        </w:tabs>
        <w:spacing w:line="260" w:lineRule="exact"/>
        <w:jc w:val="both"/>
        <w:rPr>
          <w:rFonts w:ascii="Arial" w:hAnsi="Arial" w:cs="Arial"/>
          <w:sz w:val="18"/>
          <w:szCs w:val="18"/>
        </w:rPr>
      </w:pPr>
      <w:r w:rsidRPr="00F76F93">
        <w:rPr>
          <w:rFonts w:ascii="Arial" w:hAnsi="Arial" w:cs="Arial"/>
          <w:sz w:val="18"/>
          <w:szCs w:val="18"/>
        </w:rPr>
        <w:t>Wartość bilansowa kredytów jest równa ich wartości godziwej.</w:t>
      </w:r>
    </w:p>
    <w:p w:rsidR="00600719" w:rsidRPr="00E8279E" w:rsidRDefault="00600719" w:rsidP="00600719">
      <w:pPr>
        <w:tabs>
          <w:tab w:val="left" w:pos="540"/>
        </w:tabs>
        <w:spacing w:line="260" w:lineRule="exact"/>
        <w:jc w:val="both"/>
        <w:rPr>
          <w:rFonts w:ascii="Arial" w:hAnsi="Arial" w:cs="Arial"/>
          <w:bCs/>
          <w:sz w:val="18"/>
          <w:szCs w:val="18"/>
        </w:rPr>
      </w:pPr>
      <w:r w:rsidRPr="00E8279E">
        <w:rPr>
          <w:rFonts w:ascii="Arial" w:hAnsi="Arial" w:cs="Arial"/>
          <w:bCs/>
          <w:sz w:val="18"/>
          <w:szCs w:val="18"/>
        </w:rPr>
        <w:t>Za 9 m-cy 202</w:t>
      </w:r>
      <w:r>
        <w:rPr>
          <w:rFonts w:ascii="Arial" w:hAnsi="Arial" w:cs="Arial"/>
          <w:bCs/>
          <w:sz w:val="18"/>
          <w:szCs w:val="18"/>
        </w:rPr>
        <w:t>1</w:t>
      </w:r>
      <w:r w:rsidRPr="00E8279E">
        <w:rPr>
          <w:rFonts w:ascii="Arial" w:hAnsi="Arial" w:cs="Arial"/>
          <w:bCs/>
          <w:sz w:val="18"/>
          <w:szCs w:val="18"/>
        </w:rPr>
        <w:t xml:space="preserve"> roku, Spółka zapłaciła odsetki i opłat</w:t>
      </w:r>
      <w:r>
        <w:rPr>
          <w:rFonts w:ascii="Arial" w:hAnsi="Arial" w:cs="Arial"/>
          <w:bCs/>
          <w:sz w:val="18"/>
          <w:szCs w:val="18"/>
        </w:rPr>
        <w:t>y</w:t>
      </w:r>
      <w:r w:rsidRPr="00E8279E">
        <w:rPr>
          <w:rFonts w:ascii="Arial" w:hAnsi="Arial" w:cs="Arial"/>
          <w:bCs/>
          <w:sz w:val="18"/>
          <w:szCs w:val="18"/>
        </w:rPr>
        <w:t xml:space="preserve"> od kredytów w łącznej </w:t>
      </w:r>
      <w:r w:rsidRPr="002D538C">
        <w:rPr>
          <w:rFonts w:ascii="Arial" w:hAnsi="Arial" w:cs="Arial"/>
          <w:bCs/>
          <w:sz w:val="18"/>
          <w:szCs w:val="18"/>
        </w:rPr>
        <w:t>wysokości 421 tys</w:t>
      </w:r>
      <w:r w:rsidRPr="00E8279E">
        <w:rPr>
          <w:rFonts w:ascii="Arial" w:hAnsi="Arial" w:cs="Arial"/>
          <w:bCs/>
          <w:sz w:val="18"/>
          <w:szCs w:val="18"/>
        </w:rPr>
        <w:t xml:space="preserve">. zł. </w:t>
      </w:r>
    </w:p>
    <w:p w:rsidR="00600719" w:rsidRPr="00F447DA" w:rsidRDefault="00600719" w:rsidP="00600719">
      <w:pPr>
        <w:tabs>
          <w:tab w:val="left" w:pos="540"/>
        </w:tabs>
        <w:spacing w:line="260" w:lineRule="exact"/>
        <w:jc w:val="both"/>
        <w:rPr>
          <w:rFonts w:ascii="Arial" w:hAnsi="Arial" w:cs="Arial"/>
          <w:bCs/>
          <w:sz w:val="18"/>
          <w:szCs w:val="18"/>
        </w:rPr>
      </w:pPr>
      <w:r w:rsidRPr="00E8279E">
        <w:rPr>
          <w:rFonts w:ascii="Arial" w:hAnsi="Arial" w:cs="Arial"/>
          <w:bCs/>
          <w:sz w:val="18"/>
          <w:szCs w:val="18"/>
        </w:rPr>
        <w:t>Za 9 m-cy 202</w:t>
      </w:r>
      <w:r>
        <w:rPr>
          <w:rFonts w:ascii="Arial" w:hAnsi="Arial" w:cs="Arial"/>
          <w:bCs/>
          <w:sz w:val="18"/>
          <w:szCs w:val="18"/>
        </w:rPr>
        <w:t>1</w:t>
      </w:r>
      <w:r w:rsidRPr="00E8279E">
        <w:rPr>
          <w:rFonts w:ascii="Arial" w:hAnsi="Arial" w:cs="Arial"/>
          <w:bCs/>
          <w:sz w:val="18"/>
          <w:szCs w:val="18"/>
        </w:rPr>
        <w:t xml:space="preserve"> roku, efektywna stopa procentowa wyniosła </w:t>
      </w:r>
      <w:r>
        <w:rPr>
          <w:rFonts w:ascii="Arial" w:hAnsi="Arial" w:cs="Arial"/>
          <w:bCs/>
          <w:sz w:val="18"/>
          <w:szCs w:val="18"/>
        </w:rPr>
        <w:t>1,92</w:t>
      </w:r>
      <w:r w:rsidRPr="00E8279E">
        <w:rPr>
          <w:rFonts w:ascii="Arial" w:hAnsi="Arial" w:cs="Arial"/>
          <w:bCs/>
          <w:sz w:val="18"/>
          <w:szCs w:val="18"/>
        </w:rPr>
        <w:t>%.</w:t>
      </w:r>
    </w:p>
    <w:p w:rsidR="00600719" w:rsidRPr="00F447DA" w:rsidRDefault="00600719" w:rsidP="00600719">
      <w:pPr>
        <w:tabs>
          <w:tab w:val="left" w:pos="540"/>
        </w:tabs>
        <w:spacing w:line="260" w:lineRule="exact"/>
        <w:jc w:val="both"/>
        <w:rPr>
          <w:rFonts w:ascii="Arial" w:hAnsi="Arial" w:cs="Arial"/>
          <w:bCs/>
          <w:sz w:val="18"/>
          <w:szCs w:val="18"/>
        </w:rPr>
      </w:pPr>
    </w:p>
    <w:p w:rsidR="00600719" w:rsidRDefault="00600719" w:rsidP="00600719">
      <w:pPr>
        <w:pStyle w:val="Tekstpodstawowy3"/>
        <w:tabs>
          <w:tab w:val="left" w:pos="540"/>
        </w:tabs>
        <w:rPr>
          <w:szCs w:val="18"/>
        </w:rPr>
      </w:pPr>
      <w:r w:rsidRPr="00F31D8E">
        <w:rPr>
          <w:szCs w:val="18"/>
        </w:rPr>
        <w:t>d) Środki pieniężne i ich ekwiwalenty</w:t>
      </w:r>
    </w:p>
    <w:p w:rsidR="00600719" w:rsidRDefault="00600719" w:rsidP="00600719">
      <w:pPr>
        <w:rPr>
          <w:rFonts w:ascii="Arial" w:hAnsi="Arial" w:cs="Arial"/>
          <w:b/>
          <w:bCs/>
          <w:sz w:val="18"/>
          <w:szCs w:val="18"/>
        </w:rPr>
      </w:pPr>
    </w:p>
    <w:tbl>
      <w:tblPr>
        <w:tblW w:w="8349" w:type="dxa"/>
        <w:tblInd w:w="57" w:type="dxa"/>
        <w:tblCellMar>
          <w:left w:w="70" w:type="dxa"/>
          <w:right w:w="70" w:type="dxa"/>
        </w:tblCellMar>
        <w:tblLook w:val="00A0" w:firstRow="1" w:lastRow="0" w:firstColumn="1" w:lastColumn="0" w:noHBand="0" w:noVBand="0"/>
      </w:tblPr>
      <w:tblGrid>
        <w:gridCol w:w="5116"/>
        <w:gridCol w:w="1843"/>
        <w:gridCol w:w="1390"/>
      </w:tblGrid>
      <w:tr w:rsidR="00600719" w:rsidRPr="00FB5980" w:rsidTr="006D578F">
        <w:trPr>
          <w:trHeight w:val="278"/>
        </w:trPr>
        <w:tc>
          <w:tcPr>
            <w:tcW w:w="5116" w:type="dxa"/>
            <w:tcBorders>
              <w:top w:val="nil"/>
              <w:left w:val="nil"/>
              <w:bottom w:val="nil"/>
              <w:right w:val="nil"/>
            </w:tcBorders>
            <w:noWrap/>
            <w:vAlign w:val="bottom"/>
          </w:tcPr>
          <w:p w:rsidR="00600719" w:rsidRPr="00FB5980" w:rsidRDefault="00600719" w:rsidP="006D578F">
            <w:pPr>
              <w:rPr>
                <w:rFonts w:ascii="Arial" w:hAnsi="Arial" w:cs="Arial"/>
                <w:sz w:val="16"/>
                <w:szCs w:val="16"/>
              </w:rPr>
            </w:pPr>
          </w:p>
        </w:tc>
        <w:tc>
          <w:tcPr>
            <w:tcW w:w="3233" w:type="dxa"/>
            <w:gridSpan w:val="2"/>
            <w:tcBorders>
              <w:top w:val="nil"/>
              <w:left w:val="nil"/>
              <w:bottom w:val="nil"/>
              <w:right w:val="nil"/>
            </w:tcBorders>
            <w:noWrap/>
            <w:vAlign w:val="bottom"/>
          </w:tcPr>
          <w:p w:rsidR="00600719" w:rsidRPr="00FB5980" w:rsidRDefault="00600719" w:rsidP="006D578F">
            <w:pPr>
              <w:jc w:val="center"/>
              <w:rPr>
                <w:rFonts w:ascii="Arial" w:hAnsi="Arial" w:cs="Arial"/>
                <w:b/>
                <w:bCs/>
                <w:sz w:val="16"/>
                <w:szCs w:val="16"/>
              </w:rPr>
            </w:pPr>
            <w:r w:rsidRPr="00FB5980">
              <w:rPr>
                <w:rFonts w:ascii="Arial" w:hAnsi="Arial" w:cs="Arial"/>
                <w:b/>
                <w:bCs/>
                <w:sz w:val="16"/>
                <w:szCs w:val="16"/>
              </w:rPr>
              <w:t>Stan na dzień</w:t>
            </w:r>
          </w:p>
        </w:tc>
      </w:tr>
      <w:tr w:rsidR="00600719" w:rsidRPr="00FB5980" w:rsidTr="006D578F">
        <w:trPr>
          <w:trHeight w:val="86"/>
        </w:trPr>
        <w:tc>
          <w:tcPr>
            <w:tcW w:w="5116" w:type="dxa"/>
            <w:tcBorders>
              <w:top w:val="nil"/>
              <w:left w:val="nil"/>
              <w:bottom w:val="nil"/>
              <w:right w:val="nil"/>
            </w:tcBorders>
            <w:noWrap/>
            <w:vAlign w:val="bottom"/>
          </w:tcPr>
          <w:p w:rsidR="00600719" w:rsidRPr="00FB5980" w:rsidRDefault="00600719" w:rsidP="006D578F">
            <w:pPr>
              <w:rPr>
                <w:rFonts w:ascii="Arial" w:hAnsi="Arial" w:cs="Arial"/>
                <w:sz w:val="16"/>
                <w:szCs w:val="16"/>
              </w:rPr>
            </w:pPr>
          </w:p>
        </w:tc>
        <w:tc>
          <w:tcPr>
            <w:tcW w:w="1843" w:type="dxa"/>
            <w:tcBorders>
              <w:top w:val="nil"/>
              <w:left w:val="nil"/>
              <w:bottom w:val="nil"/>
              <w:right w:val="nil"/>
            </w:tcBorders>
            <w:noWrap/>
            <w:vAlign w:val="bottom"/>
          </w:tcPr>
          <w:p w:rsidR="00600719" w:rsidRPr="00C92480" w:rsidRDefault="00600719" w:rsidP="006D578F">
            <w:pPr>
              <w:rPr>
                <w:rFonts w:ascii="Arial" w:hAnsi="Arial" w:cs="Arial"/>
                <w:b/>
                <w:bCs/>
                <w:sz w:val="16"/>
                <w:szCs w:val="16"/>
              </w:rPr>
            </w:pPr>
            <w:r w:rsidRPr="00C92480">
              <w:rPr>
                <w:rFonts w:ascii="Arial" w:hAnsi="Arial" w:cs="Arial"/>
                <w:b/>
                <w:bCs/>
                <w:sz w:val="16"/>
                <w:szCs w:val="16"/>
              </w:rPr>
              <w:t xml:space="preserve">30 września </w:t>
            </w:r>
            <w:r>
              <w:rPr>
                <w:rFonts w:ascii="Arial" w:hAnsi="Arial" w:cs="Arial"/>
                <w:b/>
                <w:bCs/>
                <w:sz w:val="16"/>
                <w:szCs w:val="16"/>
              </w:rPr>
              <w:t>2021</w:t>
            </w:r>
          </w:p>
          <w:p w:rsidR="00600719" w:rsidRPr="00C92480" w:rsidRDefault="00600719" w:rsidP="006D578F">
            <w:pPr>
              <w:rPr>
                <w:rFonts w:ascii="Arial" w:hAnsi="Arial" w:cs="Arial"/>
                <w:b/>
                <w:bCs/>
                <w:sz w:val="16"/>
                <w:szCs w:val="16"/>
              </w:rPr>
            </w:pPr>
            <w:r w:rsidRPr="00C92480">
              <w:rPr>
                <w:rFonts w:ascii="Arial" w:hAnsi="Arial" w:cs="Arial"/>
                <w:b/>
                <w:bCs/>
                <w:sz w:val="16"/>
                <w:szCs w:val="16"/>
              </w:rPr>
              <w:t>(niebadane)</w:t>
            </w:r>
          </w:p>
        </w:tc>
        <w:tc>
          <w:tcPr>
            <w:tcW w:w="1390" w:type="dxa"/>
            <w:tcBorders>
              <w:top w:val="nil"/>
              <w:left w:val="nil"/>
              <w:bottom w:val="nil"/>
              <w:right w:val="nil"/>
            </w:tcBorders>
            <w:noWrap/>
            <w:vAlign w:val="center"/>
          </w:tcPr>
          <w:p w:rsidR="00600719" w:rsidRPr="00C92480" w:rsidRDefault="00600719" w:rsidP="006D578F">
            <w:pPr>
              <w:jc w:val="right"/>
              <w:rPr>
                <w:rFonts w:ascii="Arial" w:hAnsi="Arial" w:cs="Arial"/>
                <w:b/>
                <w:bCs/>
                <w:sz w:val="16"/>
                <w:szCs w:val="16"/>
              </w:rPr>
            </w:pPr>
            <w:r w:rsidRPr="00C92480">
              <w:rPr>
                <w:rFonts w:ascii="Arial" w:hAnsi="Arial" w:cs="Arial"/>
                <w:b/>
                <w:bCs/>
                <w:sz w:val="16"/>
                <w:szCs w:val="16"/>
              </w:rPr>
              <w:t>31 grudnia 20</w:t>
            </w:r>
            <w:r>
              <w:rPr>
                <w:rFonts w:ascii="Arial" w:hAnsi="Arial" w:cs="Arial"/>
                <w:b/>
                <w:bCs/>
                <w:sz w:val="16"/>
                <w:szCs w:val="16"/>
              </w:rPr>
              <w:t>20</w:t>
            </w:r>
          </w:p>
        </w:tc>
      </w:tr>
      <w:tr w:rsidR="00600719" w:rsidRPr="00FB5980" w:rsidTr="006D578F">
        <w:trPr>
          <w:trHeight w:val="255"/>
        </w:trPr>
        <w:tc>
          <w:tcPr>
            <w:tcW w:w="5116" w:type="dxa"/>
            <w:tcBorders>
              <w:top w:val="nil"/>
              <w:left w:val="nil"/>
              <w:bottom w:val="nil"/>
              <w:right w:val="nil"/>
            </w:tcBorders>
            <w:noWrap/>
            <w:vAlign w:val="bottom"/>
          </w:tcPr>
          <w:p w:rsidR="00600719" w:rsidRPr="00FB5980" w:rsidRDefault="00600719" w:rsidP="006D578F">
            <w:pPr>
              <w:rPr>
                <w:rFonts w:ascii="Arial" w:hAnsi="Arial" w:cs="Arial"/>
                <w:sz w:val="16"/>
                <w:szCs w:val="16"/>
              </w:rPr>
            </w:pPr>
            <w:r w:rsidRPr="00FB5980">
              <w:rPr>
                <w:rFonts w:ascii="Arial" w:hAnsi="Arial" w:cs="Arial"/>
                <w:sz w:val="16"/>
                <w:szCs w:val="16"/>
              </w:rPr>
              <w:t>Środki pieniężne w kasie</w:t>
            </w:r>
          </w:p>
        </w:tc>
        <w:tc>
          <w:tcPr>
            <w:tcW w:w="1843" w:type="dxa"/>
            <w:tcBorders>
              <w:top w:val="single" w:sz="8" w:space="0" w:color="auto"/>
              <w:left w:val="nil"/>
              <w:bottom w:val="nil"/>
              <w:right w:val="nil"/>
            </w:tcBorders>
            <w:noWrap/>
            <w:vAlign w:val="center"/>
          </w:tcPr>
          <w:p w:rsidR="00600719" w:rsidRPr="00FB5980" w:rsidRDefault="00600719" w:rsidP="006D578F">
            <w:pPr>
              <w:jc w:val="right"/>
              <w:rPr>
                <w:rFonts w:ascii="Arial" w:hAnsi="Arial" w:cs="Arial"/>
                <w:sz w:val="16"/>
                <w:szCs w:val="16"/>
              </w:rPr>
            </w:pPr>
            <w:r w:rsidRPr="008E5BAD">
              <w:rPr>
                <w:rFonts w:ascii="Arial" w:hAnsi="Arial" w:cs="Arial"/>
                <w:sz w:val="16"/>
                <w:szCs w:val="16"/>
              </w:rPr>
              <w:t>24</w:t>
            </w:r>
          </w:p>
        </w:tc>
        <w:tc>
          <w:tcPr>
            <w:tcW w:w="1390" w:type="dxa"/>
            <w:tcBorders>
              <w:top w:val="single" w:sz="8" w:space="0" w:color="auto"/>
              <w:left w:val="nil"/>
              <w:bottom w:val="nil"/>
              <w:right w:val="nil"/>
            </w:tcBorders>
            <w:noWrap/>
            <w:vAlign w:val="center"/>
          </w:tcPr>
          <w:p w:rsidR="00600719" w:rsidRPr="003F3657" w:rsidRDefault="00600719" w:rsidP="006D578F">
            <w:pPr>
              <w:jc w:val="right"/>
              <w:rPr>
                <w:rFonts w:ascii="Arial" w:hAnsi="Arial" w:cs="Arial"/>
                <w:sz w:val="16"/>
                <w:szCs w:val="16"/>
              </w:rPr>
            </w:pPr>
            <w:r w:rsidRPr="003F3657">
              <w:rPr>
                <w:rFonts w:ascii="Arial" w:hAnsi="Arial" w:cs="Arial"/>
                <w:sz w:val="16"/>
                <w:szCs w:val="16"/>
              </w:rPr>
              <w:t>8</w:t>
            </w:r>
          </w:p>
        </w:tc>
      </w:tr>
      <w:tr w:rsidR="00600719" w:rsidRPr="00FB5980" w:rsidTr="006D578F">
        <w:trPr>
          <w:trHeight w:val="255"/>
        </w:trPr>
        <w:tc>
          <w:tcPr>
            <w:tcW w:w="5116" w:type="dxa"/>
            <w:tcBorders>
              <w:top w:val="nil"/>
              <w:left w:val="nil"/>
              <w:bottom w:val="nil"/>
              <w:right w:val="nil"/>
            </w:tcBorders>
            <w:noWrap/>
            <w:vAlign w:val="bottom"/>
          </w:tcPr>
          <w:p w:rsidR="00600719" w:rsidRPr="00FB5980" w:rsidRDefault="00600719" w:rsidP="006D578F">
            <w:pPr>
              <w:rPr>
                <w:rFonts w:ascii="Arial" w:hAnsi="Arial" w:cs="Arial"/>
                <w:sz w:val="16"/>
                <w:szCs w:val="16"/>
              </w:rPr>
            </w:pPr>
            <w:r w:rsidRPr="00FB5980">
              <w:rPr>
                <w:rFonts w:ascii="Arial" w:hAnsi="Arial" w:cs="Arial"/>
                <w:sz w:val="16"/>
                <w:szCs w:val="16"/>
              </w:rPr>
              <w:t>Środki pieniężne na rachunkach bankowych</w:t>
            </w:r>
          </w:p>
        </w:tc>
        <w:tc>
          <w:tcPr>
            <w:tcW w:w="1843" w:type="dxa"/>
            <w:tcBorders>
              <w:top w:val="nil"/>
              <w:left w:val="nil"/>
              <w:bottom w:val="nil"/>
              <w:right w:val="nil"/>
            </w:tcBorders>
            <w:noWrap/>
            <w:vAlign w:val="center"/>
          </w:tcPr>
          <w:p w:rsidR="00600719" w:rsidRPr="00FB5980" w:rsidRDefault="00600719" w:rsidP="006D578F">
            <w:pPr>
              <w:jc w:val="right"/>
              <w:rPr>
                <w:rFonts w:ascii="Arial" w:hAnsi="Arial" w:cs="Arial"/>
                <w:sz w:val="16"/>
                <w:szCs w:val="16"/>
              </w:rPr>
            </w:pPr>
            <w:r w:rsidRPr="008E5BAD">
              <w:rPr>
                <w:rFonts w:ascii="Arial" w:hAnsi="Arial" w:cs="Arial"/>
                <w:sz w:val="16"/>
                <w:szCs w:val="16"/>
              </w:rPr>
              <w:t>515</w:t>
            </w:r>
          </w:p>
        </w:tc>
        <w:tc>
          <w:tcPr>
            <w:tcW w:w="1390" w:type="dxa"/>
            <w:tcBorders>
              <w:top w:val="nil"/>
              <w:left w:val="nil"/>
              <w:bottom w:val="nil"/>
              <w:right w:val="nil"/>
            </w:tcBorders>
            <w:noWrap/>
            <w:vAlign w:val="center"/>
          </w:tcPr>
          <w:p w:rsidR="00600719" w:rsidRPr="003F3657" w:rsidRDefault="00600719" w:rsidP="006D578F">
            <w:pPr>
              <w:jc w:val="right"/>
              <w:rPr>
                <w:rFonts w:ascii="Arial" w:hAnsi="Arial" w:cs="Arial"/>
                <w:sz w:val="16"/>
                <w:szCs w:val="16"/>
              </w:rPr>
            </w:pPr>
            <w:r w:rsidRPr="003F3657">
              <w:rPr>
                <w:rFonts w:ascii="Arial" w:hAnsi="Arial" w:cs="Arial"/>
                <w:sz w:val="16"/>
                <w:szCs w:val="16"/>
              </w:rPr>
              <w:t>1 344</w:t>
            </w:r>
          </w:p>
        </w:tc>
      </w:tr>
      <w:tr w:rsidR="00600719" w:rsidRPr="00FB5980" w:rsidTr="006D578F">
        <w:trPr>
          <w:trHeight w:val="255"/>
        </w:trPr>
        <w:tc>
          <w:tcPr>
            <w:tcW w:w="5116" w:type="dxa"/>
            <w:tcBorders>
              <w:top w:val="nil"/>
              <w:left w:val="nil"/>
              <w:bottom w:val="nil"/>
              <w:right w:val="nil"/>
            </w:tcBorders>
            <w:noWrap/>
            <w:vAlign w:val="bottom"/>
          </w:tcPr>
          <w:p w:rsidR="00600719" w:rsidRPr="00FB5980" w:rsidRDefault="00600719" w:rsidP="006D578F">
            <w:pPr>
              <w:rPr>
                <w:rFonts w:ascii="Arial" w:hAnsi="Arial" w:cs="Arial"/>
                <w:sz w:val="16"/>
                <w:szCs w:val="16"/>
              </w:rPr>
            </w:pPr>
            <w:r w:rsidRPr="00FB5980">
              <w:rPr>
                <w:rFonts w:ascii="Arial" w:hAnsi="Arial" w:cs="Arial"/>
                <w:sz w:val="16"/>
                <w:szCs w:val="16"/>
              </w:rPr>
              <w:t>Inne środki pieniężne</w:t>
            </w:r>
          </w:p>
        </w:tc>
        <w:tc>
          <w:tcPr>
            <w:tcW w:w="1843" w:type="dxa"/>
            <w:tcBorders>
              <w:top w:val="nil"/>
              <w:left w:val="nil"/>
              <w:bottom w:val="nil"/>
              <w:right w:val="nil"/>
            </w:tcBorders>
            <w:noWrap/>
            <w:vAlign w:val="center"/>
          </w:tcPr>
          <w:p w:rsidR="00600719" w:rsidRPr="00FB5980" w:rsidRDefault="00600719" w:rsidP="006D578F">
            <w:pPr>
              <w:jc w:val="right"/>
              <w:rPr>
                <w:rFonts w:ascii="Arial" w:hAnsi="Arial" w:cs="Arial"/>
                <w:sz w:val="16"/>
                <w:szCs w:val="16"/>
              </w:rPr>
            </w:pPr>
            <w:r w:rsidRPr="008E5BAD">
              <w:rPr>
                <w:rFonts w:ascii="Arial" w:hAnsi="Arial" w:cs="Arial"/>
                <w:sz w:val="16"/>
                <w:szCs w:val="16"/>
              </w:rPr>
              <w:t>16</w:t>
            </w:r>
          </w:p>
        </w:tc>
        <w:tc>
          <w:tcPr>
            <w:tcW w:w="1390" w:type="dxa"/>
            <w:tcBorders>
              <w:top w:val="nil"/>
              <w:left w:val="nil"/>
              <w:bottom w:val="nil"/>
              <w:right w:val="nil"/>
            </w:tcBorders>
            <w:noWrap/>
            <w:vAlign w:val="center"/>
          </w:tcPr>
          <w:p w:rsidR="00600719" w:rsidRPr="003F3657" w:rsidRDefault="00600719" w:rsidP="006D578F">
            <w:pPr>
              <w:jc w:val="right"/>
              <w:rPr>
                <w:rFonts w:ascii="Arial" w:hAnsi="Arial" w:cs="Arial"/>
                <w:sz w:val="16"/>
                <w:szCs w:val="16"/>
              </w:rPr>
            </w:pPr>
            <w:r w:rsidRPr="003F3657">
              <w:rPr>
                <w:rFonts w:ascii="Arial" w:hAnsi="Arial" w:cs="Arial"/>
                <w:sz w:val="16"/>
                <w:szCs w:val="16"/>
              </w:rPr>
              <w:t>4</w:t>
            </w:r>
          </w:p>
        </w:tc>
      </w:tr>
      <w:tr w:rsidR="00600719" w:rsidRPr="00FB5980" w:rsidTr="006D578F">
        <w:trPr>
          <w:trHeight w:val="270"/>
        </w:trPr>
        <w:tc>
          <w:tcPr>
            <w:tcW w:w="5116" w:type="dxa"/>
            <w:tcBorders>
              <w:top w:val="nil"/>
              <w:left w:val="nil"/>
              <w:bottom w:val="nil"/>
              <w:right w:val="nil"/>
            </w:tcBorders>
            <w:noWrap/>
            <w:vAlign w:val="bottom"/>
          </w:tcPr>
          <w:p w:rsidR="00600719" w:rsidRPr="00FB5980" w:rsidRDefault="00600719" w:rsidP="006D578F">
            <w:pPr>
              <w:rPr>
                <w:rFonts w:ascii="Arial" w:hAnsi="Arial" w:cs="Arial"/>
                <w:sz w:val="16"/>
                <w:szCs w:val="16"/>
              </w:rPr>
            </w:pPr>
            <w:r w:rsidRPr="00FB5980">
              <w:rPr>
                <w:rFonts w:ascii="Arial" w:hAnsi="Arial" w:cs="Arial"/>
                <w:sz w:val="16"/>
                <w:szCs w:val="16"/>
              </w:rPr>
              <w:t>Inne aktywa finansowe o terminie płatności do 3 miesięcy od dnia nabycia</w:t>
            </w:r>
          </w:p>
        </w:tc>
        <w:tc>
          <w:tcPr>
            <w:tcW w:w="1843" w:type="dxa"/>
            <w:tcBorders>
              <w:top w:val="nil"/>
              <w:left w:val="nil"/>
              <w:bottom w:val="nil"/>
              <w:right w:val="nil"/>
            </w:tcBorders>
            <w:noWrap/>
            <w:vAlign w:val="center"/>
          </w:tcPr>
          <w:p w:rsidR="00600719" w:rsidRPr="00FB5980" w:rsidRDefault="00600719" w:rsidP="006D578F">
            <w:pPr>
              <w:jc w:val="right"/>
              <w:rPr>
                <w:rFonts w:ascii="Arial" w:hAnsi="Arial" w:cs="Arial"/>
                <w:sz w:val="16"/>
                <w:szCs w:val="16"/>
              </w:rPr>
            </w:pPr>
            <w:r w:rsidRPr="008E5BAD">
              <w:rPr>
                <w:rFonts w:ascii="Arial" w:hAnsi="Arial" w:cs="Arial"/>
                <w:sz w:val="16"/>
                <w:szCs w:val="16"/>
              </w:rPr>
              <w:t>9 147</w:t>
            </w:r>
          </w:p>
        </w:tc>
        <w:tc>
          <w:tcPr>
            <w:tcW w:w="1390" w:type="dxa"/>
            <w:tcBorders>
              <w:top w:val="nil"/>
              <w:left w:val="nil"/>
              <w:bottom w:val="nil"/>
              <w:right w:val="nil"/>
            </w:tcBorders>
            <w:noWrap/>
            <w:vAlign w:val="center"/>
          </w:tcPr>
          <w:p w:rsidR="00600719" w:rsidRPr="003F3657" w:rsidRDefault="00600719" w:rsidP="006D578F">
            <w:pPr>
              <w:jc w:val="right"/>
              <w:rPr>
                <w:rFonts w:ascii="Arial" w:hAnsi="Arial" w:cs="Arial"/>
                <w:sz w:val="16"/>
                <w:szCs w:val="16"/>
              </w:rPr>
            </w:pPr>
            <w:r w:rsidRPr="003F3657">
              <w:rPr>
                <w:rFonts w:ascii="Arial" w:hAnsi="Arial" w:cs="Arial"/>
                <w:sz w:val="16"/>
                <w:szCs w:val="16"/>
              </w:rPr>
              <w:t>-</w:t>
            </w:r>
          </w:p>
        </w:tc>
      </w:tr>
      <w:tr w:rsidR="00600719" w:rsidRPr="00FB5980" w:rsidTr="006D578F">
        <w:trPr>
          <w:trHeight w:val="74"/>
        </w:trPr>
        <w:tc>
          <w:tcPr>
            <w:tcW w:w="5116" w:type="dxa"/>
            <w:tcBorders>
              <w:top w:val="nil"/>
              <w:left w:val="nil"/>
              <w:bottom w:val="nil"/>
              <w:right w:val="nil"/>
            </w:tcBorders>
            <w:noWrap/>
            <w:vAlign w:val="bottom"/>
          </w:tcPr>
          <w:p w:rsidR="00600719" w:rsidRPr="00FB5980" w:rsidRDefault="00600719" w:rsidP="006D578F">
            <w:pPr>
              <w:rPr>
                <w:rFonts w:ascii="Arial" w:hAnsi="Arial" w:cs="Arial"/>
                <w:b/>
                <w:bCs/>
                <w:sz w:val="16"/>
                <w:szCs w:val="16"/>
              </w:rPr>
            </w:pPr>
            <w:r w:rsidRPr="00FB5980">
              <w:rPr>
                <w:rFonts w:ascii="Arial" w:hAnsi="Arial" w:cs="Arial"/>
                <w:b/>
                <w:bCs/>
                <w:sz w:val="16"/>
                <w:szCs w:val="16"/>
              </w:rPr>
              <w:t>Razem środki pieniężne i ich ekwiwalenty</w:t>
            </w:r>
          </w:p>
        </w:tc>
        <w:tc>
          <w:tcPr>
            <w:tcW w:w="1843" w:type="dxa"/>
            <w:tcBorders>
              <w:top w:val="single" w:sz="8" w:space="0" w:color="auto"/>
              <w:left w:val="nil"/>
              <w:bottom w:val="single" w:sz="8" w:space="0" w:color="auto"/>
              <w:right w:val="nil"/>
            </w:tcBorders>
            <w:noWrap/>
            <w:vAlign w:val="center"/>
          </w:tcPr>
          <w:p w:rsidR="00600719" w:rsidRPr="00FB5980" w:rsidRDefault="00600719" w:rsidP="006D578F">
            <w:pPr>
              <w:jc w:val="right"/>
              <w:rPr>
                <w:rFonts w:ascii="Arial" w:hAnsi="Arial" w:cs="Arial"/>
                <w:b/>
                <w:bCs/>
                <w:sz w:val="16"/>
                <w:szCs w:val="16"/>
              </w:rPr>
            </w:pPr>
            <w:r>
              <w:rPr>
                <w:rFonts w:ascii="Arial" w:hAnsi="Arial" w:cs="Arial"/>
                <w:b/>
                <w:bCs/>
                <w:sz w:val="16"/>
                <w:szCs w:val="16"/>
              </w:rPr>
              <w:t>9 702</w:t>
            </w:r>
          </w:p>
        </w:tc>
        <w:tc>
          <w:tcPr>
            <w:tcW w:w="1390" w:type="dxa"/>
            <w:tcBorders>
              <w:top w:val="single" w:sz="8" w:space="0" w:color="auto"/>
              <w:left w:val="nil"/>
              <w:bottom w:val="single" w:sz="8" w:space="0" w:color="auto"/>
              <w:right w:val="nil"/>
            </w:tcBorders>
            <w:noWrap/>
            <w:vAlign w:val="center"/>
          </w:tcPr>
          <w:p w:rsidR="00600719" w:rsidRPr="003F3657" w:rsidRDefault="00600719" w:rsidP="006D578F">
            <w:pPr>
              <w:jc w:val="right"/>
              <w:rPr>
                <w:rFonts w:ascii="Arial" w:hAnsi="Arial" w:cs="Arial"/>
                <w:b/>
                <w:bCs/>
                <w:sz w:val="16"/>
                <w:szCs w:val="16"/>
              </w:rPr>
            </w:pPr>
            <w:r w:rsidRPr="003F3657">
              <w:rPr>
                <w:rFonts w:ascii="Arial" w:hAnsi="Arial" w:cs="Arial"/>
                <w:b/>
                <w:bCs/>
                <w:sz w:val="16"/>
                <w:szCs w:val="16"/>
              </w:rPr>
              <w:t>1 356</w:t>
            </w:r>
          </w:p>
        </w:tc>
      </w:tr>
    </w:tbl>
    <w:p w:rsidR="00600719" w:rsidRDefault="00600719" w:rsidP="00600719">
      <w:pPr>
        <w:rPr>
          <w:rFonts w:ascii="Arial" w:hAnsi="Arial" w:cs="Arial"/>
          <w:b/>
          <w:bCs/>
          <w:sz w:val="18"/>
          <w:szCs w:val="18"/>
        </w:rPr>
      </w:pPr>
    </w:p>
    <w:p w:rsidR="00600719" w:rsidRDefault="00600719" w:rsidP="00600719">
      <w:pPr>
        <w:rPr>
          <w:rFonts w:ascii="Arial" w:hAnsi="Arial" w:cs="Arial"/>
          <w:b/>
          <w:bCs/>
          <w:sz w:val="18"/>
          <w:szCs w:val="18"/>
        </w:rPr>
      </w:pPr>
    </w:p>
    <w:p w:rsidR="00600719" w:rsidRDefault="00600719" w:rsidP="00600719">
      <w:pPr>
        <w:rPr>
          <w:rFonts w:ascii="Arial" w:hAnsi="Arial" w:cs="Arial"/>
          <w:b/>
          <w:bCs/>
          <w:sz w:val="18"/>
          <w:szCs w:val="18"/>
        </w:rPr>
      </w:pPr>
      <w:r>
        <w:rPr>
          <w:rFonts w:ascii="Arial" w:hAnsi="Arial" w:cs="Arial"/>
          <w:b/>
          <w:bCs/>
          <w:sz w:val="18"/>
          <w:szCs w:val="18"/>
        </w:rPr>
        <w:br/>
      </w:r>
    </w:p>
    <w:p w:rsidR="00600719" w:rsidRDefault="00600719" w:rsidP="00600719">
      <w:pPr>
        <w:rPr>
          <w:rFonts w:ascii="Arial" w:hAnsi="Arial" w:cs="Arial"/>
          <w:b/>
          <w:bCs/>
          <w:sz w:val="18"/>
          <w:szCs w:val="18"/>
        </w:rPr>
      </w:pPr>
      <w:r>
        <w:rPr>
          <w:rFonts w:ascii="Arial" w:hAnsi="Arial" w:cs="Arial"/>
          <w:b/>
          <w:bCs/>
          <w:sz w:val="18"/>
          <w:szCs w:val="18"/>
        </w:rPr>
        <w:br w:type="page"/>
      </w:r>
    </w:p>
    <w:p w:rsidR="00600719" w:rsidRPr="0050133E" w:rsidRDefault="00600719" w:rsidP="00600719">
      <w:pPr>
        <w:rPr>
          <w:rFonts w:ascii="Arial" w:hAnsi="Arial" w:cs="Arial"/>
          <w:b/>
          <w:bCs/>
          <w:sz w:val="18"/>
          <w:szCs w:val="18"/>
        </w:rPr>
      </w:pPr>
      <w:r w:rsidRPr="0050133E">
        <w:rPr>
          <w:rFonts w:ascii="Arial" w:hAnsi="Arial" w:cs="Arial"/>
          <w:b/>
          <w:bCs/>
          <w:sz w:val="18"/>
          <w:szCs w:val="18"/>
        </w:rPr>
        <w:lastRenderedPageBreak/>
        <w:t>IV. Instrumenty finansowe</w:t>
      </w:r>
    </w:p>
    <w:p w:rsidR="00600719" w:rsidRPr="0050133E" w:rsidRDefault="00600719" w:rsidP="00600719">
      <w:pPr>
        <w:jc w:val="both"/>
        <w:rPr>
          <w:rFonts w:ascii="Arial" w:hAnsi="Arial" w:cs="Arial"/>
          <w:sz w:val="18"/>
          <w:szCs w:val="18"/>
        </w:rPr>
      </w:pPr>
    </w:p>
    <w:p w:rsidR="00600719" w:rsidRPr="00EC2380" w:rsidRDefault="00600719" w:rsidP="00600719">
      <w:pPr>
        <w:tabs>
          <w:tab w:val="left" w:pos="540"/>
        </w:tabs>
        <w:spacing w:line="260" w:lineRule="exact"/>
        <w:jc w:val="both"/>
        <w:rPr>
          <w:rFonts w:ascii="Arial" w:hAnsi="Arial" w:cs="Arial"/>
          <w:b/>
          <w:bCs/>
          <w:i/>
          <w:sz w:val="18"/>
          <w:szCs w:val="18"/>
        </w:rPr>
      </w:pPr>
      <w:r w:rsidRPr="0050133E">
        <w:rPr>
          <w:rFonts w:ascii="Arial" w:hAnsi="Arial" w:cs="Arial"/>
          <w:b/>
          <w:bCs/>
          <w:i/>
          <w:sz w:val="18"/>
          <w:szCs w:val="18"/>
        </w:rPr>
        <w:t>a) ujęcie strat z tytułu utraty wartości aktywów finansowych, rzeczowych aktywów trwałych, wartości niematerialnych, aktywów wynikających z umów z klientami lub innych aktywów oraz odwracanie takich strat z tytułu utraty wartości</w:t>
      </w:r>
    </w:p>
    <w:p w:rsidR="00600719" w:rsidRPr="00EC2380" w:rsidRDefault="00600719" w:rsidP="00600719">
      <w:pPr>
        <w:jc w:val="both"/>
        <w:rPr>
          <w:rFonts w:ascii="Arial" w:hAnsi="Arial" w:cs="Arial"/>
          <w:sz w:val="18"/>
          <w:szCs w:val="18"/>
        </w:rPr>
      </w:pPr>
    </w:p>
    <w:p w:rsidR="00600719" w:rsidRPr="00EC2380" w:rsidRDefault="00600719" w:rsidP="00600719">
      <w:pPr>
        <w:jc w:val="both"/>
        <w:rPr>
          <w:rFonts w:ascii="Arial" w:hAnsi="Arial" w:cs="Arial"/>
          <w:sz w:val="18"/>
          <w:szCs w:val="18"/>
        </w:rPr>
      </w:pPr>
      <w:r w:rsidRPr="00EC2380">
        <w:rPr>
          <w:rFonts w:ascii="Arial" w:hAnsi="Arial" w:cs="Arial"/>
          <w:sz w:val="18"/>
          <w:szCs w:val="18"/>
        </w:rPr>
        <w:t>Kalkulacja wartości odpisu na należności wg stanu na dzień 30.09.202</w:t>
      </w:r>
      <w:r>
        <w:rPr>
          <w:rFonts w:ascii="Arial" w:hAnsi="Arial" w:cs="Arial"/>
          <w:sz w:val="18"/>
          <w:szCs w:val="18"/>
        </w:rPr>
        <w:t>1</w:t>
      </w:r>
      <w:r w:rsidRPr="00EC2380">
        <w:rPr>
          <w:rFonts w:ascii="Arial" w:hAnsi="Arial" w:cs="Arial"/>
          <w:sz w:val="18"/>
          <w:szCs w:val="18"/>
        </w:rPr>
        <w:t xml:space="preserve"> r. przedstawia się następująco:</w:t>
      </w:r>
    </w:p>
    <w:p w:rsidR="00600719" w:rsidRPr="00EC2380" w:rsidRDefault="00600719" w:rsidP="00600719">
      <w:pPr>
        <w:jc w:val="both"/>
        <w:rPr>
          <w:rFonts w:ascii="Arial" w:hAnsi="Arial" w:cs="Arial"/>
          <w:sz w:val="18"/>
          <w:szCs w:val="18"/>
        </w:rPr>
      </w:pPr>
    </w:p>
    <w:tbl>
      <w:tblPr>
        <w:tblW w:w="9360" w:type="dxa"/>
        <w:tblInd w:w="-15" w:type="dxa"/>
        <w:tblCellMar>
          <w:left w:w="0" w:type="dxa"/>
          <w:right w:w="0" w:type="dxa"/>
        </w:tblCellMar>
        <w:tblLook w:val="04A0" w:firstRow="1" w:lastRow="0" w:firstColumn="1" w:lastColumn="0" w:noHBand="0" w:noVBand="1"/>
      </w:tblPr>
      <w:tblGrid>
        <w:gridCol w:w="7732"/>
        <w:gridCol w:w="1553"/>
        <w:gridCol w:w="75"/>
      </w:tblGrid>
      <w:tr w:rsidR="00600719" w:rsidRPr="00F06708" w:rsidTr="006D578F">
        <w:trPr>
          <w:trHeight w:val="375"/>
        </w:trPr>
        <w:tc>
          <w:tcPr>
            <w:tcW w:w="9360" w:type="dxa"/>
            <w:gridSpan w:val="3"/>
            <w:shd w:val="clear" w:color="auto" w:fill="auto"/>
            <w:noWrap/>
            <w:tcMar>
              <w:top w:w="0" w:type="dxa"/>
              <w:left w:w="70" w:type="dxa"/>
              <w:bottom w:w="0" w:type="dxa"/>
              <w:right w:w="70" w:type="dxa"/>
            </w:tcMar>
            <w:vAlign w:val="bottom"/>
            <w:hideMark/>
          </w:tcPr>
          <w:p w:rsidR="00600719" w:rsidRPr="00F06708" w:rsidRDefault="00600719" w:rsidP="006D578F">
            <w:pPr>
              <w:jc w:val="center"/>
              <w:rPr>
                <w:rFonts w:ascii="Arial" w:eastAsiaTheme="minorHAnsi" w:hAnsi="Arial" w:cs="Arial"/>
                <w:b/>
                <w:bCs/>
                <w:sz w:val="16"/>
                <w:szCs w:val="16"/>
              </w:rPr>
            </w:pPr>
            <w:r w:rsidRPr="00F06708">
              <w:rPr>
                <w:rFonts w:ascii="Arial" w:hAnsi="Arial" w:cs="Arial"/>
                <w:b/>
                <w:bCs/>
                <w:sz w:val="16"/>
                <w:szCs w:val="16"/>
              </w:rPr>
              <w:t>Kalkulacja wartości odpisu na dzień 30.09.2021r.</w:t>
            </w:r>
          </w:p>
        </w:tc>
      </w:tr>
      <w:tr w:rsidR="00600719" w:rsidRPr="00F06708" w:rsidTr="006D578F">
        <w:trPr>
          <w:gridAfter w:val="1"/>
          <w:wAfter w:w="75" w:type="dxa"/>
          <w:trHeight w:val="300"/>
        </w:trPr>
        <w:tc>
          <w:tcPr>
            <w:tcW w:w="7732" w:type="dxa"/>
            <w:shd w:val="clear" w:color="auto" w:fill="auto"/>
            <w:noWrap/>
            <w:tcMar>
              <w:top w:w="0" w:type="dxa"/>
              <w:left w:w="70" w:type="dxa"/>
              <w:bottom w:w="0" w:type="dxa"/>
              <w:right w:w="70" w:type="dxa"/>
            </w:tcMar>
            <w:vAlign w:val="bottom"/>
            <w:hideMark/>
          </w:tcPr>
          <w:p w:rsidR="00600719" w:rsidRPr="00F06708" w:rsidRDefault="00600719" w:rsidP="006D578F">
            <w:pPr>
              <w:rPr>
                <w:rFonts w:ascii="Arial" w:hAnsi="Arial" w:cs="Arial"/>
                <w:sz w:val="16"/>
                <w:szCs w:val="16"/>
              </w:rPr>
            </w:pPr>
          </w:p>
        </w:tc>
        <w:tc>
          <w:tcPr>
            <w:tcW w:w="1553" w:type="dxa"/>
            <w:shd w:val="clear" w:color="auto" w:fill="auto"/>
            <w:noWrap/>
            <w:tcMar>
              <w:top w:w="0" w:type="dxa"/>
              <w:left w:w="70" w:type="dxa"/>
              <w:bottom w:w="0" w:type="dxa"/>
              <w:right w:w="70" w:type="dxa"/>
            </w:tcMar>
            <w:vAlign w:val="bottom"/>
            <w:hideMark/>
          </w:tcPr>
          <w:p w:rsidR="00600719" w:rsidRPr="00F06708" w:rsidRDefault="00600719" w:rsidP="006D578F">
            <w:pPr>
              <w:rPr>
                <w:rFonts w:ascii="Arial" w:hAnsi="Arial" w:cs="Arial"/>
                <w:sz w:val="16"/>
                <w:szCs w:val="16"/>
              </w:rPr>
            </w:pPr>
          </w:p>
        </w:tc>
      </w:tr>
      <w:tr w:rsidR="00600719" w:rsidRPr="00F06708" w:rsidTr="006D578F">
        <w:trPr>
          <w:gridAfter w:val="1"/>
          <w:wAfter w:w="75" w:type="dxa"/>
          <w:trHeight w:val="66"/>
        </w:trPr>
        <w:tc>
          <w:tcPr>
            <w:tcW w:w="7732" w:type="dxa"/>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600719" w:rsidRPr="00F06708" w:rsidRDefault="00600719" w:rsidP="006D578F">
            <w:pPr>
              <w:rPr>
                <w:rFonts w:ascii="Arial" w:eastAsiaTheme="minorHAnsi" w:hAnsi="Arial" w:cs="Arial"/>
                <w:b/>
                <w:bCs/>
                <w:color w:val="000000"/>
                <w:sz w:val="16"/>
                <w:szCs w:val="16"/>
              </w:rPr>
            </w:pPr>
            <w:r w:rsidRPr="00F06708">
              <w:rPr>
                <w:rFonts w:ascii="Arial" w:hAnsi="Arial" w:cs="Arial"/>
                <w:b/>
                <w:bCs/>
                <w:color w:val="000000"/>
                <w:sz w:val="16"/>
                <w:szCs w:val="16"/>
              </w:rPr>
              <w:t>Wartość portfela na dzień wyceny</w:t>
            </w:r>
          </w:p>
        </w:tc>
        <w:tc>
          <w:tcPr>
            <w:tcW w:w="1553" w:type="dxa"/>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600719" w:rsidRPr="00F06708" w:rsidRDefault="00600719" w:rsidP="006D578F">
            <w:pPr>
              <w:jc w:val="right"/>
              <w:rPr>
                <w:rFonts w:ascii="Arial" w:eastAsiaTheme="minorHAnsi" w:hAnsi="Arial" w:cs="Arial"/>
                <w:i/>
                <w:iCs/>
                <w:color w:val="000000"/>
                <w:sz w:val="16"/>
                <w:szCs w:val="16"/>
              </w:rPr>
            </w:pPr>
            <w:r w:rsidRPr="00F06708">
              <w:rPr>
                <w:rFonts w:ascii="Arial" w:hAnsi="Arial" w:cs="Arial"/>
                <w:i/>
                <w:iCs/>
                <w:color w:val="000000"/>
                <w:sz w:val="16"/>
                <w:szCs w:val="16"/>
              </w:rPr>
              <w:t>PLN</w:t>
            </w:r>
          </w:p>
        </w:tc>
      </w:tr>
      <w:tr w:rsidR="00600719" w:rsidRPr="00F06708" w:rsidTr="006D578F">
        <w:trPr>
          <w:gridAfter w:val="1"/>
          <w:wAfter w:w="75" w:type="dxa"/>
          <w:trHeight w:val="289"/>
        </w:trPr>
        <w:tc>
          <w:tcPr>
            <w:tcW w:w="7732" w:type="dxa"/>
            <w:shd w:val="clear" w:color="auto" w:fill="auto"/>
            <w:noWrap/>
            <w:tcMar>
              <w:top w:w="0" w:type="dxa"/>
              <w:left w:w="70" w:type="dxa"/>
              <w:bottom w:w="0" w:type="dxa"/>
              <w:right w:w="70" w:type="dxa"/>
            </w:tcMar>
            <w:vAlign w:val="bottom"/>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Nieprzeterminowane</w:t>
            </w:r>
          </w:p>
        </w:tc>
        <w:tc>
          <w:tcPr>
            <w:tcW w:w="1553" w:type="dxa"/>
            <w:shd w:val="clear" w:color="auto" w:fill="auto"/>
            <w:noWrap/>
            <w:tcMar>
              <w:top w:w="0" w:type="dxa"/>
              <w:left w:w="70" w:type="dxa"/>
              <w:bottom w:w="0" w:type="dxa"/>
              <w:right w:w="70" w:type="dxa"/>
            </w:tcMar>
            <w:vAlign w:val="bottom"/>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876 509</w:t>
            </w:r>
          </w:p>
        </w:tc>
      </w:tr>
      <w:tr w:rsidR="00600719" w:rsidRPr="00F06708" w:rsidTr="006D578F">
        <w:trPr>
          <w:gridAfter w:val="1"/>
          <w:wAfter w:w="75" w:type="dxa"/>
          <w:trHeight w:val="289"/>
        </w:trPr>
        <w:tc>
          <w:tcPr>
            <w:tcW w:w="7732" w:type="dxa"/>
            <w:shd w:val="clear" w:color="auto" w:fill="auto"/>
            <w:noWrap/>
            <w:tcMar>
              <w:top w:w="0" w:type="dxa"/>
              <w:left w:w="70" w:type="dxa"/>
              <w:bottom w:w="0" w:type="dxa"/>
              <w:right w:w="70" w:type="dxa"/>
            </w:tcMar>
            <w:vAlign w:val="bottom"/>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DPD &lt;  1, 30)</w:t>
            </w:r>
          </w:p>
        </w:tc>
        <w:tc>
          <w:tcPr>
            <w:tcW w:w="1553" w:type="dxa"/>
            <w:shd w:val="clear" w:color="auto" w:fill="auto"/>
            <w:noWrap/>
            <w:tcMar>
              <w:top w:w="0" w:type="dxa"/>
              <w:left w:w="70" w:type="dxa"/>
              <w:bottom w:w="0" w:type="dxa"/>
              <w:right w:w="70" w:type="dxa"/>
            </w:tcMar>
            <w:vAlign w:val="bottom"/>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35 888</w:t>
            </w:r>
          </w:p>
        </w:tc>
      </w:tr>
      <w:tr w:rsidR="00600719" w:rsidRPr="00F06708" w:rsidTr="006D578F">
        <w:trPr>
          <w:gridAfter w:val="1"/>
          <w:wAfter w:w="75" w:type="dxa"/>
          <w:trHeight w:val="289"/>
        </w:trPr>
        <w:tc>
          <w:tcPr>
            <w:tcW w:w="7732" w:type="dxa"/>
            <w:shd w:val="clear" w:color="auto" w:fill="auto"/>
            <w:noWrap/>
            <w:tcMar>
              <w:top w:w="0" w:type="dxa"/>
              <w:left w:w="70" w:type="dxa"/>
              <w:bottom w:w="0" w:type="dxa"/>
              <w:right w:w="70" w:type="dxa"/>
            </w:tcMar>
            <w:vAlign w:val="bottom"/>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DPD &lt;30, 60)</w:t>
            </w:r>
          </w:p>
        </w:tc>
        <w:tc>
          <w:tcPr>
            <w:tcW w:w="1553" w:type="dxa"/>
            <w:shd w:val="clear" w:color="auto" w:fill="auto"/>
            <w:noWrap/>
            <w:tcMar>
              <w:top w:w="0" w:type="dxa"/>
              <w:left w:w="70" w:type="dxa"/>
              <w:bottom w:w="0" w:type="dxa"/>
              <w:right w:w="70" w:type="dxa"/>
            </w:tcMar>
            <w:vAlign w:val="bottom"/>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48 231</w:t>
            </w:r>
          </w:p>
        </w:tc>
      </w:tr>
      <w:tr w:rsidR="00600719" w:rsidRPr="00F06708" w:rsidTr="006D578F">
        <w:trPr>
          <w:gridAfter w:val="1"/>
          <w:wAfter w:w="75" w:type="dxa"/>
          <w:trHeight w:val="289"/>
        </w:trPr>
        <w:tc>
          <w:tcPr>
            <w:tcW w:w="7732" w:type="dxa"/>
            <w:shd w:val="clear" w:color="auto" w:fill="auto"/>
            <w:noWrap/>
            <w:tcMar>
              <w:top w:w="0" w:type="dxa"/>
              <w:left w:w="70" w:type="dxa"/>
              <w:bottom w:w="0" w:type="dxa"/>
              <w:right w:w="70" w:type="dxa"/>
            </w:tcMar>
            <w:vAlign w:val="bottom"/>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DPD &lt;60, 90)</w:t>
            </w:r>
          </w:p>
        </w:tc>
        <w:tc>
          <w:tcPr>
            <w:tcW w:w="1553" w:type="dxa"/>
            <w:shd w:val="clear" w:color="auto" w:fill="auto"/>
            <w:noWrap/>
            <w:tcMar>
              <w:top w:w="0" w:type="dxa"/>
              <w:left w:w="70" w:type="dxa"/>
              <w:bottom w:w="0" w:type="dxa"/>
              <w:right w:w="70" w:type="dxa"/>
            </w:tcMar>
            <w:vAlign w:val="bottom"/>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3 813</w:t>
            </w:r>
          </w:p>
        </w:tc>
      </w:tr>
      <w:tr w:rsidR="00600719" w:rsidRPr="00F06708" w:rsidTr="006D578F">
        <w:trPr>
          <w:gridAfter w:val="1"/>
          <w:wAfter w:w="75" w:type="dxa"/>
          <w:trHeight w:val="289"/>
        </w:trPr>
        <w:tc>
          <w:tcPr>
            <w:tcW w:w="7732" w:type="dxa"/>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600719" w:rsidRPr="00F06708" w:rsidRDefault="00600719" w:rsidP="006D578F">
            <w:pPr>
              <w:rPr>
                <w:rFonts w:ascii="Arial" w:hAnsi="Arial" w:cs="Arial"/>
                <w:color w:val="000000"/>
                <w:sz w:val="16"/>
                <w:szCs w:val="16"/>
              </w:rPr>
            </w:pPr>
            <w:proofErr w:type="spellStart"/>
            <w:r w:rsidRPr="00F06708">
              <w:rPr>
                <w:rFonts w:ascii="Arial" w:hAnsi="Arial" w:cs="Arial"/>
                <w:color w:val="000000"/>
                <w:sz w:val="16"/>
                <w:szCs w:val="16"/>
              </w:rPr>
              <w:t>Default</w:t>
            </w:r>
            <w:proofErr w:type="spellEnd"/>
          </w:p>
        </w:tc>
        <w:tc>
          <w:tcPr>
            <w:tcW w:w="1553" w:type="dxa"/>
            <w:shd w:val="clear" w:color="auto" w:fill="auto"/>
            <w:noWrap/>
            <w:tcMar>
              <w:top w:w="0" w:type="dxa"/>
              <w:left w:w="70" w:type="dxa"/>
              <w:bottom w:w="0" w:type="dxa"/>
              <w:right w:w="70" w:type="dxa"/>
            </w:tcMar>
            <w:vAlign w:val="bottom"/>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307 848</w:t>
            </w:r>
          </w:p>
        </w:tc>
      </w:tr>
      <w:tr w:rsidR="00600719" w:rsidRPr="00F06708" w:rsidTr="006D578F">
        <w:trPr>
          <w:gridAfter w:val="1"/>
          <w:wAfter w:w="75" w:type="dxa"/>
          <w:trHeight w:val="300"/>
        </w:trPr>
        <w:tc>
          <w:tcPr>
            <w:tcW w:w="7732" w:type="dxa"/>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600719" w:rsidRPr="00F06708" w:rsidRDefault="00600719" w:rsidP="006D578F">
            <w:pPr>
              <w:rPr>
                <w:rFonts w:ascii="Arial" w:hAnsi="Arial" w:cs="Arial"/>
                <w:b/>
                <w:color w:val="000000"/>
                <w:sz w:val="16"/>
                <w:szCs w:val="16"/>
              </w:rPr>
            </w:pPr>
            <w:r w:rsidRPr="00F06708">
              <w:rPr>
                <w:rFonts w:ascii="Arial" w:hAnsi="Arial" w:cs="Arial"/>
                <w:b/>
                <w:color w:val="000000"/>
                <w:sz w:val="16"/>
                <w:szCs w:val="16"/>
              </w:rPr>
              <w:t> </w:t>
            </w:r>
          </w:p>
        </w:tc>
        <w:tc>
          <w:tcPr>
            <w:tcW w:w="1553" w:type="dxa"/>
            <w:tcBorders>
              <w:top w:val="single" w:sz="8" w:space="0" w:color="auto"/>
              <w:left w:val="nil"/>
              <w:bottom w:val="single" w:sz="8" w:space="0" w:color="auto"/>
              <w:right w:val="nil"/>
            </w:tcBorders>
            <w:shd w:val="clear" w:color="auto" w:fill="auto"/>
            <w:noWrap/>
            <w:tcMar>
              <w:top w:w="0" w:type="dxa"/>
              <w:left w:w="70" w:type="dxa"/>
              <w:bottom w:w="0" w:type="dxa"/>
              <w:right w:w="70" w:type="dxa"/>
            </w:tcMar>
            <w:vAlign w:val="bottom"/>
            <w:hideMark/>
          </w:tcPr>
          <w:p w:rsidR="00600719" w:rsidRPr="00F06708" w:rsidRDefault="00600719" w:rsidP="006D578F">
            <w:pPr>
              <w:jc w:val="right"/>
              <w:rPr>
                <w:rFonts w:ascii="Arial" w:hAnsi="Arial" w:cs="Arial"/>
                <w:b/>
                <w:color w:val="000000"/>
                <w:sz w:val="16"/>
                <w:szCs w:val="16"/>
              </w:rPr>
            </w:pPr>
            <w:r w:rsidRPr="00F06708">
              <w:rPr>
                <w:rFonts w:ascii="Arial" w:hAnsi="Arial" w:cs="Arial"/>
                <w:b/>
                <w:color w:val="000000"/>
                <w:sz w:val="16"/>
                <w:szCs w:val="16"/>
              </w:rPr>
              <w:t>1 272 289</w:t>
            </w:r>
          </w:p>
        </w:tc>
      </w:tr>
      <w:tr w:rsidR="00600719" w:rsidRPr="00F06708" w:rsidTr="006D578F">
        <w:trPr>
          <w:gridAfter w:val="1"/>
          <w:wAfter w:w="75" w:type="dxa"/>
          <w:trHeight w:val="300"/>
        </w:trPr>
        <w:tc>
          <w:tcPr>
            <w:tcW w:w="7732" w:type="dxa"/>
            <w:shd w:val="clear" w:color="auto" w:fill="auto"/>
            <w:noWrap/>
            <w:tcMar>
              <w:top w:w="0" w:type="dxa"/>
              <w:left w:w="70" w:type="dxa"/>
              <w:bottom w:w="0" w:type="dxa"/>
              <w:right w:w="70" w:type="dxa"/>
            </w:tcMar>
            <w:vAlign w:val="bottom"/>
            <w:hideMark/>
          </w:tcPr>
          <w:p w:rsidR="00600719" w:rsidRPr="00F06708" w:rsidRDefault="00600719" w:rsidP="006D578F">
            <w:pPr>
              <w:rPr>
                <w:rFonts w:ascii="Arial" w:hAnsi="Arial" w:cs="Arial"/>
                <w:sz w:val="16"/>
                <w:szCs w:val="16"/>
              </w:rPr>
            </w:pPr>
          </w:p>
        </w:tc>
        <w:tc>
          <w:tcPr>
            <w:tcW w:w="1553" w:type="dxa"/>
            <w:shd w:val="clear" w:color="auto" w:fill="auto"/>
            <w:noWrap/>
            <w:tcMar>
              <w:top w:w="0" w:type="dxa"/>
              <w:left w:w="70" w:type="dxa"/>
              <w:bottom w:w="0" w:type="dxa"/>
              <w:right w:w="70" w:type="dxa"/>
            </w:tcMar>
            <w:vAlign w:val="bottom"/>
            <w:hideMark/>
          </w:tcPr>
          <w:p w:rsidR="00600719" w:rsidRPr="00F06708" w:rsidRDefault="00600719" w:rsidP="006D578F">
            <w:pPr>
              <w:rPr>
                <w:rFonts w:ascii="Arial" w:hAnsi="Arial" w:cs="Arial"/>
                <w:sz w:val="16"/>
                <w:szCs w:val="16"/>
              </w:rPr>
            </w:pPr>
          </w:p>
        </w:tc>
      </w:tr>
      <w:tr w:rsidR="00600719" w:rsidRPr="00F06708" w:rsidTr="006D578F">
        <w:trPr>
          <w:gridAfter w:val="1"/>
          <w:wAfter w:w="75" w:type="dxa"/>
          <w:trHeight w:val="66"/>
        </w:trPr>
        <w:tc>
          <w:tcPr>
            <w:tcW w:w="7732" w:type="dxa"/>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600719" w:rsidRPr="00F06708" w:rsidRDefault="00600719" w:rsidP="006D578F">
            <w:pPr>
              <w:rPr>
                <w:rFonts w:ascii="Arial" w:eastAsiaTheme="minorHAnsi" w:hAnsi="Arial" w:cs="Arial"/>
                <w:b/>
                <w:bCs/>
                <w:color w:val="000000"/>
                <w:sz w:val="16"/>
                <w:szCs w:val="16"/>
              </w:rPr>
            </w:pPr>
            <w:r w:rsidRPr="00F06708">
              <w:rPr>
                <w:rFonts w:ascii="Arial" w:hAnsi="Arial" w:cs="Arial"/>
                <w:b/>
                <w:bCs/>
                <w:color w:val="000000"/>
                <w:sz w:val="16"/>
                <w:szCs w:val="16"/>
              </w:rPr>
              <w:t>Wartość odpisu na dzień wyceny</w:t>
            </w:r>
          </w:p>
        </w:tc>
        <w:tc>
          <w:tcPr>
            <w:tcW w:w="1553" w:type="dxa"/>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600719" w:rsidRPr="00F06708" w:rsidRDefault="00600719" w:rsidP="006D578F">
            <w:pPr>
              <w:jc w:val="right"/>
              <w:rPr>
                <w:rFonts w:ascii="Arial" w:eastAsiaTheme="minorHAnsi" w:hAnsi="Arial" w:cs="Arial"/>
                <w:i/>
                <w:iCs/>
                <w:color w:val="000000"/>
                <w:sz w:val="16"/>
                <w:szCs w:val="16"/>
              </w:rPr>
            </w:pPr>
            <w:r w:rsidRPr="00F06708">
              <w:rPr>
                <w:rFonts w:ascii="Arial" w:hAnsi="Arial" w:cs="Arial"/>
                <w:i/>
                <w:iCs/>
                <w:color w:val="000000"/>
                <w:sz w:val="16"/>
                <w:szCs w:val="16"/>
              </w:rPr>
              <w:t>PLN</w:t>
            </w:r>
          </w:p>
        </w:tc>
      </w:tr>
      <w:tr w:rsidR="00600719" w:rsidRPr="00F06708" w:rsidTr="006D578F">
        <w:trPr>
          <w:gridAfter w:val="1"/>
          <w:wAfter w:w="75" w:type="dxa"/>
          <w:trHeight w:val="300"/>
        </w:trPr>
        <w:tc>
          <w:tcPr>
            <w:tcW w:w="7732" w:type="dxa"/>
            <w:shd w:val="clear" w:color="auto" w:fill="auto"/>
            <w:noWrap/>
            <w:tcMar>
              <w:top w:w="0" w:type="dxa"/>
              <w:left w:w="70" w:type="dxa"/>
              <w:bottom w:w="0" w:type="dxa"/>
              <w:right w:w="70" w:type="dxa"/>
            </w:tcMar>
            <w:vAlign w:val="bottom"/>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Nieprzeterminowane</w:t>
            </w:r>
          </w:p>
        </w:tc>
        <w:tc>
          <w:tcPr>
            <w:tcW w:w="1553" w:type="dxa"/>
            <w:shd w:val="clear" w:color="auto" w:fill="auto"/>
            <w:noWrap/>
            <w:tcMar>
              <w:top w:w="0" w:type="dxa"/>
              <w:left w:w="70" w:type="dxa"/>
              <w:bottom w:w="0" w:type="dxa"/>
              <w:right w:w="70" w:type="dxa"/>
            </w:tcMar>
            <w:vAlign w:val="bottom"/>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32 168</w:t>
            </w:r>
          </w:p>
        </w:tc>
      </w:tr>
      <w:tr w:rsidR="00600719" w:rsidRPr="00F06708" w:rsidTr="006D578F">
        <w:trPr>
          <w:gridAfter w:val="1"/>
          <w:wAfter w:w="75" w:type="dxa"/>
          <w:trHeight w:val="300"/>
        </w:trPr>
        <w:tc>
          <w:tcPr>
            <w:tcW w:w="7732" w:type="dxa"/>
            <w:shd w:val="clear" w:color="auto" w:fill="auto"/>
            <w:noWrap/>
            <w:tcMar>
              <w:top w:w="0" w:type="dxa"/>
              <w:left w:w="70" w:type="dxa"/>
              <w:bottom w:w="0" w:type="dxa"/>
              <w:right w:w="70" w:type="dxa"/>
            </w:tcMar>
            <w:vAlign w:val="bottom"/>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DPD &lt;  1, 30)</w:t>
            </w:r>
          </w:p>
        </w:tc>
        <w:tc>
          <w:tcPr>
            <w:tcW w:w="1553" w:type="dxa"/>
            <w:shd w:val="clear" w:color="auto" w:fill="auto"/>
            <w:noWrap/>
            <w:tcMar>
              <w:top w:w="0" w:type="dxa"/>
              <w:left w:w="70" w:type="dxa"/>
              <w:bottom w:w="0" w:type="dxa"/>
              <w:right w:w="70" w:type="dxa"/>
            </w:tcMar>
            <w:vAlign w:val="bottom"/>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2 814</w:t>
            </w:r>
          </w:p>
        </w:tc>
      </w:tr>
      <w:tr w:rsidR="00600719" w:rsidRPr="00F06708" w:rsidTr="006D578F">
        <w:trPr>
          <w:gridAfter w:val="1"/>
          <w:wAfter w:w="75" w:type="dxa"/>
          <w:trHeight w:val="300"/>
        </w:trPr>
        <w:tc>
          <w:tcPr>
            <w:tcW w:w="7732" w:type="dxa"/>
            <w:shd w:val="clear" w:color="auto" w:fill="auto"/>
            <w:noWrap/>
            <w:tcMar>
              <w:top w:w="0" w:type="dxa"/>
              <w:left w:w="70" w:type="dxa"/>
              <w:bottom w:w="0" w:type="dxa"/>
              <w:right w:w="70" w:type="dxa"/>
            </w:tcMar>
            <w:vAlign w:val="bottom"/>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DPD &lt;30, 60)</w:t>
            </w:r>
          </w:p>
        </w:tc>
        <w:tc>
          <w:tcPr>
            <w:tcW w:w="1553" w:type="dxa"/>
            <w:shd w:val="clear" w:color="auto" w:fill="auto"/>
            <w:noWrap/>
            <w:tcMar>
              <w:top w:w="0" w:type="dxa"/>
              <w:left w:w="70" w:type="dxa"/>
              <w:bottom w:w="0" w:type="dxa"/>
              <w:right w:w="70" w:type="dxa"/>
            </w:tcMar>
            <w:vAlign w:val="bottom"/>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16 495</w:t>
            </w:r>
          </w:p>
        </w:tc>
      </w:tr>
      <w:tr w:rsidR="00600719" w:rsidRPr="00F06708" w:rsidTr="006D578F">
        <w:trPr>
          <w:gridAfter w:val="1"/>
          <w:wAfter w:w="75" w:type="dxa"/>
          <w:trHeight w:val="300"/>
        </w:trPr>
        <w:tc>
          <w:tcPr>
            <w:tcW w:w="7732" w:type="dxa"/>
            <w:shd w:val="clear" w:color="auto" w:fill="auto"/>
            <w:noWrap/>
            <w:tcMar>
              <w:top w:w="0" w:type="dxa"/>
              <w:left w:w="70" w:type="dxa"/>
              <w:bottom w:w="0" w:type="dxa"/>
              <w:right w:w="70" w:type="dxa"/>
            </w:tcMar>
            <w:vAlign w:val="bottom"/>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DPD &lt;60, 90)</w:t>
            </w:r>
          </w:p>
        </w:tc>
        <w:tc>
          <w:tcPr>
            <w:tcW w:w="1553" w:type="dxa"/>
            <w:shd w:val="clear" w:color="auto" w:fill="auto"/>
            <w:noWrap/>
            <w:tcMar>
              <w:top w:w="0" w:type="dxa"/>
              <w:left w:w="70" w:type="dxa"/>
              <w:bottom w:w="0" w:type="dxa"/>
              <w:right w:w="70" w:type="dxa"/>
            </w:tcMar>
            <w:vAlign w:val="bottom"/>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2 878</w:t>
            </w:r>
          </w:p>
        </w:tc>
      </w:tr>
      <w:tr w:rsidR="00600719" w:rsidRPr="00F06708" w:rsidTr="006D578F">
        <w:trPr>
          <w:gridAfter w:val="1"/>
          <w:wAfter w:w="75" w:type="dxa"/>
          <w:trHeight w:val="300"/>
        </w:trPr>
        <w:tc>
          <w:tcPr>
            <w:tcW w:w="7732" w:type="dxa"/>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600719" w:rsidRPr="00F06708" w:rsidRDefault="00600719" w:rsidP="006D578F">
            <w:pPr>
              <w:rPr>
                <w:rFonts w:ascii="Arial" w:hAnsi="Arial" w:cs="Arial"/>
                <w:color w:val="000000"/>
                <w:sz w:val="16"/>
                <w:szCs w:val="16"/>
              </w:rPr>
            </w:pPr>
            <w:proofErr w:type="spellStart"/>
            <w:r w:rsidRPr="00F06708">
              <w:rPr>
                <w:rFonts w:ascii="Arial" w:hAnsi="Arial" w:cs="Arial"/>
                <w:color w:val="000000"/>
                <w:sz w:val="16"/>
                <w:szCs w:val="16"/>
              </w:rPr>
              <w:t>Default</w:t>
            </w:r>
            <w:proofErr w:type="spellEnd"/>
          </w:p>
        </w:tc>
        <w:tc>
          <w:tcPr>
            <w:tcW w:w="1553" w:type="dxa"/>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307 848</w:t>
            </w:r>
          </w:p>
        </w:tc>
      </w:tr>
      <w:tr w:rsidR="00600719" w:rsidRPr="00F06708" w:rsidTr="006D578F">
        <w:trPr>
          <w:gridAfter w:val="1"/>
          <w:wAfter w:w="75" w:type="dxa"/>
          <w:trHeight w:val="101"/>
        </w:trPr>
        <w:tc>
          <w:tcPr>
            <w:tcW w:w="7732" w:type="dxa"/>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Wartość bez zabezpieczeń</w:t>
            </w:r>
          </w:p>
        </w:tc>
        <w:tc>
          <w:tcPr>
            <w:tcW w:w="1553" w:type="dxa"/>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362 202</w:t>
            </w:r>
          </w:p>
        </w:tc>
      </w:tr>
      <w:tr w:rsidR="00600719" w:rsidRPr="00F06708" w:rsidTr="006D578F">
        <w:trPr>
          <w:gridAfter w:val="1"/>
          <w:wAfter w:w="75" w:type="dxa"/>
          <w:trHeight w:val="175"/>
        </w:trPr>
        <w:tc>
          <w:tcPr>
            <w:tcW w:w="7732" w:type="dxa"/>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600719" w:rsidRPr="00F06708" w:rsidRDefault="00600719" w:rsidP="006D578F">
            <w:pPr>
              <w:rPr>
                <w:rFonts w:ascii="Arial" w:eastAsiaTheme="minorHAnsi" w:hAnsi="Arial" w:cs="Arial"/>
                <w:color w:val="000000"/>
                <w:sz w:val="16"/>
                <w:szCs w:val="16"/>
              </w:rPr>
            </w:pPr>
            <w:r w:rsidRPr="00F06708">
              <w:rPr>
                <w:rFonts w:ascii="Arial" w:hAnsi="Arial" w:cs="Arial"/>
                <w:color w:val="000000"/>
                <w:sz w:val="16"/>
                <w:szCs w:val="16"/>
              </w:rPr>
              <w:t>Szacunkowy odzysk z tytułu zabezpieczeń</w:t>
            </w:r>
          </w:p>
        </w:tc>
        <w:tc>
          <w:tcPr>
            <w:tcW w:w="1553" w:type="dxa"/>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600719" w:rsidRPr="00F06708" w:rsidRDefault="00600719" w:rsidP="006D578F">
            <w:pPr>
              <w:jc w:val="right"/>
              <w:rPr>
                <w:rFonts w:ascii="Arial" w:eastAsiaTheme="minorHAnsi" w:hAnsi="Arial" w:cs="Arial"/>
                <w:color w:val="000000"/>
                <w:sz w:val="16"/>
                <w:szCs w:val="16"/>
              </w:rPr>
            </w:pPr>
            <w:r w:rsidRPr="00F06708">
              <w:rPr>
                <w:rFonts w:ascii="Arial" w:hAnsi="Arial" w:cs="Arial"/>
                <w:color w:val="000000"/>
                <w:sz w:val="16"/>
                <w:szCs w:val="16"/>
              </w:rPr>
              <w:t>0</w:t>
            </w:r>
          </w:p>
        </w:tc>
      </w:tr>
      <w:tr w:rsidR="00600719" w:rsidRPr="00F06708" w:rsidTr="006D578F">
        <w:trPr>
          <w:gridAfter w:val="1"/>
          <w:wAfter w:w="75" w:type="dxa"/>
          <w:trHeight w:val="315"/>
        </w:trPr>
        <w:tc>
          <w:tcPr>
            <w:tcW w:w="7732" w:type="dxa"/>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600719" w:rsidRPr="00F06708" w:rsidRDefault="00600719" w:rsidP="006D578F">
            <w:pPr>
              <w:rPr>
                <w:rFonts w:ascii="Arial" w:eastAsiaTheme="minorHAnsi" w:hAnsi="Arial" w:cs="Arial"/>
                <w:b/>
                <w:bCs/>
                <w:color w:val="000000"/>
                <w:sz w:val="16"/>
                <w:szCs w:val="16"/>
              </w:rPr>
            </w:pPr>
            <w:r w:rsidRPr="00F06708">
              <w:rPr>
                <w:rFonts w:ascii="Arial" w:hAnsi="Arial" w:cs="Arial"/>
                <w:b/>
                <w:bCs/>
                <w:color w:val="000000"/>
                <w:sz w:val="16"/>
                <w:szCs w:val="16"/>
              </w:rPr>
              <w:t>Łączna wartość odpisu</w:t>
            </w:r>
          </w:p>
        </w:tc>
        <w:tc>
          <w:tcPr>
            <w:tcW w:w="1553" w:type="dxa"/>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600719" w:rsidRPr="00F06708" w:rsidRDefault="00600719" w:rsidP="006D578F">
            <w:pPr>
              <w:jc w:val="right"/>
              <w:rPr>
                <w:rFonts w:ascii="Arial" w:eastAsiaTheme="minorHAnsi" w:hAnsi="Arial" w:cs="Arial"/>
                <w:b/>
                <w:bCs/>
                <w:color w:val="000000"/>
                <w:sz w:val="16"/>
                <w:szCs w:val="16"/>
              </w:rPr>
            </w:pPr>
            <w:r w:rsidRPr="00F06708">
              <w:rPr>
                <w:rFonts w:ascii="Arial" w:hAnsi="Arial" w:cs="Arial"/>
                <w:b/>
                <w:bCs/>
                <w:color w:val="000000"/>
                <w:sz w:val="16"/>
                <w:szCs w:val="16"/>
              </w:rPr>
              <w:t>362 202</w:t>
            </w:r>
          </w:p>
        </w:tc>
      </w:tr>
    </w:tbl>
    <w:p w:rsidR="00600719" w:rsidRPr="00EC2380" w:rsidRDefault="00600719" w:rsidP="00600719">
      <w:pPr>
        <w:jc w:val="both"/>
        <w:rPr>
          <w:rFonts w:ascii="Arial" w:hAnsi="Arial" w:cs="Arial"/>
          <w:sz w:val="18"/>
          <w:szCs w:val="18"/>
        </w:rPr>
      </w:pPr>
    </w:p>
    <w:p w:rsidR="00600719" w:rsidRPr="00EC2380" w:rsidRDefault="00600719" w:rsidP="00600719">
      <w:pPr>
        <w:jc w:val="both"/>
        <w:rPr>
          <w:rFonts w:ascii="Arial" w:hAnsi="Arial" w:cs="Arial"/>
          <w:sz w:val="18"/>
          <w:szCs w:val="18"/>
        </w:rPr>
      </w:pPr>
      <w:r w:rsidRPr="00EC2380">
        <w:rPr>
          <w:rFonts w:ascii="Arial" w:hAnsi="Arial" w:cs="Arial"/>
          <w:sz w:val="18"/>
          <w:szCs w:val="18"/>
        </w:rPr>
        <w:t>Łączna wartość odpisu na dzień 30.09.202</w:t>
      </w:r>
      <w:r>
        <w:rPr>
          <w:rFonts w:ascii="Arial" w:hAnsi="Arial" w:cs="Arial"/>
          <w:sz w:val="18"/>
          <w:szCs w:val="18"/>
        </w:rPr>
        <w:t>1</w:t>
      </w:r>
      <w:r w:rsidRPr="00EC2380">
        <w:rPr>
          <w:rFonts w:ascii="Arial" w:hAnsi="Arial" w:cs="Arial"/>
          <w:sz w:val="18"/>
          <w:szCs w:val="18"/>
        </w:rPr>
        <w:t xml:space="preserve"> r. w stosunku do stanu na 31.12.20</w:t>
      </w:r>
      <w:r>
        <w:rPr>
          <w:rFonts w:ascii="Arial" w:hAnsi="Arial" w:cs="Arial"/>
          <w:sz w:val="18"/>
          <w:szCs w:val="18"/>
        </w:rPr>
        <w:t>20</w:t>
      </w:r>
      <w:r w:rsidRPr="00EC2380">
        <w:rPr>
          <w:rFonts w:ascii="Arial" w:hAnsi="Arial" w:cs="Arial"/>
          <w:sz w:val="18"/>
          <w:szCs w:val="18"/>
        </w:rPr>
        <w:t xml:space="preserve"> roku </w:t>
      </w:r>
      <w:r>
        <w:rPr>
          <w:rFonts w:ascii="Arial" w:hAnsi="Arial" w:cs="Arial"/>
          <w:sz w:val="18"/>
          <w:szCs w:val="18"/>
        </w:rPr>
        <w:t>wzrosła</w:t>
      </w:r>
      <w:r w:rsidRPr="00EC2380">
        <w:rPr>
          <w:rFonts w:ascii="Arial" w:hAnsi="Arial" w:cs="Arial"/>
          <w:sz w:val="18"/>
          <w:szCs w:val="18"/>
        </w:rPr>
        <w:t xml:space="preserve"> o kwotę </w:t>
      </w:r>
      <w:r>
        <w:rPr>
          <w:rFonts w:ascii="Arial" w:hAnsi="Arial" w:cs="Arial"/>
          <w:sz w:val="18"/>
          <w:szCs w:val="18"/>
        </w:rPr>
        <w:t>6</w:t>
      </w:r>
      <w:r w:rsidRPr="00EC2380">
        <w:rPr>
          <w:rFonts w:ascii="Arial" w:hAnsi="Arial" w:cs="Arial"/>
          <w:sz w:val="18"/>
          <w:szCs w:val="18"/>
        </w:rPr>
        <w:t>2 tys. zł.</w:t>
      </w:r>
    </w:p>
    <w:p w:rsidR="00600719" w:rsidRPr="00EC2380" w:rsidRDefault="00600719" w:rsidP="00600719">
      <w:pPr>
        <w:jc w:val="both"/>
        <w:rPr>
          <w:rFonts w:ascii="Arial" w:hAnsi="Arial" w:cs="Arial"/>
          <w:sz w:val="18"/>
          <w:szCs w:val="18"/>
        </w:rPr>
      </w:pPr>
    </w:p>
    <w:p w:rsidR="00600719" w:rsidRPr="00EC2380" w:rsidRDefault="00600719" w:rsidP="00600719">
      <w:pPr>
        <w:jc w:val="both"/>
        <w:rPr>
          <w:rFonts w:ascii="Arial" w:hAnsi="Arial" w:cs="Arial"/>
          <w:sz w:val="18"/>
          <w:szCs w:val="18"/>
        </w:rPr>
      </w:pPr>
      <w:r w:rsidRPr="00EC2380">
        <w:rPr>
          <w:rFonts w:ascii="Arial" w:hAnsi="Arial" w:cs="Arial"/>
          <w:sz w:val="18"/>
          <w:szCs w:val="18"/>
        </w:rPr>
        <w:t>Poza opisanym powyżej nie wystąpiły inne przypadki ujęcia strat z tytułu utraty wartości aktywów finansowych, rzeczowych aktywów trwałych, wartości niematerialnych, aktywów wynikających z umów z klientami lub innych aktywów oraz odwracanie takich strat z tytułu utraty wartości.</w:t>
      </w:r>
    </w:p>
    <w:p w:rsidR="00600719" w:rsidRPr="00EC2380" w:rsidRDefault="00600719" w:rsidP="00600719">
      <w:pPr>
        <w:jc w:val="both"/>
        <w:rPr>
          <w:rFonts w:ascii="Arial" w:hAnsi="Arial" w:cs="Arial"/>
          <w:sz w:val="18"/>
          <w:szCs w:val="18"/>
        </w:rPr>
      </w:pPr>
    </w:p>
    <w:p w:rsidR="00600719" w:rsidRPr="00EC2380" w:rsidRDefault="00600719" w:rsidP="00600719">
      <w:pPr>
        <w:jc w:val="both"/>
        <w:rPr>
          <w:rFonts w:ascii="Arial" w:hAnsi="Arial" w:cs="Arial"/>
          <w:sz w:val="18"/>
          <w:szCs w:val="18"/>
        </w:rPr>
      </w:pPr>
    </w:p>
    <w:p w:rsidR="00600719" w:rsidRPr="007040BC" w:rsidRDefault="00600719" w:rsidP="00600719">
      <w:pPr>
        <w:tabs>
          <w:tab w:val="left" w:pos="540"/>
        </w:tabs>
        <w:spacing w:line="260" w:lineRule="exact"/>
        <w:jc w:val="both"/>
        <w:rPr>
          <w:rFonts w:ascii="Arial" w:hAnsi="Arial" w:cs="Arial"/>
          <w:b/>
          <w:bCs/>
          <w:i/>
          <w:sz w:val="18"/>
          <w:szCs w:val="18"/>
        </w:rPr>
      </w:pPr>
      <w:r w:rsidRPr="00EC2380">
        <w:rPr>
          <w:rFonts w:ascii="Arial" w:hAnsi="Arial" w:cs="Arial"/>
          <w:b/>
          <w:bCs/>
          <w:i/>
          <w:sz w:val="18"/>
          <w:szCs w:val="18"/>
        </w:rPr>
        <w:t xml:space="preserve">b) </w:t>
      </w:r>
      <w:r w:rsidRPr="007040BC">
        <w:rPr>
          <w:rFonts w:ascii="Arial" w:hAnsi="Arial" w:cs="Arial"/>
          <w:b/>
          <w:bCs/>
          <w:i/>
          <w:sz w:val="18"/>
          <w:szCs w:val="18"/>
        </w:rPr>
        <w:t>zmiany warunków prowadzenia działalności i sytuacji gospodarczej, które mają wpływ na wartość godziwą aktywów finansowych i zobowiązań finansowych jednostki, niezależnie od tego, czy te aktywa</w:t>
      </w:r>
      <w:r>
        <w:rPr>
          <w:rFonts w:ascii="Arial" w:hAnsi="Arial" w:cs="Arial"/>
          <w:b/>
          <w:bCs/>
          <w:i/>
          <w:sz w:val="18"/>
          <w:szCs w:val="18"/>
        </w:rPr>
        <w:br/>
      </w:r>
      <w:r w:rsidRPr="007040BC">
        <w:rPr>
          <w:rFonts w:ascii="Arial" w:hAnsi="Arial" w:cs="Arial"/>
          <w:b/>
          <w:bCs/>
          <w:i/>
          <w:sz w:val="18"/>
          <w:szCs w:val="18"/>
        </w:rPr>
        <w:t xml:space="preserve"> i zobowiązania są ujęte w wartości godziwej czy po koszcie zamortyzowanym;</w:t>
      </w:r>
    </w:p>
    <w:p w:rsidR="00600719" w:rsidRPr="007040BC" w:rsidRDefault="00600719" w:rsidP="00600719">
      <w:pPr>
        <w:jc w:val="both"/>
        <w:rPr>
          <w:rFonts w:ascii="Arial" w:hAnsi="Arial" w:cs="Arial"/>
          <w:b/>
          <w:sz w:val="18"/>
          <w:szCs w:val="18"/>
        </w:rPr>
      </w:pPr>
    </w:p>
    <w:p w:rsidR="00600719" w:rsidRPr="007040BC" w:rsidRDefault="00600719" w:rsidP="00600719">
      <w:pPr>
        <w:jc w:val="both"/>
        <w:rPr>
          <w:rFonts w:ascii="Arial" w:hAnsi="Arial" w:cs="Arial"/>
          <w:sz w:val="18"/>
          <w:szCs w:val="18"/>
        </w:rPr>
      </w:pPr>
      <w:r w:rsidRPr="007040BC">
        <w:rPr>
          <w:rFonts w:ascii="Arial" w:hAnsi="Arial" w:cs="Arial"/>
          <w:sz w:val="18"/>
          <w:szCs w:val="18"/>
        </w:rPr>
        <w:t>Nie wystąpiły.</w:t>
      </w:r>
    </w:p>
    <w:p w:rsidR="00600719" w:rsidRPr="007040BC" w:rsidRDefault="00600719" w:rsidP="00600719">
      <w:pPr>
        <w:jc w:val="both"/>
        <w:rPr>
          <w:rFonts w:ascii="Arial" w:hAnsi="Arial" w:cs="Arial"/>
          <w:b/>
          <w:sz w:val="18"/>
          <w:szCs w:val="18"/>
        </w:rPr>
      </w:pPr>
    </w:p>
    <w:p w:rsidR="00600719" w:rsidRPr="007040BC" w:rsidRDefault="00600719" w:rsidP="00600719">
      <w:pPr>
        <w:tabs>
          <w:tab w:val="left" w:pos="540"/>
        </w:tabs>
        <w:spacing w:line="260" w:lineRule="exact"/>
        <w:jc w:val="both"/>
        <w:rPr>
          <w:rFonts w:ascii="Arial" w:hAnsi="Arial" w:cs="Arial"/>
          <w:b/>
          <w:bCs/>
          <w:i/>
          <w:sz w:val="18"/>
          <w:szCs w:val="18"/>
        </w:rPr>
      </w:pPr>
      <w:r w:rsidRPr="007040BC">
        <w:rPr>
          <w:rFonts w:ascii="Arial" w:hAnsi="Arial" w:cs="Arial"/>
          <w:b/>
          <w:bCs/>
          <w:i/>
          <w:sz w:val="18"/>
          <w:szCs w:val="18"/>
        </w:rPr>
        <w:t>c) niespłacenie pożyczki lub naruszenie postanowień umowy pożyczki, w odniesieniu do których nie podjęto żadnych działań naprawczych do końca okresu sprawozdawczego;</w:t>
      </w:r>
    </w:p>
    <w:p w:rsidR="00600719" w:rsidRPr="007040BC" w:rsidRDefault="00600719" w:rsidP="00600719">
      <w:pPr>
        <w:tabs>
          <w:tab w:val="left" w:pos="540"/>
        </w:tabs>
        <w:spacing w:line="260" w:lineRule="exact"/>
        <w:jc w:val="both"/>
        <w:rPr>
          <w:rFonts w:ascii="Arial" w:hAnsi="Arial" w:cs="Arial"/>
          <w:b/>
          <w:bCs/>
          <w:i/>
          <w:sz w:val="18"/>
          <w:szCs w:val="18"/>
        </w:rPr>
      </w:pPr>
    </w:p>
    <w:p w:rsidR="00600719" w:rsidRPr="007040BC" w:rsidRDefault="00600719" w:rsidP="00600719">
      <w:pPr>
        <w:jc w:val="both"/>
        <w:rPr>
          <w:rFonts w:ascii="Arial" w:hAnsi="Arial" w:cs="Arial"/>
          <w:sz w:val="18"/>
          <w:szCs w:val="18"/>
        </w:rPr>
      </w:pPr>
      <w:r w:rsidRPr="007040BC">
        <w:rPr>
          <w:rFonts w:ascii="Arial" w:hAnsi="Arial" w:cs="Arial"/>
          <w:sz w:val="18"/>
          <w:szCs w:val="18"/>
        </w:rPr>
        <w:t>Nie wystąpiły.</w:t>
      </w:r>
    </w:p>
    <w:p w:rsidR="00600719" w:rsidRPr="007040BC" w:rsidRDefault="00600719" w:rsidP="00600719">
      <w:pPr>
        <w:tabs>
          <w:tab w:val="left" w:pos="540"/>
        </w:tabs>
        <w:spacing w:line="260" w:lineRule="exact"/>
        <w:jc w:val="both"/>
        <w:rPr>
          <w:rFonts w:ascii="Arial" w:hAnsi="Arial" w:cs="Arial"/>
          <w:b/>
          <w:bCs/>
          <w:i/>
          <w:sz w:val="18"/>
          <w:szCs w:val="18"/>
        </w:rPr>
      </w:pPr>
    </w:p>
    <w:p w:rsidR="00600719" w:rsidRPr="007040BC" w:rsidRDefault="00600719" w:rsidP="00600719">
      <w:pPr>
        <w:tabs>
          <w:tab w:val="left" w:pos="540"/>
        </w:tabs>
        <w:spacing w:line="260" w:lineRule="exact"/>
        <w:jc w:val="both"/>
        <w:rPr>
          <w:rFonts w:ascii="Arial" w:hAnsi="Arial" w:cs="Arial"/>
          <w:b/>
          <w:bCs/>
          <w:i/>
          <w:sz w:val="18"/>
          <w:szCs w:val="18"/>
        </w:rPr>
      </w:pPr>
      <w:r w:rsidRPr="007040BC">
        <w:rPr>
          <w:rFonts w:ascii="Arial" w:hAnsi="Arial" w:cs="Arial"/>
          <w:b/>
          <w:bCs/>
          <w:i/>
          <w:sz w:val="18"/>
          <w:szCs w:val="18"/>
        </w:rPr>
        <w:t>d) przesunięcia między poszczególnymi poziomami hierarchii wartości godziwej, która jest stosowana na potrzeby wyceny wartości godziwej instrumentów finansowych;</w:t>
      </w:r>
    </w:p>
    <w:p w:rsidR="00600719" w:rsidRPr="007040BC" w:rsidRDefault="00600719" w:rsidP="00600719">
      <w:pPr>
        <w:jc w:val="both"/>
        <w:rPr>
          <w:rFonts w:ascii="Arial" w:hAnsi="Arial" w:cs="Arial"/>
          <w:sz w:val="18"/>
          <w:szCs w:val="18"/>
        </w:rPr>
      </w:pPr>
    </w:p>
    <w:p w:rsidR="00600719" w:rsidRPr="007040BC" w:rsidRDefault="00600719" w:rsidP="00600719">
      <w:pPr>
        <w:jc w:val="both"/>
        <w:rPr>
          <w:rFonts w:ascii="Arial" w:hAnsi="Arial" w:cs="Arial"/>
          <w:sz w:val="18"/>
          <w:szCs w:val="18"/>
        </w:rPr>
      </w:pPr>
      <w:r w:rsidRPr="007040BC">
        <w:rPr>
          <w:rFonts w:ascii="Arial" w:hAnsi="Arial" w:cs="Arial"/>
          <w:sz w:val="18"/>
          <w:szCs w:val="18"/>
        </w:rPr>
        <w:t>Nie wystąpiły.</w:t>
      </w:r>
    </w:p>
    <w:p w:rsidR="00600719" w:rsidRPr="007040BC" w:rsidRDefault="00600719" w:rsidP="00600719">
      <w:pPr>
        <w:jc w:val="both"/>
        <w:rPr>
          <w:rFonts w:ascii="Arial" w:hAnsi="Arial" w:cs="Arial"/>
          <w:sz w:val="18"/>
          <w:szCs w:val="18"/>
        </w:rPr>
      </w:pPr>
    </w:p>
    <w:p w:rsidR="003132B0" w:rsidRDefault="003132B0">
      <w:pPr>
        <w:rPr>
          <w:rFonts w:ascii="Arial" w:hAnsi="Arial" w:cs="Arial"/>
          <w:b/>
          <w:bCs/>
          <w:i/>
          <w:sz w:val="18"/>
          <w:szCs w:val="18"/>
        </w:rPr>
      </w:pPr>
      <w:r>
        <w:rPr>
          <w:rFonts w:ascii="Arial" w:hAnsi="Arial" w:cs="Arial"/>
          <w:b/>
          <w:bCs/>
          <w:i/>
          <w:sz w:val="18"/>
          <w:szCs w:val="18"/>
        </w:rPr>
        <w:br w:type="page"/>
      </w:r>
    </w:p>
    <w:p w:rsidR="00600719" w:rsidRPr="007040BC" w:rsidRDefault="00600719" w:rsidP="00600719">
      <w:pPr>
        <w:tabs>
          <w:tab w:val="left" w:pos="540"/>
        </w:tabs>
        <w:spacing w:line="260" w:lineRule="exact"/>
        <w:jc w:val="both"/>
        <w:rPr>
          <w:rFonts w:ascii="Arial" w:hAnsi="Arial" w:cs="Arial"/>
          <w:b/>
          <w:bCs/>
          <w:i/>
          <w:sz w:val="18"/>
          <w:szCs w:val="18"/>
        </w:rPr>
      </w:pPr>
      <w:r w:rsidRPr="007040BC">
        <w:rPr>
          <w:rFonts w:ascii="Arial" w:hAnsi="Arial" w:cs="Arial"/>
          <w:b/>
          <w:bCs/>
          <w:i/>
          <w:sz w:val="18"/>
          <w:szCs w:val="18"/>
        </w:rPr>
        <w:lastRenderedPageBreak/>
        <w:t>e) zmiany w klasyfikacji instrumentów finansowych w wyniku zmiany celu lub wykorzystania tych aktywów</w:t>
      </w:r>
    </w:p>
    <w:p w:rsidR="00600719" w:rsidRDefault="00600719" w:rsidP="00600719">
      <w:pPr>
        <w:jc w:val="both"/>
        <w:rPr>
          <w:rFonts w:ascii="Arial" w:hAnsi="Arial" w:cs="Arial"/>
          <w:sz w:val="18"/>
          <w:szCs w:val="18"/>
        </w:rPr>
      </w:pPr>
      <w:r w:rsidRPr="007040BC">
        <w:rPr>
          <w:rFonts w:ascii="Arial" w:hAnsi="Arial" w:cs="Arial"/>
          <w:sz w:val="18"/>
          <w:szCs w:val="18"/>
        </w:rPr>
        <w:t>Nie wystąpiły.</w:t>
      </w:r>
    </w:p>
    <w:p w:rsidR="00600719" w:rsidRDefault="00600719" w:rsidP="00600719">
      <w:pPr>
        <w:jc w:val="both"/>
        <w:rPr>
          <w:rFonts w:ascii="Arial" w:hAnsi="Arial" w:cs="Arial"/>
          <w:b/>
          <w:bCs/>
          <w:sz w:val="18"/>
          <w:szCs w:val="18"/>
        </w:rPr>
      </w:pPr>
    </w:p>
    <w:p w:rsidR="00600719" w:rsidRPr="00F31D8E" w:rsidRDefault="00600719" w:rsidP="00600719">
      <w:pPr>
        <w:tabs>
          <w:tab w:val="left" w:pos="540"/>
        </w:tabs>
        <w:spacing w:line="260" w:lineRule="exact"/>
        <w:jc w:val="both"/>
        <w:rPr>
          <w:rFonts w:ascii="Arial" w:hAnsi="Arial" w:cs="Arial"/>
          <w:b/>
          <w:bCs/>
          <w:sz w:val="18"/>
          <w:szCs w:val="18"/>
        </w:rPr>
      </w:pPr>
      <w:r w:rsidRPr="00F31D8E">
        <w:rPr>
          <w:rFonts w:ascii="Arial" w:hAnsi="Arial" w:cs="Arial"/>
          <w:b/>
          <w:bCs/>
          <w:sz w:val="18"/>
          <w:szCs w:val="18"/>
        </w:rPr>
        <w:t xml:space="preserve">V. Rodzaj i kwoty zmian wartości szacunkowych. </w:t>
      </w:r>
    </w:p>
    <w:p w:rsidR="00600719" w:rsidRPr="00F31D8E" w:rsidRDefault="00600719" w:rsidP="00600719">
      <w:pPr>
        <w:tabs>
          <w:tab w:val="left" w:pos="540"/>
        </w:tabs>
        <w:spacing w:line="260" w:lineRule="exact"/>
        <w:jc w:val="both"/>
        <w:rPr>
          <w:rFonts w:ascii="Arial" w:hAnsi="Arial" w:cs="Arial"/>
          <w:sz w:val="18"/>
          <w:szCs w:val="18"/>
        </w:rPr>
      </w:pPr>
    </w:p>
    <w:p w:rsidR="00600719" w:rsidRPr="00F31D8E" w:rsidRDefault="00600719" w:rsidP="00600719">
      <w:pPr>
        <w:tabs>
          <w:tab w:val="left" w:pos="540"/>
        </w:tabs>
        <w:spacing w:line="260" w:lineRule="exact"/>
        <w:jc w:val="both"/>
        <w:rPr>
          <w:rFonts w:ascii="Arial" w:hAnsi="Arial" w:cs="Arial"/>
          <w:b/>
          <w:bCs/>
          <w:i/>
          <w:sz w:val="18"/>
          <w:szCs w:val="18"/>
        </w:rPr>
      </w:pPr>
      <w:r w:rsidRPr="00F31D8E">
        <w:rPr>
          <w:rFonts w:ascii="Arial" w:hAnsi="Arial" w:cs="Arial"/>
          <w:b/>
          <w:bCs/>
          <w:i/>
          <w:sz w:val="18"/>
          <w:szCs w:val="18"/>
        </w:rPr>
        <w:t>a)  Odroczony podatek dochodowy</w:t>
      </w:r>
    </w:p>
    <w:p w:rsidR="00600719" w:rsidRPr="000D7D64" w:rsidRDefault="00600719" w:rsidP="00600719">
      <w:pPr>
        <w:tabs>
          <w:tab w:val="left" w:pos="540"/>
        </w:tabs>
        <w:spacing w:line="260" w:lineRule="exact"/>
        <w:jc w:val="both"/>
        <w:rPr>
          <w:rFonts w:ascii="Arial" w:hAnsi="Arial" w:cs="Arial"/>
          <w:sz w:val="18"/>
          <w:szCs w:val="18"/>
        </w:rPr>
      </w:pPr>
      <w:r w:rsidRPr="00690DC0">
        <w:rPr>
          <w:rFonts w:ascii="Arial" w:hAnsi="Arial" w:cs="Arial"/>
          <w:sz w:val="18"/>
          <w:szCs w:val="18"/>
        </w:rPr>
        <w:t xml:space="preserve">W wyniku powstania różnic przejściowych pomiędzy wartością bilansową i podatkową pozycji bilansu, Spółka </w:t>
      </w:r>
      <w:r w:rsidRPr="000D7D64">
        <w:rPr>
          <w:rFonts w:ascii="Arial" w:hAnsi="Arial" w:cs="Arial"/>
          <w:sz w:val="18"/>
          <w:szCs w:val="18"/>
        </w:rPr>
        <w:t>dokonała aktualizacji wartości aktywa i rezerwy z tytułu  odroczonego podatku dochodowego.</w:t>
      </w:r>
    </w:p>
    <w:p w:rsidR="00600719" w:rsidRPr="000D7D64" w:rsidRDefault="00600719" w:rsidP="00600719">
      <w:pPr>
        <w:shd w:val="clear" w:color="auto" w:fill="FFFFFF" w:themeFill="background1"/>
        <w:rPr>
          <w:rFonts w:ascii="Arial" w:hAnsi="Arial" w:cs="Arial"/>
          <w:sz w:val="18"/>
          <w:szCs w:val="18"/>
        </w:rPr>
      </w:pPr>
    </w:p>
    <w:p w:rsidR="00600719" w:rsidRPr="000D7D64" w:rsidRDefault="00600719" w:rsidP="00600719">
      <w:pPr>
        <w:shd w:val="clear" w:color="auto" w:fill="FFFFFF" w:themeFill="background1"/>
        <w:jc w:val="both"/>
        <w:rPr>
          <w:rFonts w:ascii="Arial" w:hAnsi="Arial" w:cs="Arial"/>
          <w:sz w:val="18"/>
          <w:szCs w:val="18"/>
        </w:rPr>
      </w:pPr>
      <w:r w:rsidRPr="000D7D64">
        <w:rPr>
          <w:rFonts w:ascii="Arial" w:hAnsi="Arial" w:cs="Arial"/>
          <w:sz w:val="18"/>
          <w:szCs w:val="18"/>
        </w:rPr>
        <w:t>W bieżącym okresie nastąpił wzrost aktywa z tytułu podatku odroczonego w kwocie 1</w:t>
      </w:r>
      <w:r>
        <w:rPr>
          <w:rFonts w:ascii="Arial" w:hAnsi="Arial" w:cs="Arial"/>
          <w:sz w:val="18"/>
          <w:szCs w:val="18"/>
        </w:rPr>
        <w:t xml:space="preserve">58 </w:t>
      </w:r>
      <w:r w:rsidRPr="000D7D64">
        <w:rPr>
          <w:rFonts w:ascii="Arial" w:hAnsi="Arial" w:cs="Arial"/>
          <w:sz w:val="18"/>
          <w:szCs w:val="18"/>
        </w:rPr>
        <w:t xml:space="preserve">tys. zł rozliczonego </w:t>
      </w:r>
      <w:r w:rsidRPr="000D7D64">
        <w:rPr>
          <w:rFonts w:ascii="Arial" w:hAnsi="Arial" w:cs="Arial"/>
          <w:sz w:val="18"/>
          <w:szCs w:val="18"/>
        </w:rPr>
        <w:br/>
        <w:t>w wynik.</w:t>
      </w:r>
    </w:p>
    <w:p w:rsidR="00600719" w:rsidRPr="000D7D64" w:rsidRDefault="00600719" w:rsidP="00600719">
      <w:pPr>
        <w:shd w:val="clear" w:color="auto" w:fill="FFFFFF" w:themeFill="background1"/>
        <w:tabs>
          <w:tab w:val="left" w:pos="540"/>
        </w:tabs>
        <w:spacing w:line="260" w:lineRule="exact"/>
        <w:jc w:val="both"/>
        <w:rPr>
          <w:rFonts w:ascii="Arial" w:hAnsi="Arial" w:cs="Arial"/>
          <w:sz w:val="18"/>
          <w:szCs w:val="18"/>
        </w:rPr>
      </w:pPr>
      <w:r w:rsidRPr="000D7D64">
        <w:rPr>
          <w:rFonts w:ascii="Arial" w:hAnsi="Arial" w:cs="Arial"/>
          <w:sz w:val="18"/>
          <w:szCs w:val="18"/>
        </w:rPr>
        <w:t xml:space="preserve">W rezerwie na podatek odroczony w bieżącym okresie nastąpił wzrost rezerwy w wysokości </w:t>
      </w:r>
      <w:r>
        <w:rPr>
          <w:rFonts w:ascii="Arial" w:hAnsi="Arial" w:cs="Arial"/>
          <w:sz w:val="18"/>
          <w:szCs w:val="18"/>
        </w:rPr>
        <w:t>2</w:t>
      </w:r>
      <w:r w:rsidRPr="000D7D64">
        <w:rPr>
          <w:rFonts w:ascii="Arial" w:hAnsi="Arial" w:cs="Arial"/>
          <w:sz w:val="18"/>
          <w:szCs w:val="18"/>
        </w:rPr>
        <w:t>47 tys. zł, która wpłynęła na zmniejszenie zysku netto.</w:t>
      </w:r>
    </w:p>
    <w:p w:rsidR="00600719" w:rsidRPr="000D7D64" w:rsidRDefault="00600719" w:rsidP="00600719">
      <w:pPr>
        <w:tabs>
          <w:tab w:val="left" w:pos="540"/>
        </w:tabs>
        <w:spacing w:line="260" w:lineRule="exact"/>
        <w:jc w:val="both"/>
        <w:rPr>
          <w:rFonts w:ascii="Arial" w:hAnsi="Arial" w:cs="Arial"/>
          <w:sz w:val="18"/>
          <w:szCs w:val="18"/>
        </w:rPr>
      </w:pPr>
    </w:p>
    <w:p w:rsidR="00600719" w:rsidRPr="000D7D64" w:rsidRDefault="00600719" w:rsidP="00600719">
      <w:pPr>
        <w:tabs>
          <w:tab w:val="left" w:pos="540"/>
        </w:tabs>
        <w:spacing w:line="260" w:lineRule="exact"/>
        <w:jc w:val="both"/>
        <w:rPr>
          <w:rFonts w:ascii="Arial" w:hAnsi="Arial" w:cs="Arial"/>
          <w:sz w:val="18"/>
          <w:szCs w:val="18"/>
        </w:rPr>
      </w:pPr>
      <w:r w:rsidRPr="000D7D64">
        <w:rPr>
          <w:rFonts w:ascii="Arial" w:hAnsi="Arial" w:cs="Arial"/>
          <w:sz w:val="18"/>
          <w:szCs w:val="18"/>
        </w:rPr>
        <w:t>Na koniec 20</w:t>
      </w:r>
      <w:r>
        <w:rPr>
          <w:rFonts w:ascii="Arial" w:hAnsi="Arial" w:cs="Arial"/>
          <w:sz w:val="18"/>
          <w:szCs w:val="18"/>
        </w:rPr>
        <w:t>20</w:t>
      </w:r>
      <w:r w:rsidRPr="000D7D64">
        <w:rPr>
          <w:rFonts w:ascii="Arial" w:hAnsi="Arial" w:cs="Arial"/>
          <w:sz w:val="18"/>
          <w:szCs w:val="18"/>
        </w:rPr>
        <w:t xml:space="preserve"> roku nastąpił wzrost aktywa z tytułu podatku odroczonego w kwocie </w:t>
      </w:r>
      <w:r>
        <w:rPr>
          <w:rFonts w:ascii="Arial" w:hAnsi="Arial" w:cs="Arial"/>
          <w:sz w:val="18"/>
          <w:szCs w:val="18"/>
        </w:rPr>
        <w:t>2 330</w:t>
      </w:r>
      <w:r w:rsidRPr="000D7D64">
        <w:rPr>
          <w:rFonts w:ascii="Arial" w:hAnsi="Arial" w:cs="Arial"/>
          <w:sz w:val="18"/>
          <w:szCs w:val="18"/>
        </w:rPr>
        <w:t xml:space="preserve"> tys. zł, który zosta</w:t>
      </w:r>
      <w:r>
        <w:rPr>
          <w:rFonts w:ascii="Arial" w:hAnsi="Arial" w:cs="Arial"/>
          <w:sz w:val="18"/>
          <w:szCs w:val="18"/>
        </w:rPr>
        <w:t>ł odniesiony na wynik finansowy oraz 48 tys. zł w inne całkowite dochody.</w:t>
      </w:r>
    </w:p>
    <w:p w:rsidR="00600719" w:rsidRPr="000D7D64" w:rsidRDefault="00600719" w:rsidP="00600719">
      <w:pPr>
        <w:tabs>
          <w:tab w:val="left" w:pos="540"/>
        </w:tabs>
        <w:spacing w:line="260" w:lineRule="exact"/>
        <w:jc w:val="both"/>
        <w:rPr>
          <w:rFonts w:ascii="Arial" w:hAnsi="Arial" w:cs="Arial"/>
          <w:sz w:val="18"/>
          <w:szCs w:val="18"/>
        </w:rPr>
      </w:pPr>
      <w:r w:rsidRPr="000D7D64">
        <w:rPr>
          <w:rFonts w:ascii="Arial" w:hAnsi="Arial" w:cs="Arial"/>
          <w:sz w:val="18"/>
          <w:szCs w:val="18"/>
        </w:rPr>
        <w:t>W rezerwie na podatek odroczony w trakcie 12 m-cy 20</w:t>
      </w:r>
      <w:r>
        <w:rPr>
          <w:rFonts w:ascii="Arial" w:hAnsi="Arial" w:cs="Arial"/>
          <w:sz w:val="18"/>
          <w:szCs w:val="18"/>
        </w:rPr>
        <w:t>20</w:t>
      </w:r>
      <w:r w:rsidRPr="000D7D64">
        <w:rPr>
          <w:rFonts w:ascii="Arial" w:hAnsi="Arial" w:cs="Arial"/>
          <w:sz w:val="18"/>
          <w:szCs w:val="18"/>
        </w:rPr>
        <w:t xml:space="preserve"> r. nastąpił wzrost rezerwy w wysokości </w:t>
      </w:r>
      <w:r>
        <w:rPr>
          <w:rFonts w:ascii="Arial" w:hAnsi="Arial" w:cs="Arial"/>
          <w:sz w:val="18"/>
          <w:szCs w:val="18"/>
        </w:rPr>
        <w:t>164</w:t>
      </w:r>
      <w:r w:rsidRPr="000D7D64">
        <w:rPr>
          <w:rFonts w:ascii="Arial" w:hAnsi="Arial" w:cs="Arial"/>
          <w:sz w:val="18"/>
          <w:szCs w:val="18"/>
        </w:rPr>
        <w:t xml:space="preserve"> tys. zł,</w:t>
      </w:r>
      <w:r w:rsidRPr="000D7D64">
        <w:rPr>
          <w:rFonts w:ascii="Arial" w:hAnsi="Arial" w:cs="Arial"/>
          <w:sz w:val="18"/>
          <w:szCs w:val="18"/>
        </w:rPr>
        <w:br/>
        <w:t>która został</w:t>
      </w:r>
      <w:r>
        <w:rPr>
          <w:rFonts w:ascii="Arial" w:hAnsi="Arial" w:cs="Arial"/>
          <w:sz w:val="18"/>
          <w:szCs w:val="18"/>
        </w:rPr>
        <w:t>a odniesiona na wynik finansowy oraz 6 tys. zł odniesione na inne całkowite dochody.</w:t>
      </w:r>
    </w:p>
    <w:p w:rsidR="00600719" w:rsidRPr="00F31D8E" w:rsidRDefault="00600719" w:rsidP="00600719">
      <w:pPr>
        <w:tabs>
          <w:tab w:val="left" w:pos="540"/>
        </w:tabs>
        <w:spacing w:line="260" w:lineRule="exact"/>
        <w:jc w:val="both"/>
        <w:rPr>
          <w:rFonts w:ascii="Arial" w:hAnsi="Arial" w:cs="Arial"/>
          <w:sz w:val="18"/>
          <w:szCs w:val="18"/>
        </w:rPr>
      </w:pPr>
    </w:p>
    <w:p w:rsidR="00600719" w:rsidRPr="00AA0859" w:rsidRDefault="00600719" w:rsidP="00600719">
      <w:pPr>
        <w:tabs>
          <w:tab w:val="left" w:pos="540"/>
        </w:tabs>
        <w:spacing w:line="260" w:lineRule="exact"/>
        <w:jc w:val="both"/>
        <w:rPr>
          <w:rFonts w:ascii="Arial" w:hAnsi="Arial" w:cs="Arial"/>
          <w:b/>
          <w:bCs/>
          <w:i/>
          <w:sz w:val="18"/>
          <w:szCs w:val="18"/>
        </w:rPr>
      </w:pPr>
      <w:r w:rsidRPr="00AA0859">
        <w:rPr>
          <w:rFonts w:ascii="Arial" w:hAnsi="Arial" w:cs="Arial"/>
          <w:b/>
          <w:bCs/>
          <w:i/>
          <w:sz w:val="18"/>
          <w:szCs w:val="18"/>
        </w:rPr>
        <w:t>b) Odpisy aktualizujące wartość aktywów.</w:t>
      </w:r>
    </w:p>
    <w:p w:rsidR="00600719" w:rsidRPr="0050133E" w:rsidRDefault="00600719" w:rsidP="00600719">
      <w:pPr>
        <w:tabs>
          <w:tab w:val="left" w:pos="540"/>
        </w:tabs>
        <w:spacing w:line="260" w:lineRule="exact"/>
        <w:jc w:val="both"/>
        <w:rPr>
          <w:rFonts w:ascii="Arial" w:hAnsi="Arial" w:cs="Arial"/>
          <w:sz w:val="18"/>
          <w:szCs w:val="18"/>
        </w:rPr>
      </w:pPr>
    </w:p>
    <w:p w:rsidR="00600719" w:rsidRPr="00747AC3" w:rsidRDefault="00600719" w:rsidP="00600719">
      <w:pPr>
        <w:tabs>
          <w:tab w:val="left" w:pos="540"/>
        </w:tabs>
        <w:spacing w:line="260" w:lineRule="exact"/>
        <w:jc w:val="both"/>
        <w:rPr>
          <w:rFonts w:ascii="Arial" w:hAnsi="Arial" w:cs="Arial"/>
          <w:sz w:val="18"/>
          <w:szCs w:val="18"/>
        </w:rPr>
      </w:pPr>
      <w:r w:rsidRPr="00747AC3">
        <w:rPr>
          <w:rFonts w:ascii="Arial" w:hAnsi="Arial" w:cs="Arial"/>
          <w:sz w:val="18"/>
          <w:szCs w:val="18"/>
        </w:rPr>
        <w:t xml:space="preserve">- </w:t>
      </w:r>
      <w:r w:rsidRPr="00747AC3">
        <w:rPr>
          <w:rFonts w:ascii="Arial" w:hAnsi="Arial" w:cs="Arial"/>
          <w:sz w:val="18"/>
          <w:szCs w:val="18"/>
        </w:rPr>
        <w:tab/>
        <w:t>nie dokonano odpisu aktualizującego wartość aktywów trwałych,</w:t>
      </w:r>
    </w:p>
    <w:p w:rsidR="00600719" w:rsidRPr="00571736" w:rsidRDefault="00600719" w:rsidP="00600719">
      <w:pPr>
        <w:tabs>
          <w:tab w:val="left" w:pos="540"/>
        </w:tabs>
        <w:spacing w:line="260" w:lineRule="exact"/>
        <w:jc w:val="both"/>
        <w:rPr>
          <w:rFonts w:ascii="Arial" w:hAnsi="Arial" w:cs="Arial"/>
          <w:sz w:val="18"/>
          <w:szCs w:val="18"/>
        </w:rPr>
      </w:pPr>
      <w:r w:rsidRPr="00571736">
        <w:rPr>
          <w:rFonts w:ascii="Arial" w:hAnsi="Arial" w:cs="Arial"/>
          <w:sz w:val="18"/>
          <w:szCs w:val="18"/>
        </w:rPr>
        <w:t xml:space="preserve">- </w:t>
      </w:r>
      <w:r w:rsidRPr="00571736">
        <w:rPr>
          <w:rFonts w:ascii="Arial" w:hAnsi="Arial" w:cs="Arial"/>
          <w:sz w:val="18"/>
          <w:szCs w:val="18"/>
        </w:rPr>
        <w:tab/>
        <w:t>nie dokonano wyceny zapasów do poziomu cen sprzedaży netto,</w:t>
      </w:r>
    </w:p>
    <w:p w:rsidR="00600719" w:rsidRPr="00AA0859" w:rsidRDefault="00600719" w:rsidP="00600719">
      <w:pPr>
        <w:tabs>
          <w:tab w:val="left" w:pos="540"/>
        </w:tabs>
        <w:spacing w:line="260" w:lineRule="exact"/>
        <w:jc w:val="both"/>
        <w:rPr>
          <w:rFonts w:ascii="Arial" w:hAnsi="Arial" w:cs="Arial"/>
          <w:sz w:val="18"/>
          <w:szCs w:val="18"/>
        </w:rPr>
      </w:pPr>
      <w:r w:rsidRPr="00571736">
        <w:rPr>
          <w:rFonts w:ascii="Arial" w:hAnsi="Arial" w:cs="Arial"/>
          <w:sz w:val="18"/>
          <w:szCs w:val="18"/>
        </w:rPr>
        <w:t xml:space="preserve">- </w:t>
      </w:r>
      <w:r w:rsidRPr="00571736">
        <w:rPr>
          <w:rFonts w:ascii="Arial" w:hAnsi="Arial" w:cs="Arial"/>
          <w:sz w:val="18"/>
          <w:szCs w:val="18"/>
        </w:rPr>
        <w:tab/>
        <w:t xml:space="preserve">na </w:t>
      </w:r>
      <w:r w:rsidRPr="000A05FB">
        <w:rPr>
          <w:rFonts w:ascii="Arial" w:hAnsi="Arial" w:cs="Arial"/>
          <w:sz w:val="18"/>
          <w:szCs w:val="18"/>
        </w:rPr>
        <w:t xml:space="preserve">30.09.2021 r. dokonano odpisu aktualizującego należności (MSSF9) w łącznej wartości 362 tys. zł. </w:t>
      </w:r>
      <w:r w:rsidRPr="000A05FB">
        <w:rPr>
          <w:rFonts w:ascii="Arial" w:hAnsi="Arial" w:cs="Arial"/>
          <w:sz w:val="18"/>
          <w:szCs w:val="18"/>
        </w:rPr>
        <w:br/>
        <w:t>W stosunku do kalkulacji na 31.12.2020 r. wynoszącej 300 tys. zł wartość odpisu wzrosła o 62 tys. zł.</w:t>
      </w:r>
    </w:p>
    <w:p w:rsidR="00600719" w:rsidRPr="00AA0859" w:rsidRDefault="00600719" w:rsidP="00600719">
      <w:pPr>
        <w:tabs>
          <w:tab w:val="left" w:pos="540"/>
        </w:tabs>
        <w:spacing w:line="260" w:lineRule="exact"/>
        <w:jc w:val="both"/>
        <w:rPr>
          <w:rFonts w:ascii="Arial" w:hAnsi="Arial" w:cs="Arial"/>
          <w:sz w:val="18"/>
          <w:szCs w:val="18"/>
        </w:rPr>
      </w:pPr>
    </w:p>
    <w:p w:rsidR="00600719" w:rsidRPr="00F31D8E" w:rsidRDefault="00600719" w:rsidP="00600719">
      <w:pPr>
        <w:tabs>
          <w:tab w:val="left" w:pos="540"/>
        </w:tabs>
        <w:spacing w:line="260" w:lineRule="exact"/>
        <w:jc w:val="both"/>
        <w:rPr>
          <w:rFonts w:ascii="Arial" w:hAnsi="Arial" w:cs="Arial"/>
          <w:b/>
          <w:bCs/>
          <w:sz w:val="18"/>
          <w:szCs w:val="18"/>
        </w:rPr>
      </w:pPr>
      <w:r w:rsidRPr="00F31D8E">
        <w:rPr>
          <w:rFonts w:ascii="Arial" w:hAnsi="Arial" w:cs="Arial"/>
          <w:b/>
          <w:bCs/>
          <w:sz w:val="18"/>
          <w:szCs w:val="18"/>
        </w:rPr>
        <w:t>V</w:t>
      </w:r>
      <w:r>
        <w:rPr>
          <w:rFonts w:ascii="Arial" w:hAnsi="Arial" w:cs="Arial"/>
          <w:b/>
          <w:bCs/>
          <w:sz w:val="18"/>
          <w:szCs w:val="18"/>
        </w:rPr>
        <w:t>I</w:t>
      </w:r>
      <w:r w:rsidRPr="00F31D8E">
        <w:rPr>
          <w:rFonts w:ascii="Arial" w:hAnsi="Arial" w:cs="Arial"/>
          <w:b/>
          <w:bCs/>
          <w:sz w:val="18"/>
          <w:szCs w:val="18"/>
        </w:rPr>
        <w:t>. Informacje dotyczące emisji, wykupu i spłaty dłużnych i kapitałowych papierów wartościowych.</w:t>
      </w:r>
    </w:p>
    <w:p w:rsidR="00600719" w:rsidRPr="00F31D8E" w:rsidRDefault="00600719" w:rsidP="00600719">
      <w:pPr>
        <w:tabs>
          <w:tab w:val="left" w:pos="540"/>
        </w:tabs>
        <w:spacing w:line="260" w:lineRule="exact"/>
        <w:jc w:val="both"/>
        <w:rPr>
          <w:rFonts w:ascii="Arial" w:hAnsi="Arial" w:cs="Arial"/>
          <w:bCs/>
          <w:sz w:val="18"/>
          <w:szCs w:val="18"/>
        </w:rPr>
      </w:pPr>
    </w:p>
    <w:p w:rsidR="00600719" w:rsidRPr="00F31D8E" w:rsidRDefault="00600719" w:rsidP="00600719">
      <w:pPr>
        <w:tabs>
          <w:tab w:val="left" w:pos="540"/>
        </w:tabs>
        <w:spacing w:line="260" w:lineRule="exact"/>
        <w:jc w:val="both"/>
        <w:rPr>
          <w:rFonts w:ascii="Arial" w:hAnsi="Arial" w:cs="Arial"/>
          <w:bCs/>
          <w:sz w:val="18"/>
          <w:szCs w:val="18"/>
        </w:rPr>
      </w:pPr>
      <w:r w:rsidRPr="00F31D8E">
        <w:rPr>
          <w:rFonts w:ascii="Arial" w:hAnsi="Arial" w:cs="Arial"/>
          <w:bCs/>
          <w:sz w:val="18"/>
          <w:szCs w:val="18"/>
        </w:rPr>
        <w:t xml:space="preserve">W okresie 9 miesięcy </w:t>
      </w:r>
      <w:r>
        <w:rPr>
          <w:rFonts w:ascii="Arial" w:hAnsi="Arial" w:cs="Arial"/>
          <w:bCs/>
          <w:sz w:val="18"/>
          <w:szCs w:val="18"/>
        </w:rPr>
        <w:t>2021</w:t>
      </w:r>
      <w:r w:rsidRPr="00F31D8E">
        <w:rPr>
          <w:rFonts w:ascii="Arial" w:hAnsi="Arial" w:cs="Arial"/>
          <w:bCs/>
          <w:sz w:val="18"/>
          <w:szCs w:val="18"/>
        </w:rPr>
        <w:t xml:space="preserve"> r. Spółka nie przeprowadziła emisji, wykupu i spłaty papierów wartościowych.</w:t>
      </w:r>
    </w:p>
    <w:p w:rsidR="00600719" w:rsidRPr="00F31D8E" w:rsidRDefault="00600719" w:rsidP="00600719">
      <w:pPr>
        <w:tabs>
          <w:tab w:val="left" w:pos="540"/>
        </w:tabs>
        <w:spacing w:line="260" w:lineRule="exact"/>
        <w:jc w:val="both"/>
        <w:rPr>
          <w:rFonts w:ascii="Arial" w:hAnsi="Arial" w:cs="Arial"/>
          <w:bCs/>
          <w:sz w:val="18"/>
          <w:szCs w:val="18"/>
        </w:rPr>
      </w:pPr>
    </w:p>
    <w:p w:rsidR="00600719" w:rsidRPr="00F31D8E" w:rsidRDefault="00600719" w:rsidP="00600719">
      <w:pPr>
        <w:tabs>
          <w:tab w:val="left" w:pos="540"/>
        </w:tabs>
        <w:spacing w:line="260" w:lineRule="exact"/>
        <w:jc w:val="both"/>
        <w:rPr>
          <w:rFonts w:ascii="Arial" w:hAnsi="Arial" w:cs="Arial"/>
          <w:b/>
          <w:bCs/>
          <w:sz w:val="18"/>
          <w:szCs w:val="18"/>
        </w:rPr>
      </w:pPr>
      <w:r w:rsidRPr="00F31D8E">
        <w:rPr>
          <w:rFonts w:ascii="Arial" w:hAnsi="Arial" w:cs="Arial"/>
          <w:b/>
          <w:bCs/>
          <w:sz w:val="18"/>
          <w:szCs w:val="18"/>
        </w:rPr>
        <w:t>VI</w:t>
      </w:r>
      <w:r>
        <w:rPr>
          <w:rFonts w:ascii="Arial" w:hAnsi="Arial" w:cs="Arial"/>
          <w:b/>
          <w:bCs/>
          <w:sz w:val="18"/>
          <w:szCs w:val="18"/>
        </w:rPr>
        <w:t>I</w:t>
      </w:r>
      <w:r w:rsidRPr="00F31D8E">
        <w:rPr>
          <w:rFonts w:ascii="Arial" w:hAnsi="Arial" w:cs="Arial"/>
          <w:b/>
          <w:bCs/>
          <w:sz w:val="18"/>
          <w:szCs w:val="18"/>
        </w:rPr>
        <w:t>. Informacje dotyczące wypłaconej (lub zadeklarowanej) dywidendy, łącznie i w przeliczeniu na jedną akcję, z podziałem na akcje zwykłe i uprzywilejowane.</w:t>
      </w:r>
    </w:p>
    <w:p w:rsidR="00600719" w:rsidRPr="00747AC3" w:rsidRDefault="00600719" w:rsidP="00600719">
      <w:pPr>
        <w:tabs>
          <w:tab w:val="left" w:pos="540"/>
        </w:tabs>
        <w:spacing w:line="260" w:lineRule="exact"/>
        <w:jc w:val="both"/>
        <w:rPr>
          <w:rFonts w:ascii="Arial" w:hAnsi="Arial" w:cs="Arial"/>
          <w:b/>
          <w:bCs/>
          <w:sz w:val="18"/>
          <w:szCs w:val="18"/>
        </w:rPr>
      </w:pPr>
    </w:p>
    <w:p w:rsidR="00600719" w:rsidRDefault="00600719" w:rsidP="00600719">
      <w:pPr>
        <w:tabs>
          <w:tab w:val="left" w:pos="540"/>
        </w:tabs>
        <w:spacing w:line="260" w:lineRule="exact"/>
        <w:jc w:val="both"/>
        <w:rPr>
          <w:rFonts w:ascii="Arial" w:hAnsi="Arial" w:cs="Arial"/>
          <w:color w:val="000000" w:themeColor="text1"/>
          <w:sz w:val="18"/>
          <w:szCs w:val="18"/>
        </w:rPr>
      </w:pPr>
      <w:r w:rsidRPr="00571736">
        <w:rPr>
          <w:rFonts w:ascii="Arial" w:hAnsi="Arial" w:cs="Arial"/>
          <w:color w:val="000000" w:themeColor="text1"/>
          <w:sz w:val="18"/>
          <w:szCs w:val="18"/>
        </w:rPr>
        <w:t>W prezentowanym okresie sprawozdawczym nie dokonano wypłaty dywidendy.</w:t>
      </w:r>
    </w:p>
    <w:p w:rsidR="00600719" w:rsidRPr="00571736" w:rsidRDefault="00600719" w:rsidP="00600719">
      <w:pPr>
        <w:tabs>
          <w:tab w:val="left" w:pos="540"/>
        </w:tabs>
        <w:spacing w:line="260" w:lineRule="exact"/>
        <w:jc w:val="both"/>
        <w:rPr>
          <w:rFonts w:ascii="Arial" w:hAnsi="Arial" w:cs="Arial"/>
          <w:color w:val="000000" w:themeColor="text1"/>
          <w:sz w:val="18"/>
          <w:szCs w:val="18"/>
        </w:rPr>
      </w:pPr>
    </w:p>
    <w:p w:rsidR="00600719" w:rsidRDefault="00600719" w:rsidP="00600719">
      <w:pPr>
        <w:tabs>
          <w:tab w:val="left" w:pos="540"/>
        </w:tabs>
        <w:spacing w:line="260" w:lineRule="exact"/>
        <w:jc w:val="both"/>
        <w:rPr>
          <w:rFonts w:ascii="Arial" w:hAnsi="Arial" w:cs="Arial"/>
          <w:sz w:val="18"/>
          <w:szCs w:val="18"/>
        </w:rPr>
      </w:pPr>
      <w:r w:rsidRPr="00C310B8">
        <w:rPr>
          <w:rFonts w:ascii="Arial" w:hAnsi="Arial" w:cs="Arial"/>
          <w:sz w:val="18"/>
          <w:szCs w:val="18"/>
        </w:rPr>
        <w:t>Zgodnie z Uchwałą Nr 5/2021 Zwyczajnego Walnego Zgromadzenia Akcjonariuszy z dnia 14 czerwca 2021 r. strata netto INTERFERIE S.A. za rok obrotowy 2020 w wysokości 9.671.941,92 zł (słownie: dziewięć milionów sześćset siedemdziesiąt jeden tysięcy dziewięćset czterdzieści jeden złotych i dziewięćdziesiąt dwa grosze) pokryta została z pozostałego kapitału zapasowego Spółki.</w:t>
      </w:r>
    </w:p>
    <w:p w:rsidR="00600719" w:rsidRDefault="00600719" w:rsidP="00600719">
      <w:pPr>
        <w:tabs>
          <w:tab w:val="left" w:pos="540"/>
        </w:tabs>
        <w:spacing w:line="260" w:lineRule="exact"/>
        <w:jc w:val="both"/>
        <w:rPr>
          <w:rFonts w:ascii="Arial" w:hAnsi="Arial" w:cs="Arial"/>
          <w:sz w:val="18"/>
          <w:szCs w:val="18"/>
        </w:rPr>
      </w:pPr>
    </w:p>
    <w:p w:rsidR="00600719" w:rsidRDefault="00600719" w:rsidP="00600719">
      <w:pPr>
        <w:rPr>
          <w:rFonts w:ascii="Arial" w:hAnsi="Arial" w:cs="Arial"/>
          <w:b/>
          <w:bCs/>
          <w:sz w:val="18"/>
          <w:szCs w:val="18"/>
        </w:rPr>
      </w:pPr>
      <w:r>
        <w:rPr>
          <w:szCs w:val="18"/>
        </w:rPr>
        <w:br w:type="page"/>
      </w:r>
    </w:p>
    <w:p w:rsidR="00600719" w:rsidRPr="00F31D8E" w:rsidRDefault="00600719" w:rsidP="00600719">
      <w:pPr>
        <w:pStyle w:val="Tekstpodstawowy3"/>
        <w:tabs>
          <w:tab w:val="left" w:pos="540"/>
        </w:tabs>
        <w:rPr>
          <w:szCs w:val="18"/>
        </w:rPr>
      </w:pPr>
      <w:r w:rsidRPr="00F31D8E">
        <w:rPr>
          <w:szCs w:val="18"/>
        </w:rPr>
        <w:lastRenderedPageBreak/>
        <w:t>VI</w:t>
      </w:r>
      <w:r>
        <w:rPr>
          <w:szCs w:val="18"/>
        </w:rPr>
        <w:t>I</w:t>
      </w:r>
      <w:r w:rsidRPr="00F31D8E">
        <w:rPr>
          <w:szCs w:val="18"/>
        </w:rPr>
        <w:t>I. Segmenty działalności.</w:t>
      </w:r>
    </w:p>
    <w:p w:rsidR="00600719" w:rsidRPr="00F31D8E" w:rsidRDefault="00600719" w:rsidP="00600719">
      <w:pPr>
        <w:tabs>
          <w:tab w:val="left" w:pos="540"/>
        </w:tabs>
        <w:spacing w:line="260" w:lineRule="exact"/>
        <w:jc w:val="both"/>
        <w:rPr>
          <w:rFonts w:ascii="Arial" w:hAnsi="Arial" w:cs="Arial"/>
          <w:sz w:val="18"/>
          <w:szCs w:val="18"/>
        </w:rPr>
      </w:pPr>
    </w:p>
    <w:p w:rsidR="00600719" w:rsidRPr="007040BC" w:rsidRDefault="00600719" w:rsidP="00600719">
      <w:pPr>
        <w:tabs>
          <w:tab w:val="left" w:pos="540"/>
        </w:tabs>
        <w:spacing w:line="260" w:lineRule="exact"/>
        <w:jc w:val="both"/>
        <w:rPr>
          <w:rFonts w:ascii="Arial" w:hAnsi="Arial" w:cs="Arial"/>
          <w:bCs/>
          <w:sz w:val="18"/>
          <w:szCs w:val="18"/>
        </w:rPr>
      </w:pPr>
      <w:r w:rsidRPr="007040BC">
        <w:rPr>
          <w:rFonts w:ascii="Arial" w:hAnsi="Arial" w:cs="Arial"/>
          <w:b/>
          <w:bCs/>
          <w:sz w:val="18"/>
          <w:szCs w:val="18"/>
        </w:rPr>
        <w:t>Identyfikacja segmentów operacyjnych.</w:t>
      </w:r>
      <w:r w:rsidRPr="007040BC">
        <w:rPr>
          <w:rFonts w:ascii="Arial" w:hAnsi="Arial" w:cs="Arial"/>
          <w:bCs/>
          <w:sz w:val="18"/>
          <w:szCs w:val="18"/>
        </w:rPr>
        <w:t xml:space="preserve"> Segmenty operacyjne są przedstawiane w sposób spójny </w:t>
      </w:r>
      <w:r w:rsidRPr="007040BC">
        <w:rPr>
          <w:rFonts w:ascii="Arial" w:hAnsi="Arial" w:cs="Arial"/>
          <w:bCs/>
          <w:sz w:val="18"/>
          <w:szCs w:val="18"/>
        </w:rPr>
        <w:br/>
        <w:t xml:space="preserve">ze sprawozdawczością wewnętrzną dostarczaną głównemu decydentowi operacyjnemu (GDO)-Zarządowi INTERFERIE S.A. Segmenty operacyjne tworzą poszczególne hotele oraz ośrodki wypoczynkowe, poszczególne hotele miejskie oraz pozostałe. </w:t>
      </w:r>
    </w:p>
    <w:p w:rsidR="00600719" w:rsidRPr="007040BC" w:rsidRDefault="00600719" w:rsidP="00600719">
      <w:pPr>
        <w:tabs>
          <w:tab w:val="left" w:pos="540"/>
        </w:tabs>
        <w:spacing w:line="260" w:lineRule="exact"/>
        <w:jc w:val="both"/>
        <w:rPr>
          <w:rFonts w:ascii="Arial" w:hAnsi="Arial" w:cs="Arial"/>
          <w:bCs/>
          <w:sz w:val="18"/>
          <w:szCs w:val="18"/>
        </w:rPr>
      </w:pPr>
      <w:r w:rsidRPr="007040BC">
        <w:rPr>
          <w:rFonts w:ascii="Arial" w:hAnsi="Arial" w:cs="Arial"/>
          <w:bCs/>
          <w:sz w:val="18"/>
          <w:szCs w:val="18"/>
        </w:rPr>
        <w:t xml:space="preserve">Identyfikacja segmentów sprawozdawczych. Wyodrębnione segmenty operacyjne (hotele i ośrodki wypoczynkowe oraz hotele miejskie) są odpowiednio agregowane w segmenty sprawozdawcze, ponieważ spełniają kryteria agregacji opisane w MSSF 8. INTERFERIE S.A. wyodrębnia 1 segment sprawozdawczy w swej działalności („działalność hotelarska”) zgodnie z MSSF 8 „Segmenty operacyjne”. INTERFERIE S.A. </w:t>
      </w:r>
      <w:r w:rsidRPr="007040BC">
        <w:rPr>
          <w:rFonts w:ascii="Arial" w:hAnsi="Arial" w:cs="Arial"/>
          <w:bCs/>
          <w:sz w:val="18"/>
          <w:szCs w:val="18"/>
        </w:rPr>
        <w:br/>
        <w:t xml:space="preserve">w wykazanych segmentach prowadzi działalność gospodarczą osiągając określone przychody i ponosząc koszty. Wyniki działalności segmentów są regularnie przeglądane przez Zarząd. Dostępne są również informacje finansowe dotyczące wyodrębnionych segmentów. </w:t>
      </w:r>
    </w:p>
    <w:p w:rsidR="00600719" w:rsidRPr="007040BC" w:rsidRDefault="00600719" w:rsidP="00600719">
      <w:pPr>
        <w:tabs>
          <w:tab w:val="left" w:pos="540"/>
        </w:tabs>
        <w:spacing w:line="260" w:lineRule="exact"/>
        <w:jc w:val="both"/>
        <w:rPr>
          <w:rFonts w:ascii="Arial" w:hAnsi="Arial" w:cs="Arial"/>
          <w:bCs/>
          <w:sz w:val="18"/>
          <w:szCs w:val="18"/>
        </w:rPr>
      </w:pPr>
      <w:r w:rsidRPr="007040BC">
        <w:rPr>
          <w:rFonts w:ascii="Arial" w:hAnsi="Arial" w:cs="Arial"/>
          <w:bCs/>
          <w:sz w:val="18"/>
          <w:szCs w:val="18"/>
        </w:rPr>
        <w:t>Niezagregowane segmenty  operacyjne są łączone i ujawniane w kategorii „wszystkie pozostałe segmenty”.</w:t>
      </w:r>
    </w:p>
    <w:p w:rsidR="00600719" w:rsidRPr="007040BC" w:rsidRDefault="00600719" w:rsidP="00600719">
      <w:pPr>
        <w:tabs>
          <w:tab w:val="left" w:pos="540"/>
        </w:tabs>
        <w:spacing w:line="260" w:lineRule="exact"/>
        <w:jc w:val="both"/>
        <w:rPr>
          <w:rFonts w:ascii="Arial" w:hAnsi="Arial" w:cs="Arial"/>
          <w:bCs/>
          <w:sz w:val="18"/>
          <w:szCs w:val="18"/>
        </w:rPr>
      </w:pPr>
      <w:r w:rsidRPr="007040BC">
        <w:rPr>
          <w:rFonts w:ascii="Arial" w:hAnsi="Arial" w:cs="Arial"/>
          <w:b/>
          <w:bCs/>
          <w:sz w:val="18"/>
          <w:szCs w:val="18"/>
        </w:rPr>
        <w:t>Segment „działalność hotelarska”.</w:t>
      </w:r>
      <w:r w:rsidRPr="007040BC">
        <w:rPr>
          <w:rFonts w:ascii="Arial" w:hAnsi="Arial" w:cs="Arial"/>
          <w:bCs/>
          <w:sz w:val="18"/>
          <w:szCs w:val="18"/>
        </w:rPr>
        <w:t xml:space="preserve"> Segment „działalność hotelarska” obejmuje przede wszystkim usługi noclegowe i gastronomiczne w hotelach oraz ośrodkach wypoczynkowych  Spółki. Segmentem operacyjnym jest każdy indywidualny hotel oraz ośrodek wypoczynkowy, który jest oddzielnie analizowany i oceniany przez Zarząd. Ze względu na:</w:t>
      </w:r>
    </w:p>
    <w:p w:rsidR="00600719" w:rsidRPr="007040BC" w:rsidRDefault="00600719" w:rsidP="00600719">
      <w:pPr>
        <w:pStyle w:val="Akapitzlist"/>
        <w:numPr>
          <w:ilvl w:val="0"/>
          <w:numId w:val="35"/>
        </w:numPr>
        <w:tabs>
          <w:tab w:val="left" w:pos="540"/>
        </w:tabs>
        <w:spacing w:line="260" w:lineRule="exact"/>
        <w:jc w:val="both"/>
        <w:rPr>
          <w:rFonts w:ascii="Arial" w:hAnsi="Arial" w:cs="Arial"/>
          <w:bCs/>
          <w:sz w:val="18"/>
          <w:szCs w:val="18"/>
        </w:rPr>
      </w:pPr>
      <w:r w:rsidRPr="007040BC">
        <w:rPr>
          <w:rFonts w:ascii="Arial" w:hAnsi="Arial" w:cs="Arial"/>
          <w:bCs/>
          <w:sz w:val="18"/>
          <w:szCs w:val="18"/>
        </w:rPr>
        <w:t xml:space="preserve">podobny charakter świadczonych usług (noclegi, usługi gastronomiczne, konferencje, usługi związane </w:t>
      </w:r>
      <w:r w:rsidRPr="007040BC">
        <w:rPr>
          <w:rFonts w:ascii="Arial" w:hAnsi="Arial" w:cs="Arial"/>
          <w:bCs/>
          <w:sz w:val="18"/>
          <w:szCs w:val="18"/>
        </w:rPr>
        <w:br/>
        <w:t>z wypoczynkiem),</w:t>
      </w:r>
    </w:p>
    <w:p w:rsidR="00600719" w:rsidRPr="007040BC" w:rsidRDefault="00600719" w:rsidP="00600719">
      <w:pPr>
        <w:pStyle w:val="Akapitzlist"/>
        <w:numPr>
          <w:ilvl w:val="0"/>
          <w:numId w:val="35"/>
        </w:numPr>
        <w:tabs>
          <w:tab w:val="left" w:pos="540"/>
        </w:tabs>
        <w:spacing w:line="260" w:lineRule="exact"/>
        <w:jc w:val="both"/>
        <w:rPr>
          <w:rFonts w:ascii="Arial" w:hAnsi="Arial" w:cs="Arial"/>
          <w:bCs/>
          <w:sz w:val="18"/>
          <w:szCs w:val="18"/>
        </w:rPr>
      </w:pPr>
      <w:r w:rsidRPr="007040BC">
        <w:rPr>
          <w:rFonts w:ascii="Arial" w:hAnsi="Arial" w:cs="Arial"/>
          <w:bCs/>
          <w:sz w:val="18"/>
          <w:szCs w:val="18"/>
        </w:rPr>
        <w:t>podobieństwo metod przy świadczeniu usług (scentralizowany system zakupów oraz sprzedaży dla klienta grupowego, a także centralne zarządzanie)</w:t>
      </w:r>
    </w:p>
    <w:p w:rsidR="00600719" w:rsidRPr="007040BC" w:rsidRDefault="00600719" w:rsidP="00600719">
      <w:pPr>
        <w:pStyle w:val="Akapitzlist"/>
        <w:numPr>
          <w:ilvl w:val="0"/>
          <w:numId w:val="35"/>
        </w:numPr>
        <w:tabs>
          <w:tab w:val="left" w:pos="540"/>
        </w:tabs>
        <w:spacing w:line="260" w:lineRule="exact"/>
        <w:jc w:val="both"/>
        <w:rPr>
          <w:rFonts w:ascii="Arial" w:hAnsi="Arial" w:cs="Arial"/>
          <w:bCs/>
          <w:sz w:val="18"/>
          <w:szCs w:val="18"/>
        </w:rPr>
      </w:pPr>
      <w:r w:rsidRPr="007040BC">
        <w:rPr>
          <w:rFonts w:ascii="Arial" w:hAnsi="Arial" w:cs="Arial"/>
          <w:bCs/>
          <w:sz w:val="18"/>
          <w:szCs w:val="18"/>
        </w:rPr>
        <w:t>rodzaj klienta (turysta indywidualny oraz grupowy)</w:t>
      </w:r>
    </w:p>
    <w:p w:rsidR="00600719" w:rsidRPr="007040BC" w:rsidRDefault="00600719" w:rsidP="00600719">
      <w:pPr>
        <w:tabs>
          <w:tab w:val="left" w:pos="540"/>
        </w:tabs>
        <w:spacing w:line="260" w:lineRule="exact"/>
        <w:jc w:val="both"/>
        <w:rPr>
          <w:rFonts w:ascii="Arial" w:hAnsi="Arial" w:cs="Arial"/>
          <w:bCs/>
          <w:sz w:val="18"/>
          <w:szCs w:val="18"/>
        </w:rPr>
      </w:pPr>
      <w:r w:rsidRPr="007040BC">
        <w:rPr>
          <w:rFonts w:ascii="Arial" w:hAnsi="Arial" w:cs="Arial"/>
          <w:bCs/>
          <w:sz w:val="18"/>
          <w:szCs w:val="18"/>
        </w:rPr>
        <w:t>segment „działalność hotelarska” obejmuje informacje finansowe łącznie dla hoteli oraz ośrodków wypoczynkowych położonych w miejscowościach atrakcyjnych pod względem turystycznym (góry, morze) natomiast segmenty operacyjne zostały zagregowane zgodnie z MSSF 8, tworząc segment sprawozdawczy „działalność hotelarska”.</w:t>
      </w:r>
    </w:p>
    <w:p w:rsidR="00600719" w:rsidRDefault="00600719" w:rsidP="00600719">
      <w:pPr>
        <w:tabs>
          <w:tab w:val="left" w:pos="540"/>
        </w:tabs>
        <w:spacing w:line="260" w:lineRule="exact"/>
        <w:jc w:val="both"/>
        <w:rPr>
          <w:rFonts w:ascii="Arial" w:hAnsi="Arial" w:cs="Arial"/>
          <w:sz w:val="18"/>
          <w:szCs w:val="18"/>
        </w:rPr>
      </w:pPr>
      <w:r w:rsidRPr="00CA0C51">
        <w:rPr>
          <w:rFonts w:ascii="Arial" w:hAnsi="Arial" w:cs="Arial"/>
          <w:b/>
          <w:sz w:val="18"/>
          <w:szCs w:val="18"/>
        </w:rPr>
        <w:t>Wszystkie pozostałe segmenty</w:t>
      </w:r>
      <w:r w:rsidRPr="00CA0C51">
        <w:rPr>
          <w:rFonts w:ascii="Arial" w:hAnsi="Arial" w:cs="Arial"/>
          <w:sz w:val="18"/>
          <w:szCs w:val="18"/>
        </w:rPr>
        <w:t xml:space="preserve">. Źródła przychodów w tej kategorii obejmują: pośrednictwo </w:t>
      </w:r>
      <w:r w:rsidRPr="00CA0C51">
        <w:rPr>
          <w:rFonts w:ascii="Arial" w:hAnsi="Arial" w:cs="Arial"/>
          <w:sz w:val="18"/>
          <w:szCs w:val="18"/>
        </w:rPr>
        <w:br/>
        <w:t>w sprzedaży imprez turystycznych własnych oraz innych operatorów, sprzedaż biletów lotniczych, usługi reklamowe, przychody z usług administracyjnych oraz opłaty licencyjnej za znak towarowy</w:t>
      </w:r>
      <w:r>
        <w:rPr>
          <w:rFonts w:ascii="Arial" w:hAnsi="Arial" w:cs="Arial"/>
          <w:sz w:val="18"/>
          <w:szCs w:val="18"/>
        </w:rPr>
        <w:t>.</w:t>
      </w:r>
    </w:p>
    <w:p w:rsidR="00600719" w:rsidRPr="005D3822" w:rsidRDefault="00600719" w:rsidP="00600719">
      <w:pPr>
        <w:tabs>
          <w:tab w:val="left" w:pos="540"/>
        </w:tabs>
        <w:spacing w:line="260" w:lineRule="exact"/>
        <w:jc w:val="both"/>
        <w:rPr>
          <w:rFonts w:ascii="Arial" w:hAnsi="Arial" w:cs="Arial"/>
          <w:bCs/>
          <w:sz w:val="18"/>
          <w:szCs w:val="18"/>
        </w:rPr>
      </w:pPr>
      <w:r w:rsidRPr="00661ED4">
        <w:rPr>
          <w:rFonts w:ascii="Arial" w:hAnsi="Arial" w:cs="Arial"/>
          <w:b/>
          <w:bCs/>
          <w:sz w:val="18"/>
          <w:szCs w:val="18"/>
        </w:rPr>
        <w:t>Pozycje nieprzypisane</w:t>
      </w:r>
      <w:r w:rsidRPr="00661ED4">
        <w:rPr>
          <w:rFonts w:ascii="Arial" w:hAnsi="Arial" w:cs="Arial"/>
          <w:bCs/>
          <w:sz w:val="18"/>
          <w:szCs w:val="18"/>
        </w:rPr>
        <w:t xml:space="preserve"> </w:t>
      </w:r>
      <w:r w:rsidRPr="005D3822">
        <w:rPr>
          <w:rFonts w:ascii="Arial" w:hAnsi="Arial" w:cs="Arial"/>
          <w:bCs/>
          <w:sz w:val="18"/>
          <w:szCs w:val="18"/>
        </w:rPr>
        <w:t xml:space="preserve">są to pozycje monitorowane na poziomie Spółki, a nie na poziomie poszczególnych segmentów. </w:t>
      </w:r>
    </w:p>
    <w:p w:rsidR="00600719" w:rsidRPr="005D3822" w:rsidRDefault="00600719" w:rsidP="00600719">
      <w:pPr>
        <w:tabs>
          <w:tab w:val="left" w:pos="540"/>
        </w:tabs>
        <w:spacing w:line="260" w:lineRule="exact"/>
        <w:jc w:val="both"/>
        <w:rPr>
          <w:rFonts w:ascii="Arial" w:hAnsi="Arial" w:cs="Arial"/>
          <w:b/>
          <w:bCs/>
          <w:sz w:val="16"/>
          <w:szCs w:val="16"/>
        </w:rPr>
      </w:pPr>
    </w:p>
    <w:p w:rsidR="00600719" w:rsidRPr="005D3822" w:rsidRDefault="00600719" w:rsidP="00600719">
      <w:pPr>
        <w:tabs>
          <w:tab w:val="left" w:pos="540"/>
        </w:tabs>
        <w:spacing w:line="260" w:lineRule="exact"/>
        <w:jc w:val="both"/>
        <w:rPr>
          <w:rFonts w:ascii="Arial" w:hAnsi="Arial" w:cs="Arial"/>
          <w:bCs/>
          <w:sz w:val="18"/>
          <w:szCs w:val="18"/>
        </w:rPr>
      </w:pPr>
      <w:r w:rsidRPr="005D3822">
        <w:rPr>
          <w:rFonts w:ascii="Arial" w:hAnsi="Arial" w:cs="Arial"/>
          <w:b/>
          <w:bCs/>
          <w:sz w:val="16"/>
          <w:szCs w:val="16"/>
        </w:rPr>
        <w:t>Okres obrotowy za 9 miesię</w:t>
      </w:r>
      <w:r>
        <w:rPr>
          <w:rFonts w:ascii="Arial" w:hAnsi="Arial" w:cs="Arial"/>
          <w:b/>
          <w:bCs/>
          <w:sz w:val="16"/>
          <w:szCs w:val="16"/>
        </w:rPr>
        <w:t>cy kończący się 30 września 2021</w:t>
      </w:r>
      <w:r w:rsidRPr="005D3822">
        <w:rPr>
          <w:rFonts w:ascii="Arial" w:hAnsi="Arial" w:cs="Arial"/>
          <w:b/>
          <w:bCs/>
          <w:sz w:val="16"/>
          <w:szCs w:val="16"/>
        </w:rPr>
        <w:t xml:space="preserve"> r.  </w:t>
      </w:r>
      <w:r w:rsidRPr="005D3822">
        <w:rPr>
          <w:rFonts w:ascii="Arial" w:hAnsi="Arial" w:cs="Arial"/>
          <w:sz w:val="16"/>
          <w:szCs w:val="16"/>
        </w:rPr>
        <w:t>(niezbadane)</w:t>
      </w:r>
    </w:p>
    <w:tbl>
      <w:tblPr>
        <w:tblW w:w="8840" w:type="dxa"/>
        <w:tblInd w:w="55" w:type="dxa"/>
        <w:tblCellMar>
          <w:left w:w="70" w:type="dxa"/>
          <w:right w:w="70" w:type="dxa"/>
        </w:tblCellMar>
        <w:tblLook w:val="04A0" w:firstRow="1" w:lastRow="0" w:firstColumn="1" w:lastColumn="0" w:noHBand="0" w:noVBand="1"/>
      </w:tblPr>
      <w:tblGrid>
        <w:gridCol w:w="3640"/>
        <w:gridCol w:w="1300"/>
        <w:gridCol w:w="1300"/>
        <w:gridCol w:w="1300"/>
        <w:gridCol w:w="1300"/>
      </w:tblGrid>
      <w:tr w:rsidR="00600719" w:rsidRPr="00F06708" w:rsidTr="006D578F">
        <w:trPr>
          <w:trHeight w:val="315"/>
        </w:trPr>
        <w:tc>
          <w:tcPr>
            <w:tcW w:w="3640" w:type="dxa"/>
            <w:tcBorders>
              <w:top w:val="nil"/>
              <w:left w:val="nil"/>
              <w:bottom w:val="nil"/>
              <w:right w:val="nil"/>
            </w:tcBorders>
            <w:shd w:val="clear" w:color="auto" w:fill="auto"/>
            <w:noWrap/>
            <w:vAlign w:val="bottom"/>
            <w:hideMark/>
          </w:tcPr>
          <w:p w:rsidR="00600719" w:rsidRPr="00F06708" w:rsidRDefault="00600719" w:rsidP="006D578F">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600719" w:rsidRPr="00F06708" w:rsidRDefault="00600719" w:rsidP="006D578F">
            <w:pPr>
              <w:jc w:val="right"/>
              <w:rPr>
                <w:rFonts w:ascii="Arial" w:hAnsi="Arial" w:cs="Arial"/>
                <w:b/>
                <w:bCs/>
                <w:sz w:val="16"/>
                <w:szCs w:val="16"/>
              </w:rPr>
            </w:pPr>
          </w:p>
        </w:tc>
        <w:tc>
          <w:tcPr>
            <w:tcW w:w="1300" w:type="dxa"/>
            <w:tcBorders>
              <w:top w:val="nil"/>
              <w:left w:val="nil"/>
              <w:bottom w:val="nil"/>
              <w:right w:val="nil"/>
            </w:tcBorders>
            <w:shd w:val="clear" w:color="auto" w:fill="auto"/>
            <w:noWrap/>
            <w:vAlign w:val="bottom"/>
            <w:hideMark/>
          </w:tcPr>
          <w:p w:rsidR="00600719" w:rsidRPr="00F06708" w:rsidRDefault="00600719" w:rsidP="006D578F">
            <w:pPr>
              <w:jc w:val="right"/>
              <w:rPr>
                <w:rFonts w:ascii="Arial" w:hAnsi="Arial" w:cs="Arial"/>
                <w:b/>
                <w:bCs/>
                <w:sz w:val="16"/>
                <w:szCs w:val="16"/>
              </w:rPr>
            </w:pPr>
            <w:r w:rsidRPr="00F06708">
              <w:rPr>
                <w:rFonts w:ascii="Arial" w:hAnsi="Arial" w:cs="Arial"/>
                <w:b/>
                <w:bCs/>
                <w:sz w:val="16"/>
                <w:szCs w:val="16"/>
              </w:rPr>
              <w:t xml:space="preserve">Wszystkie </w:t>
            </w:r>
          </w:p>
        </w:tc>
        <w:tc>
          <w:tcPr>
            <w:tcW w:w="1300" w:type="dxa"/>
            <w:tcBorders>
              <w:top w:val="nil"/>
              <w:left w:val="nil"/>
              <w:bottom w:val="nil"/>
              <w:right w:val="nil"/>
            </w:tcBorders>
            <w:shd w:val="clear" w:color="auto" w:fill="auto"/>
            <w:noWrap/>
            <w:vAlign w:val="bottom"/>
            <w:hideMark/>
          </w:tcPr>
          <w:p w:rsidR="00600719" w:rsidRPr="00F06708" w:rsidRDefault="00600719" w:rsidP="006D578F">
            <w:pPr>
              <w:jc w:val="right"/>
              <w:rPr>
                <w:rFonts w:ascii="Arial" w:hAnsi="Arial" w:cs="Arial"/>
                <w:b/>
                <w:bCs/>
                <w:sz w:val="16"/>
                <w:szCs w:val="16"/>
              </w:rPr>
            </w:pPr>
          </w:p>
        </w:tc>
        <w:tc>
          <w:tcPr>
            <w:tcW w:w="1300" w:type="dxa"/>
            <w:tcBorders>
              <w:top w:val="nil"/>
              <w:left w:val="nil"/>
              <w:bottom w:val="nil"/>
              <w:right w:val="nil"/>
            </w:tcBorders>
            <w:shd w:val="clear" w:color="auto" w:fill="auto"/>
            <w:noWrap/>
            <w:vAlign w:val="bottom"/>
            <w:hideMark/>
          </w:tcPr>
          <w:p w:rsidR="00600719" w:rsidRPr="00F06708" w:rsidRDefault="00600719" w:rsidP="006D578F">
            <w:pPr>
              <w:jc w:val="right"/>
              <w:rPr>
                <w:rFonts w:ascii="Arial" w:hAnsi="Arial" w:cs="Arial"/>
                <w:b/>
                <w:bCs/>
                <w:sz w:val="16"/>
                <w:szCs w:val="16"/>
              </w:rPr>
            </w:pPr>
          </w:p>
        </w:tc>
      </w:tr>
      <w:tr w:rsidR="00600719" w:rsidRPr="00F06708" w:rsidTr="006D578F">
        <w:trPr>
          <w:trHeight w:val="113"/>
        </w:trPr>
        <w:tc>
          <w:tcPr>
            <w:tcW w:w="3640" w:type="dxa"/>
            <w:tcBorders>
              <w:top w:val="nil"/>
              <w:left w:val="nil"/>
              <w:bottom w:val="nil"/>
              <w:right w:val="nil"/>
            </w:tcBorders>
            <w:shd w:val="clear" w:color="auto" w:fill="auto"/>
            <w:noWrap/>
            <w:vAlign w:val="bottom"/>
            <w:hideMark/>
          </w:tcPr>
          <w:p w:rsidR="00600719" w:rsidRPr="00F06708" w:rsidRDefault="00600719" w:rsidP="006D578F">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600719" w:rsidRPr="00F06708" w:rsidRDefault="00600719" w:rsidP="006D578F">
            <w:pPr>
              <w:jc w:val="right"/>
              <w:rPr>
                <w:rFonts w:ascii="Arial" w:hAnsi="Arial" w:cs="Arial"/>
                <w:b/>
                <w:bCs/>
                <w:sz w:val="16"/>
                <w:szCs w:val="16"/>
              </w:rPr>
            </w:pPr>
            <w:r w:rsidRPr="00F06708">
              <w:rPr>
                <w:rFonts w:ascii="Arial" w:hAnsi="Arial" w:cs="Arial"/>
                <w:b/>
                <w:bCs/>
                <w:sz w:val="16"/>
                <w:szCs w:val="16"/>
              </w:rPr>
              <w:t xml:space="preserve">Działalność </w:t>
            </w:r>
          </w:p>
        </w:tc>
        <w:tc>
          <w:tcPr>
            <w:tcW w:w="1300" w:type="dxa"/>
            <w:tcBorders>
              <w:top w:val="nil"/>
              <w:left w:val="nil"/>
              <w:bottom w:val="nil"/>
              <w:right w:val="nil"/>
            </w:tcBorders>
            <w:shd w:val="clear" w:color="auto" w:fill="auto"/>
            <w:noWrap/>
            <w:vAlign w:val="bottom"/>
            <w:hideMark/>
          </w:tcPr>
          <w:p w:rsidR="00600719" w:rsidRPr="00F06708" w:rsidRDefault="00600719" w:rsidP="006D578F">
            <w:pPr>
              <w:jc w:val="right"/>
              <w:rPr>
                <w:rFonts w:ascii="Arial" w:hAnsi="Arial" w:cs="Arial"/>
                <w:b/>
                <w:bCs/>
                <w:sz w:val="16"/>
                <w:szCs w:val="16"/>
              </w:rPr>
            </w:pPr>
            <w:r w:rsidRPr="00F06708">
              <w:rPr>
                <w:rFonts w:ascii="Arial" w:hAnsi="Arial" w:cs="Arial"/>
                <w:b/>
                <w:bCs/>
                <w:sz w:val="16"/>
                <w:szCs w:val="16"/>
              </w:rPr>
              <w:t>pozostałe</w:t>
            </w:r>
          </w:p>
        </w:tc>
        <w:tc>
          <w:tcPr>
            <w:tcW w:w="1300" w:type="dxa"/>
            <w:tcBorders>
              <w:top w:val="nil"/>
              <w:left w:val="nil"/>
              <w:bottom w:val="nil"/>
              <w:right w:val="nil"/>
            </w:tcBorders>
            <w:shd w:val="clear" w:color="auto" w:fill="auto"/>
            <w:noWrap/>
            <w:vAlign w:val="bottom"/>
            <w:hideMark/>
          </w:tcPr>
          <w:p w:rsidR="00600719" w:rsidRPr="00F06708" w:rsidRDefault="00600719" w:rsidP="006D578F">
            <w:pPr>
              <w:jc w:val="right"/>
              <w:rPr>
                <w:rFonts w:ascii="Arial" w:hAnsi="Arial" w:cs="Arial"/>
                <w:b/>
                <w:bCs/>
                <w:sz w:val="16"/>
                <w:szCs w:val="16"/>
              </w:rPr>
            </w:pPr>
            <w:r w:rsidRPr="00F06708">
              <w:rPr>
                <w:rFonts w:ascii="Arial" w:hAnsi="Arial" w:cs="Arial"/>
                <w:b/>
                <w:bCs/>
                <w:sz w:val="16"/>
                <w:szCs w:val="16"/>
              </w:rPr>
              <w:t xml:space="preserve">Pozycje </w:t>
            </w:r>
          </w:p>
        </w:tc>
        <w:tc>
          <w:tcPr>
            <w:tcW w:w="1300" w:type="dxa"/>
            <w:vMerge w:val="restart"/>
            <w:tcBorders>
              <w:top w:val="nil"/>
              <w:left w:val="nil"/>
              <w:bottom w:val="single" w:sz="8" w:space="0" w:color="000000"/>
              <w:right w:val="nil"/>
            </w:tcBorders>
            <w:shd w:val="clear" w:color="auto" w:fill="auto"/>
            <w:noWrap/>
            <w:vAlign w:val="center"/>
            <w:hideMark/>
          </w:tcPr>
          <w:p w:rsidR="00600719" w:rsidRPr="00F06708" w:rsidRDefault="00600719" w:rsidP="006D578F">
            <w:pPr>
              <w:jc w:val="center"/>
              <w:rPr>
                <w:rFonts w:ascii="Arial" w:hAnsi="Arial" w:cs="Arial"/>
                <w:b/>
                <w:bCs/>
                <w:sz w:val="16"/>
                <w:szCs w:val="16"/>
              </w:rPr>
            </w:pPr>
            <w:r w:rsidRPr="00F06708">
              <w:rPr>
                <w:rFonts w:ascii="Arial" w:hAnsi="Arial" w:cs="Arial"/>
                <w:b/>
                <w:bCs/>
                <w:sz w:val="16"/>
                <w:szCs w:val="16"/>
              </w:rPr>
              <w:t>Razem</w:t>
            </w:r>
          </w:p>
        </w:tc>
      </w:tr>
      <w:tr w:rsidR="00600719" w:rsidRPr="00F06708" w:rsidTr="006D578F">
        <w:trPr>
          <w:trHeight w:val="211"/>
        </w:trPr>
        <w:tc>
          <w:tcPr>
            <w:tcW w:w="3640" w:type="dxa"/>
            <w:tcBorders>
              <w:top w:val="nil"/>
              <w:left w:val="nil"/>
              <w:bottom w:val="nil"/>
              <w:right w:val="nil"/>
            </w:tcBorders>
            <w:shd w:val="clear" w:color="auto" w:fill="auto"/>
            <w:vAlign w:val="bottom"/>
            <w:hideMark/>
          </w:tcPr>
          <w:p w:rsidR="00600719" w:rsidRPr="00F06708" w:rsidRDefault="00600719" w:rsidP="006D578F">
            <w:pPr>
              <w:rPr>
                <w:rFonts w:ascii="Arial" w:hAnsi="Arial" w:cs="Arial"/>
                <w:sz w:val="16"/>
                <w:szCs w:val="16"/>
              </w:rPr>
            </w:pPr>
          </w:p>
        </w:tc>
        <w:tc>
          <w:tcPr>
            <w:tcW w:w="1300" w:type="dxa"/>
            <w:tcBorders>
              <w:top w:val="nil"/>
              <w:left w:val="nil"/>
              <w:bottom w:val="single" w:sz="8" w:space="0" w:color="auto"/>
              <w:right w:val="nil"/>
            </w:tcBorders>
            <w:shd w:val="clear" w:color="auto" w:fill="auto"/>
            <w:noWrap/>
            <w:vAlign w:val="bottom"/>
            <w:hideMark/>
          </w:tcPr>
          <w:p w:rsidR="00600719" w:rsidRPr="00F06708" w:rsidRDefault="00600719" w:rsidP="006D578F">
            <w:pPr>
              <w:jc w:val="right"/>
              <w:rPr>
                <w:rFonts w:ascii="Arial" w:hAnsi="Arial" w:cs="Arial"/>
                <w:b/>
                <w:bCs/>
                <w:sz w:val="16"/>
                <w:szCs w:val="16"/>
              </w:rPr>
            </w:pPr>
            <w:r w:rsidRPr="00F06708">
              <w:rPr>
                <w:rFonts w:ascii="Arial" w:hAnsi="Arial" w:cs="Arial"/>
                <w:b/>
                <w:bCs/>
                <w:sz w:val="16"/>
                <w:szCs w:val="16"/>
              </w:rPr>
              <w:t>hotelarska</w:t>
            </w:r>
          </w:p>
        </w:tc>
        <w:tc>
          <w:tcPr>
            <w:tcW w:w="1300" w:type="dxa"/>
            <w:tcBorders>
              <w:top w:val="nil"/>
              <w:left w:val="nil"/>
              <w:bottom w:val="single" w:sz="8" w:space="0" w:color="auto"/>
              <w:right w:val="nil"/>
            </w:tcBorders>
            <w:shd w:val="clear" w:color="auto" w:fill="auto"/>
            <w:noWrap/>
            <w:vAlign w:val="bottom"/>
            <w:hideMark/>
          </w:tcPr>
          <w:p w:rsidR="00600719" w:rsidRPr="00F06708" w:rsidRDefault="00600719" w:rsidP="006D578F">
            <w:pPr>
              <w:jc w:val="right"/>
              <w:rPr>
                <w:rFonts w:ascii="Arial" w:hAnsi="Arial" w:cs="Arial"/>
                <w:b/>
                <w:bCs/>
                <w:sz w:val="16"/>
                <w:szCs w:val="16"/>
              </w:rPr>
            </w:pPr>
            <w:r w:rsidRPr="00F06708">
              <w:rPr>
                <w:rFonts w:ascii="Arial" w:hAnsi="Arial" w:cs="Arial"/>
                <w:b/>
                <w:bCs/>
                <w:sz w:val="16"/>
                <w:szCs w:val="16"/>
              </w:rPr>
              <w:t>segmenty</w:t>
            </w:r>
          </w:p>
        </w:tc>
        <w:tc>
          <w:tcPr>
            <w:tcW w:w="1300" w:type="dxa"/>
            <w:tcBorders>
              <w:top w:val="nil"/>
              <w:left w:val="nil"/>
              <w:bottom w:val="single" w:sz="8" w:space="0" w:color="auto"/>
              <w:right w:val="nil"/>
            </w:tcBorders>
            <w:shd w:val="clear" w:color="auto" w:fill="auto"/>
            <w:noWrap/>
            <w:vAlign w:val="bottom"/>
            <w:hideMark/>
          </w:tcPr>
          <w:p w:rsidR="00600719" w:rsidRPr="00F06708" w:rsidRDefault="00600719" w:rsidP="006D578F">
            <w:pPr>
              <w:jc w:val="right"/>
              <w:rPr>
                <w:rFonts w:ascii="Arial" w:hAnsi="Arial" w:cs="Arial"/>
                <w:b/>
                <w:bCs/>
                <w:sz w:val="16"/>
                <w:szCs w:val="16"/>
              </w:rPr>
            </w:pPr>
            <w:r w:rsidRPr="00F06708">
              <w:rPr>
                <w:rFonts w:ascii="Arial" w:hAnsi="Arial" w:cs="Arial"/>
                <w:b/>
                <w:bCs/>
                <w:sz w:val="16"/>
                <w:szCs w:val="16"/>
              </w:rPr>
              <w:t>nieprzypisane</w:t>
            </w:r>
          </w:p>
        </w:tc>
        <w:tc>
          <w:tcPr>
            <w:tcW w:w="1300" w:type="dxa"/>
            <w:vMerge/>
            <w:tcBorders>
              <w:top w:val="nil"/>
              <w:left w:val="nil"/>
              <w:bottom w:val="single" w:sz="8" w:space="0" w:color="000000"/>
              <w:right w:val="nil"/>
            </w:tcBorders>
            <w:vAlign w:val="center"/>
            <w:hideMark/>
          </w:tcPr>
          <w:p w:rsidR="00600719" w:rsidRPr="00F06708" w:rsidRDefault="00600719" w:rsidP="006D578F">
            <w:pPr>
              <w:rPr>
                <w:rFonts w:ascii="Arial" w:hAnsi="Arial" w:cs="Arial"/>
                <w:b/>
                <w:bCs/>
                <w:sz w:val="16"/>
                <w:szCs w:val="16"/>
              </w:rPr>
            </w:pPr>
          </w:p>
        </w:tc>
      </w:tr>
      <w:tr w:rsidR="00BD22F4" w:rsidRPr="00F06708" w:rsidTr="006D578F">
        <w:trPr>
          <w:trHeight w:val="283"/>
        </w:trPr>
        <w:tc>
          <w:tcPr>
            <w:tcW w:w="3640" w:type="dxa"/>
            <w:tcBorders>
              <w:top w:val="nil"/>
              <w:left w:val="nil"/>
              <w:bottom w:val="nil"/>
              <w:right w:val="nil"/>
            </w:tcBorders>
            <w:shd w:val="clear" w:color="auto" w:fill="auto"/>
            <w:vAlign w:val="bottom"/>
            <w:hideMark/>
          </w:tcPr>
          <w:p w:rsidR="00BD22F4" w:rsidRPr="00F06708" w:rsidRDefault="00BD22F4" w:rsidP="006D578F">
            <w:pPr>
              <w:rPr>
                <w:rFonts w:ascii="Arial" w:hAnsi="Arial" w:cs="Arial"/>
                <w:sz w:val="16"/>
                <w:szCs w:val="16"/>
              </w:rPr>
            </w:pPr>
            <w:r w:rsidRPr="00F06708">
              <w:rPr>
                <w:rFonts w:ascii="Arial" w:hAnsi="Arial" w:cs="Arial"/>
                <w:sz w:val="16"/>
                <w:szCs w:val="16"/>
              </w:rPr>
              <w:t xml:space="preserve">Przychody ze sprzedaży </w:t>
            </w: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sz w:val="16"/>
                <w:szCs w:val="16"/>
              </w:rPr>
            </w:pPr>
            <w:r w:rsidRPr="00F06708">
              <w:rPr>
                <w:rFonts w:ascii="Arial" w:hAnsi="Arial" w:cs="Arial"/>
                <w:sz w:val="16"/>
                <w:szCs w:val="16"/>
              </w:rPr>
              <w:t>30 359</w:t>
            </w: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sz w:val="16"/>
                <w:szCs w:val="16"/>
              </w:rPr>
            </w:pPr>
            <w:r w:rsidRPr="00F06708">
              <w:rPr>
                <w:rFonts w:ascii="Arial" w:hAnsi="Arial" w:cs="Arial"/>
                <w:sz w:val="16"/>
                <w:szCs w:val="16"/>
              </w:rPr>
              <w:t>1 221</w:t>
            </w: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sz w:val="16"/>
                <w:szCs w:val="16"/>
              </w:rPr>
            </w:pPr>
            <w:r w:rsidRPr="00F06708">
              <w:rPr>
                <w:rFonts w:ascii="Arial" w:hAnsi="Arial" w:cs="Arial"/>
                <w:sz w:val="16"/>
                <w:szCs w:val="16"/>
              </w:rPr>
              <w:t>-</w:t>
            </w: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sz w:val="16"/>
                <w:szCs w:val="16"/>
              </w:rPr>
            </w:pPr>
            <w:r w:rsidRPr="00F06708">
              <w:rPr>
                <w:rFonts w:ascii="Arial" w:hAnsi="Arial" w:cs="Arial"/>
                <w:sz w:val="16"/>
                <w:szCs w:val="16"/>
              </w:rPr>
              <w:t>31 580</w:t>
            </w:r>
          </w:p>
        </w:tc>
      </w:tr>
      <w:tr w:rsidR="00BD22F4" w:rsidRPr="00F06708" w:rsidTr="006D578F">
        <w:trPr>
          <w:trHeight w:val="283"/>
        </w:trPr>
        <w:tc>
          <w:tcPr>
            <w:tcW w:w="3640" w:type="dxa"/>
            <w:tcBorders>
              <w:top w:val="nil"/>
              <w:left w:val="nil"/>
              <w:bottom w:val="nil"/>
              <w:right w:val="nil"/>
            </w:tcBorders>
            <w:shd w:val="clear" w:color="auto" w:fill="auto"/>
            <w:vAlign w:val="bottom"/>
            <w:hideMark/>
          </w:tcPr>
          <w:p w:rsidR="00BD22F4" w:rsidRPr="00F06708" w:rsidRDefault="00BD22F4" w:rsidP="006D578F">
            <w:pPr>
              <w:rPr>
                <w:rFonts w:ascii="Arial" w:hAnsi="Arial" w:cs="Arial"/>
                <w:sz w:val="16"/>
                <w:szCs w:val="16"/>
              </w:rPr>
            </w:pPr>
            <w:r w:rsidRPr="00F06708">
              <w:rPr>
                <w:rFonts w:ascii="Arial" w:hAnsi="Arial" w:cs="Arial"/>
                <w:sz w:val="16"/>
                <w:szCs w:val="16"/>
              </w:rPr>
              <w:t>Koszt własny sprzedaży</w:t>
            </w:r>
          </w:p>
        </w:tc>
        <w:tc>
          <w:tcPr>
            <w:tcW w:w="1300" w:type="dxa"/>
            <w:tcBorders>
              <w:top w:val="nil"/>
              <w:left w:val="nil"/>
              <w:bottom w:val="nil"/>
              <w:right w:val="nil"/>
            </w:tcBorders>
            <w:shd w:val="clear" w:color="000000" w:fill="FFFFFF"/>
            <w:noWrap/>
            <w:vAlign w:val="bottom"/>
          </w:tcPr>
          <w:p w:rsidR="00BD22F4" w:rsidRPr="00F06708" w:rsidRDefault="00BD22F4">
            <w:pPr>
              <w:jc w:val="right"/>
              <w:rPr>
                <w:rFonts w:ascii="Arial" w:hAnsi="Arial" w:cs="Arial"/>
                <w:sz w:val="16"/>
                <w:szCs w:val="16"/>
              </w:rPr>
            </w:pPr>
            <w:r w:rsidRPr="00F06708">
              <w:rPr>
                <w:rFonts w:ascii="Arial" w:hAnsi="Arial" w:cs="Arial"/>
                <w:sz w:val="16"/>
                <w:szCs w:val="16"/>
              </w:rPr>
              <w:t>24 726</w:t>
            </w: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sz w:val="16"/>
                <w:szCs w:val="16"/>
              </w:rPr>
            </w:pPr>
            <w:r w:rsidRPr="00F06708">
              <w:rPr>
                <w:rFonts w:ascii="Arial" w:hAnsi="Arial" w:cs="Arial"/>
                <w:sz w:val="16"/>
                <w:szCs w:val="16"/>
              </w:rPr>
              <w:t>181</w:t>
            </w: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sz w:val="16"/>
                <w:szCs w:val="16"/>
              </w:rPr>
            </w:pPr>
            <w:r w:rsidRPr="00F06708">
              <w:rPr>
                <w:rFonts w:ascii="Arial" w:hAnsi="Arial" w:cs="Arial"/>
                <w:sz w:val="16"/>
                <w:szCs w:val="16"/>
              </w:rPr>
              <w:t>-</w:t>
            </w: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sz w:val="16"/>
                <w:szCs w:val="16"/>
              </w:rPr>
            </w:pPr>
            <w:r w:rsidRPr="00F06708">
              <w:rPr>
                <w:rFonts w:ascii="Arial" w:hAnsi="Arial" w:cs="Arial"/>
                <w:sz w:val="16"/>
                <w:szCs w:val="16"/>
              </w:rPr>
              <w:t>24 908</w:t>
            </w:r>
          </w:p>
        </w:tc>
      </w:tr>
      <w:tr w:rsidR="00BD22F4" w:rsidRPr="00F06708" w:rsidTr="006D578F">
        <w:trPr>
          <w:trHeight w:val="283"/>
        </w:trPr>
        <w:tc>
          <w:tcPr>
            <w:tcW w:w="3640" w:type="dxa"/>
            <w:tcBorders>
              <w:top w:val="nil"/>
              <w:left w:val="nil"/>
              <w:bottom w:val="nil"/>
              <w:right w:val="nil"/>
            </w:tcBorders>
            <w:shd w:val="clear" w:color="auto" w:fill="auto"/>
            <w:vAlign w:val="bottom"/>
            <w:hideMark/>
          </w:tcPr>
          <w:p w:rsidR="00BD22F4" w:rsidRPr="00F06708" w:rsidRDefault="00BD22F4" w:rsidP="006D578F">
            <w:pPr>
              <w:rPr>
                <w:rFonts w:ascii="Arial" w:hAnsi="Arial" w:cs="Arial"/>
                <w:sz w:val="16"/>
                <w:szCs w:val="16"/>
              </w:rPr>
            </w:pPr>
            <w:r w:rsidRPr="00F06708">
              <w:rPr>
                <w:rFonts w:ascii="Arial" w:hAnsi="Arial" w:cs="Arial"/>
                <w:sz w:val="16"/>
                <w:szCs w:val="16"/>
              </w:rPr>
              <w:t>w tym amortyzacja</w:t>
            </w: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sz w:val="16"/>
                <w:szCs w:val="16"/>
              </w:rPr>
            </w:pPr>
            <w:r w:rsidRPr="00F06708">
              <w:rPr>
                <w:rFonts w:ascii="Arial" w:hAnsi="Arial" w:cs="Arial"/>
                <w:sz w:val="16"/>
                <w:szCs w:val="16"/>
              </w:rPr>
              <w:t>3 318</w:t>
            </w: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sz w:val="16"/>
                <w:szCs w:val="16"/>
              </w:rPr>
            </w:pPr>
            <w:r w:rsidRPr="00F06708">
              <w:rPr>
                <w:rFonts w:ascii="Arial" w:hAnsi="Arial" w:cs="Arial"/>
                <w:sz w:val="16"/>
                <w:szCs w:val="16"/>
              </w:rPr>
              <w:t>23</w:t>
            </w: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sz w:val="16"/>
                <w:szCs w:val="16"/>
              </w:rPr>
            </w:pPr>
            <w:r w:rsidRPr="00F06708">
              <w:rPr>
                <w:rFonts w:ascii="Arial" w:hAnsi="Arial" w:cs="Arial"/>
                <w:sz w:val="16"/>
                <w:szCs w:val="16"/>
              </w:rPr>
              <w:t>-</w:t>
            </w: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sz w:val="16"/>
                <w:szCs w:val="16"/>
              </w:rPr>
            </w:pPr>
            <w:r w:rsidRPr="00F06708">
              <w:rPr>
                <w:rFonts w:ascii="Arial" w:hAnsi="Arial" w:cs="Arial"/>
                <w:sz w:val="16"/>
                <w:szCs w:val="16"/>
              </w:rPr>
              <w:t>3 341</w:t>
            </w:r>
          </w:p>
        </w:tc>
      </w:tr>
      <w:tr w:rsidR="00BD22F4" w:rsidRPr="00F06708" w:rsidTr="006D578F">
        <w:trPr>
          <w:trHeight w:val="283"/>
        </w:trPr>
        <w:tc>
          <w:tcPr>
            <w:tcW w:w="3640" w:type="dxa"/>
            <w:tcBorders>
              <w:top w:val="nil"/>
              <w:left w:val="nil"/>
              <w:bottom w:val="nil"/>
              <w:right w:val="nil"/>
            </w:tcBorders>
            <w:shd w:val="clear" w:color="auto" w:fill="auto"/>
            <w:vAlign w:val="bottom"/>
            <w:hideMark/>
          </w:tcPr>
          <w:p w:rsidR="00BD22F4" w:rsidRPr="00F06708" w:rsidRDefault="00BD22F4" w:rsidP="006D578F">
            <w:pPr>
              <w:rPr>
                <w:rFonts w:ascii="Arial" w:hAnsi="Arial" w:cs="Arial"/>
                <w:b/>
                <w:bCs/>
                <w:sz w:val="16"/>
                <w:szCs w:val="16"/>
              </w:rPr>
            </w:pPr>
            <w:r w:rsidRPr="00F06708">
              <w:rPr>
                <w:rFonts w:ascii="Arial" w:hAnsi="Arial" w:cs="Arial"/>
                <w:b/>
                <w:bCs/>
                <w:sz w:val="16"/>
                <w:szCs w:val="16"/>
              </w:rPr>
              <w:t>Zysk brutto ze sprzedaży</w:t>
            </w: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b/>
                <w:sz w:val="16"/>
                <w:szCs w:val="16"/>
              </w:rPr>
            </w:pPr>
            <w:r w:rsidRPr="00F06708">
              <w:rPr>
                <w:rFonts w:ascii="Arial" w:hAnsi="Arial" w:cs="Arial"/>
                <w:b/>
                <w:sz w:val="16"/>
                <w:szCs w:val="16"/>
              </w:rPr>
              <w:t>5 633</w:t>
            </w: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b/>
                <w:sz w:val="16"/>
                <w:szCs w:val="16"/>
              </w:rPr>
            </w:pPr>
            <w:r w:rsidRPr="00F06708">
              <w:rPr>
                <w:rFonts w:ascii="Arial" w:hAnsi="Arial" w:cs="Arial"/>
                <w:b/>
                <w:sz w:val="16"/>
                <w:szCs w:val="16"/>
              </w:rPr>
              <w:t>1 040</w:t>
            </w: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b/>
                <w:sz w:val="16"/>
                <w:szCs w:val="16"/>
              </w:rPr>
            </w:pPr>
            <w:r w:rsidRPr="00F06708">
              <w:rPr>
                <w:rFonts w:ascii="Arial" w:hAnsi="Arial" w:cs="Arial"/>
                <w:b/>
                <w:sz w:val="16"/>
                <w:szCs w:val="16"/>
              </w:rPr>
              <w:t>-</w:t>
            </w: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b/>
                <w:sz w:val="16"/>
                <w:szCs w:val="16"/>
              </w:rPr>
            </w:pPr>
            <w:r w:rsidRPr="00F06708">
              <w:rPr>
                <w:rFonts w:ascii="Arial" w:hAnsi="Arial" w:cs="Arial"/>
                <w:b/>
                <w:sz w:val="16"/>
                <w:szCs w:val="16"/>
              </w:rPr>
              <w:t>6 673</w:t>
            </w:r>
          </w:p>
        </w:tc>
      </w:tr>
      <w:tr w:rsidR="00BD22F4" w:rsidRPr="00F06708" w:rsidTr="006D578F">
        <w:trPr>
          <w:trHeight w:val="283"/>
        </w:trPr>
        <w:tc>
          <w:tcPr>
            <w:tcW w:w="3640" w:type="dxa"/>
            <w:tcBorders>
              <w:top w:val="nil"/>
              <w:left w:val="nil"/>
              <w:bottom w:val="nil"/>
              <w:right w:val="nil"/>
            </w:tcBorders>
            <w:shd w:val="clear" w:color="auto" w:fill="auto"/>
            <w:vAlign w:val="bottom"/>
            <w:hideMark/>
          </w:tcPr>
          <w:p w:rsidR="00BD22F4" w:rsidRPr="00F06708" w:rsidRDefault="00BD22F4" w:rsidP="006D578F">
            <w:pPr>
              <w:rPr>
                <w:rFonts w:ascii="Arial" w:hAnsi="Arial" w:cs="Arial"/>
                <w:sz w:val="16"/>
                <w:szCs w:val="16"/>
              </w:rPr>
            </w:pPr>
            <w:r w:rsidRPr="00F06708">
              <w:rPr>
                <w:rFonts w:ascii="Arial" w:hAnsi="Arial" w:cs="Arial"/>
                <w:sz w:val="16"/>
                <w:szCs w:val="16"/>
              </w:rPr>
              <w:t>Koszty sprzedaży i zarządu</w:t>
            </w: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sz w:val="16"/>
                <w:szCs w:val="16"/>
              </w:rPr>
            </w:pP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sz w:val="16"/>
                <w:szCs w:val="16"/>
              </w:rPr>
            </w:pPr>
          </w:p>
        </w:tc>
        <w:tc>
          <w:tcPr>
            <w:tcW w:w="1300" w:type="dxa"/>
            <w:tcBorders>
              <w:top w:val="nil"/>
              <w:left w:val="nil"/>
              <w:bottom w:val="nil"/>
              <w:right w:val="nil"/>
            </w:tcBorders>
            <w:shd w:val="clear" w:color="000000" w:fill="FFFFFF"/>
            <w:noWrap/>
            <w:vAlign w:val="bottom"/>
          </w:tcPr>
          <w:p w:rsidR="00BD22F4" w:rsidRPr="00F06708" w:rsidRDefault="00BD22F4">
            <w:pPr>
              <w:jc w:val="right"/>
              <w:rPr>
                <w:rFonts w:ascii="Arial" w:hAnsi="Arial" w:cs="Arial"/>
                <w:sz w:val="16"/>
                <w:szCs w:val="16"/>
              </w:rPr>
            </w:pPr>
            <w:r w:rsidRPr="00F06708">
              <w:rPr>
                <w:rFonts w:ascii="Arial" w:hAnsi="Arial" w:cs="Arial"/>
                <w:sz w:val="16"/>
                <w:szCs w:val="16"/>
              </w:rPr>
              <w:t>5 349</w:t>
            </w: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sz w:val="16"/>
                <w:szCs w:val="16"/>
              </w:rPr>
            </w:pPr>
            <w:r w:rsidRPr="00F06708">
              <w:rPr>
                <w:rFonts w:ascii="Arial" w:hAnsi="Arial" w:cs="Arial"/>
                <w:sz w:val="16"/>
                <w:szCs w:val="16"/>
              </w:rPr>
              <w:t>5 349</w:t>
            </w:r>
          </w:p>
        </w:tc>
      </w:tr>
      <w:tr w:rsidR="00BD22F4" w:rsidRPr="00F06708" w:rsidTr="006D578F">
        <w:trPr>
          <w:trHeight w:val="283"/>
        </w:trPr>
        <w:tc>
          <w:tcPr>
            <w:tcW w:w="3640" w:type="dxa"/>
            <w:tcBorders>
              <w:top w:val="nil"/>
              <w:left w:val="nil"/>
              <w:bottom w:val="nil"/>
              <w:right w:val="nil"/>
            </w:tcBorders>
            <w:shd w:val="clear" w:color="auto" w:fill="auto"/>
            <w:vAlign w:val="bottom"/>
            <w:hideMark/>
          </w:tcPr>
          <w:p w:rsidR="00BD22F4" w:rsidRPr="00F06708" w:rsidRDefault="00BD22F4" w:rsidP="006D578F">
            <w:pPr>
              <w:rPr>
                <w:rFonts w:ascii="Arial" w:hAnsi="Arial" w:cs="Arial"/>
                <w:sz w:val="16"/>
                <w:szCs w:val="16"/>
              </w:rPr>
            </w:pPr>
            <w:r w:rsidRPr="00F06708">
              <w:rPr>
                <w:rFonts w:ascii="Arial" w:hAnsi="Arial" w:cs="Arial"/>
                <w:sz w:val="16"/>
                <w:szCs w:val="16"/>
              </w:rPr>
              <w:t>w tym amortyzacja</w:t>
            </w:r>
          </w:p>
        </w:tc>
        <w:tc>
          <w:tcPr>
            <w:tcW w:w="1300" w:type="dxa"/>
            <w:tcBorders>
              <w:top w:val="nil"/>
              <w:left w:val="nil"/>
              <w:bottom w:val="nil"/>
              <w:right w:val="nil"/>
            </w:tcBorders>
            <w:shd w:val="clear" w:color="auto" w:fill="auto"/>
            <w:noWrap/>
            <w:vAlign w:val="bottom"/>
          </w:tcPr>
          <w:p w:rsidR="00BD22F4" w:rsidRPr="00F06708" w:rsidRDefault="00BD22F4">
            <w:pPr>
              <w:rPr>
                <w:rFonts w:ascii="Arial" w:hAnsi="Arial" w:cs="Arial"/>
                <w:sz w:val="16"/>
                <w:szCs w:val="16"/>
              </w:rPr>
            </w:pPr>
          </w:p>
        </w:tc>
        <w:tc>
          <w:tcPr>
            <w:tcW w:w="1300" w:type="dxa"/>
            <w:tcBorders>
              <w:top w:val="nil"/>
              <w:left w:val="nil"/>
              <w:bottom w:val="nil"/>
              <w:right w:val="nil"/>
            </w:tcBorders>
            <w:shd w:val="clear" w:color="auto" w:fill="auto"/>
            <w:noWrap/>
            <w:vAlign w:val="bottom"/>
          </w:tcPr>
          <w:p w:rsidR="00BD22F4" w:rsidRPr="00F06708" w:rsidRDefault="00BD22F4">
            <w:pPr>
              <w:rPr>
                <w:rFonts w:ascii="Arial" w:hAnsi="Arial" w:cs="Arial"/>
                <w:sz w:val="16"/>
                <w:szCs w:val="16"/>
              </w:rPr>
            </w:pP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sz w:val="16"/>
                <w:szCs w:val="16"/>
              </w:rPr>
            </w:pPr>
            <w:r w:rsidRPr="00F06708">
              <w:rPr>
                <w:rFonts w:ascii="Arial" w:hAnsi="Arial" w:cs="Arial"/>
                <w:sz w:val="16"/>
                <w:szCs w:val="16"/>
              </w:rPr>
              <w:t>3</w:t>
            </w: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sz w:val="16"/>
                <w:szCs w:val="16"/>
              </w:rPr>
            </w:pPr>
            <w:r w:rsidRPr="00F06708">
              <w:rPr>
                <w:rFonts w:ascii="Arial" w:hAnsi="Arial" w:cs="Arial"/>
                <w:sz w:val="16"/>
                <w:szCs w:val="16"/>
              </w:rPr>
              <w:t>3</w:t>
            </w:r>
          </w:p>
        </w:tc>
      </w:tr>
      <w:tr w:rsidR="00BD22F4" w:rsidRPr="00F06708" w:rsidTr="006D578F">
        <w:trPr>
          <w:trHeight w:val="283"/>
        </w:trPr>
        <w:tc>
          <w:tcPr>
            <w:tcW w:w="3640" w:type="dxa"/>
            <w:tcBorders>
              <w:top w:val="nil"/>
              <w:left w:val="nil"/>
              <w:bottom w:val="nil"/>
              <w:right w:val="nil"/>
            </w:tcBorders>
            <w:shd w:val="clear" w:color="auto" w:fill="auto"/>
            <w:vAlign w:val="bottom"/>
            <w:hideMark/>
          </w:tcPr>
          <w:p w:rsidR="00BD22F4" w:rsidRPr="00F06708" w:rsidRDefault="00BD22F4" w:rsidP="006D578F">
            <w:pPr>
              <w:rPr>
                <w:rFonts w:ascii="Arial" w:hAnsi="Arial" w:cs="Arial"/>
                <w:sz w:val="16"/>
                <w:szCs w:val="16"/>
              </w:rPr>
            </w:pPr>
            <w:r w:rsidRPr="00F06708">
              <w:rPr>
                <w:rFonts w:ascii="Arial" w:hAnsi="Arial" w:cs="Arial"/>
                <w:sz w:val="16"/>
                <w:szCs w:val="16"/>
              </w:rPr>
              <w:t>Saldo pozostałych przychodów i kosztów operacyjnych</w:t>
            </w: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sz w:val="16"/>
                <w:szCs w:val="16"/>
              </w:rPr>
            </w:pP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sz w:val="16"/>
                <w:szCs w:val="16"/>
              </w:rPr>
            </w:pPr>
          </w:p>
        </w:tc>
        <w:tc>
          <w:tcPr>
            <w:tcW w:w="1300" w:type="dxa"/>
            <w:tcBorders>
              <w:top w:val="nil"/>
              <w:left w:val="nil"/>
              <w:bottom w:val="nil"/>
              <w:right w:val="nil"/>
            </w:tcBorders>
            <w:shd w:val="clear" w:color="000000" w:fill="FFFFFF"/>
            <w:noWrap/>
            <w:vAlign w:val="bottom"/>
          </w:tcPr>
          <w:p w:rsidR="00BD22F4" w:rsidRPr="00F06708" w:rsidRDefault="00BD22F4">
            <w:pPr>
              <w:jc w:val="right"/>
              <w:rPr>
                <w:rFonts w:ascii="Arial" w:hAnsi="Arial" w:cs="Arial"/>
                <w:sz w:val="16"/>
                <w:szCs w:val="16"/>
              </w:rPr>
            </w:pPr>
            <w:r w:rsidRPr="00F06708">
              <w:rPr>
                <w:rFonts w:ascii="Arial" w:hAnsi="Arial" w:cs="Arial"/>
                <w:sz w:val="16"/>
                <w:szCs w:val="16"/>
              </w:rPr>
              <w:t>2 632</w:t>
            </w: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sz w:val="16"/>
                <w:szCs w:val="16"/>
              </w:rPr>
            </w:pPr>
            <w:r w:rsidRPr="00F06708">
              <w:rPr>
                <w:rFonts w:ascii="Arial" w:hAnsi="Arial" w:cs="Arial"/>
                <w:sz w:val="16"/>
                <w:szCs w:val="16"/>
              </w:rPr>
              <w:t>2 632</w:t>
            </w:r>
          </w:p>
        </w:tc>
      </w:tr>
      <w:tr w:rsidR="00BD22F4" w:rsidRPr="00F06708" w:rsidTr="006D578F">
        <w:trPr>
          <w:trHeight w:val="283"/>
        </w:trPr>
        <w:tc>
          <w:tcPr>
            <w:tcW w:w="3640" w:type="dxa"/>
            <w:tcBorders>
              <w:top w:val="nil"/>
              <w:left w:val="nil"/>
              <w:bottom w:val="nil"/>
              <w:right w:val="nil"/>
            </w:tcBorders>
            <w:shd w:val="clear" w:color="auto" w:fill="auto"/>
            <w:vAlign w:val="bottom"/>
            <w:hideMark/>
          </w:tcPr>
          <w:p w:rsidR="00BD22F4" w:rsidRPr="00F06708" w:rsidRDefault="00BD22F4" w:rsidP="006D578F">
            <w:pPr>
              <w:rPr>
                <w:rFonts w:ascii="Arial" w:hAnsi="Arial" w:cs="Arial"/>
                <w:b/>
                <w:bCs/>
                <w:sz w:val="16"/>
                <w:szCs w:val="16"/>
              </w:rPr>
            </w:pPr>
            <w:r w:rsidRPr="00F06708">
              <w:rPr>
                <w:rFonts w:ascii="Arial" w:hAnsi="Arial" w:cs="Arial"/>
                <w:b/>
                <w:bCs/>
                <w:sz w:val="16"/>
                <w:szCs w:val="16"/>
              </w:rPr>
              <w:t>Zysk operacyjny</w:t>
            </w: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b/>
                <w:sz w:val="16"/>
                <w:szCs w:val="16"/>
              </w:rPr>
            </w:pPr>
            <w:r w:rsidRPr="00F06708">
              <w:rPr>
                <w:rFonts w:ascii="Arial" w:hAnsi="Arial" w:cs="Arial"/>
                <w:b/>
                <w:sz w:val="16"/>
                <w:szCs w:val="16"/>
              </w:rPr>
              <w:t>5 633</w:t>
            </w: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b/>
                <w:sz w:val="16"/>
                <w:szCs w:val="16"/>
              </w:rPr>
            </w:pPr>
            <w:r w:rsidRPr="00F06708">
              <w:rPr>
                <w:rFonts w:ascii="Arial" w:hAnsi="Arial" w:cs="Arial"/>
                <w:b/>
                <w:sz w:val="16"/>
                <w:szCs w:val="16"/>
              </w:rPr>
              <w:t>1 040</w:t>
            </w: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b/>
                <w:sz w:val="16"/>
                <w:szCs w:val="16"/>
              </w:rPr>
            </w:pPr>
            <w:r w:rsidRPr="00F06708">
              <w:rPr>
                <w:rFonts w:ascii="Arial" w:hAnsi="Arial" w:cs="Arial"/>
                <w:b/>
                <w:sz w:val="16"/>
                <w:szCs w:val="16"/>
              </w:rPr>
              <w:t>-2 717</w:t>
            </w: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b/>
                <w:sz w:val="16"/>
                <w:szCs w:val="16"/>
              </w:rPr>
            </w:pPr>
            <w:r w:rsidRPr="00F06708">
              <w:rPr>
                <w:rFonts w:ascii="Arial" w:hAnsi="Arial" w:cs="Arial"/>
                <w:b/>
                <w:sz w:val="16"/>
                <w:szCs w:val="16"/>
              </w:rPr>
              <w:t>3 956</w:t>
            </w:r>
          </w:p>
        </w:tc>
      </w:tr>
      <w:tr w:rsidR="00BD22F4" w:rsidRPr="00F06708" w:rsidTr="006D578F">
        <w:trPr>
          <w:trHeight w:val="283"/>
        </w:trPr>
        <w:tc>
          <w:tcPr>
            <w:tcW w:w="3640" w:type="dxa"/>
            <w:tcBorders>
              <w:top w:val="nil"/>
              <w:left w:val="nil"/>
              <w:bottom w:val="nil"/>
              <w:right w:val="nil"/>
            </w:tcBorders>
            <w:shd w:val="clear" w:color="auto" w:fill="auto"/>
            <w:vAlign w:val="bottom"/>
            <w:hideMark/>
          </w:tcPr>
          <w:p w:rsidR="00BD22F4" w:rsidRPr="00F06708" w:rsidRDefault="00BD22F4" w:rsidP="006D578F">
            <w:pPr>
              <w:rPr>
                <w:rFonts w:ascii="Arial" w:hAnsi="Arial" w:cs="Arial"/>
                <w:sz w:val="16"/>
                <w:szCs w:val="16"/>
              </w:rPr>
            </w:pPr>
            <w:r w:rsidRPr="00F06708">
              <w:rPr>
                <w:rFonts w:ascii="Arial" w:hAnsi="Arial" w:cs="Arial"/>
                <w:sz w:val="16"/>
                <w:szCs w:val="16"/>
              </w:rPr>
              <w:t>Saldo przychodów i kosztów finansowych</w:t>
            </w: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sz w:val="16"/>
                <w:szCs w:val="16"/>
              </w:rPr>
            </w:pP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sz w:val="16"/>
                <w:szCs w:val="16"/>
              </w:rPr>
            </w:pP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sz w:val="16"/>
                <w:szCs w:val="16"/>
              </w:rPr>
            </w:pPr>
            <w:r w:rsidRPr="00F06708">
              <w:rPr>
                <w:rFonts w:ascii="Arial" w:hAnsi="Arial" w:cs="Arial"/>
                <w:sz w:val="16"/>
                <w:szCs w:val="16"/>
              </w:rPr>
              <w:t>-616</w:t>
            </w: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sz w:val="16"/>
                <w:szCs w:val="16"/>
              </w:rPr>
            </w:pPr>
            <w:r w:rsidRPr="00F06708">
              <w:rPr>
                <w:rFonts w:ascii="Arial" w:hAnsi="Arial" w:cs="Arial"/>
                <w:sz w:val="16"/>
                <w:szCs w:val="16"/>
              </w:rPr>
              <w:t>-616</w:t>
            </w:r>
          </w:p>
        </w:tc>
      </w:tr>
      <w:tr w:rsidR="00BD22F4" w:rsidRPr="00F06708" w:rsidTr="006D578F">
        <w:trPr>
          <w:trHeight w:val="283"/>
        </w:trPr>
        <w:tc>
          <w:tcPr>
            <w:tcW w:w="3640" w:type="dxa"/>
            <w:tcBorders>
              <w:top w:val="nil"/>
              <w:left w:val="nil"/>
              <w:bottom w:val="nil"/>
              <w:right w:val="nil"/>
            </w:tcBorders>
            <w:shd w:val="clear" w:color="auto" w:fill="auto"/>
            <w:vAlign w:val="bottom"/>
          </w:tcPr>
          <w:p w:rsidR="00BD22F4" w:rsidRPr="00F06708" w:rsidRDefault="00BD22F4" w:rsidP="006D578F">
            <w:pPr>
              <w:rPr>
                <w:rFonts w:ascii="Arial" w:hAnsi="Arial" w:cs="Arial"/>
                <w:sz w:val="16"/>
                <w:szCs w:val="16"/>
              </w:rPr>
            </w:pPr>
            <w:r w:rsidRPr="00F06708">
              <w:rPr>
                <w:rFonts w:ascii="Arial" w:hAnsi="Arial" w:cs="Arial"/>
                <w:sz w:val="16"/>
                <w:szCs w:val="16"/>
              </w:rPr>
              <w:t>Udziały w zyskach jednostek stowarzyszonych wycenianych metodą praw własności</w:t>
            </w: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sz w:val="16"/>
                <w:szCs w:val="16"/>
              </w:rPr>
            </w:pP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sz w:val="16"/>
                <w:szCs w:val="16"/>
              </w:rPr>
            </w:pP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sz w:val="16"/>
                <w:szCs w:val="16"/>
              </w:rPr>
            </w:pPr>
            <w:r w:rsidRPr="00F06708">
              <w:rPr>
                <w:rFonts w:ascii="Arial" w:hAnsi="Arial" w:cs="Arial"/>
                <w:sz w:val="16"/>
                <w:szCs w:val="16"/>
              </w:rPr>
              <w:t>250</w:t>
            </w: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sz w:val="16"/>
                <w:szCs w:val="16"/>
              </w:rPr>
            </w:pPr>
            <w:r w:rsidRPr="00F06708">
              <w:rPr>
                <w:rFonts w:ascii="Arial" w:hAnsi="Arial" w:cs="Arial"/>
                <w:sz w:val="16"/>
                <w:szCs w:val="16"/>
              </w:rPr>
              <w:t>250</w:t>
            </w:r>
          </w:p>
        </w:tc>
      </w:tr>
      <w:tr w:rsidR="00BD22F4" w:rsidRPr="00F06708" w:rsidTr="006D578F">
        <w:trPr>
          <w:trHeight w:val="283"/>
        </w:trPr>
        <w:tc>
          <w:tcPr>
            <w:tcW w:w="3640" w:type="dxa"/>
            <w:tcBorders>
              <w:top w:val="nil"/>
              <w:left w:val="nil"/>
              <w:bottom w:val="nil"/>
              <w:right w:val="nil"/>
            </w:tcBorders>
            <w:shd w:val="clear" w:color="auto" w:fill="auto"/>
            <w:vAlign w:val="bottom"/>
            <w:hideMark/>
          </w:tcPr>
          <w:p w:rsidR="00BD22F4" w:rsidRPr="00F06708" w:rsidRDefault="00BD22F4" w:rsidP="006D578F">
            <w:pPr>
              <w:rPr>
                <w:rFonts w:ascii="Arial" w:hAnsi="Arial" w:cs="Arial"/>
                <w:b/>
                <w:bCs/>
                <w:sz w:val="16"/>
                <w:szCs w:val="16"/>
              </w:rPr>
            </w:pPr>
            <w:r w:rsidRPr="00F06708">
              <w:rPr>
                <w:rFonts w:ascii="Arial" w:hAnsi="Arial" w:cs="Arial"/>
                <w:b/>
                <w:bCs/>
                <w:sz w:val="16"/>
                <w:szCs w:val="16"/>
              </w:rPr>
              <w:t>Zysk  przed opodatkowaniem</w:t>
            </w: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b/>
                <w:sz w:val="16"/>
                <w:szCs w:val="16"/>
              </w:rPr>
            </w:pPr>
            <w:r w:rsidRPr="00F06708">
              <w:rPr>
                <w:rFonts w:ascii="Arial" w:hAnsi="Arial" w:cs="Arial"/>
                <w:b/>
                <w:sz w:val="16"/>
                <w:szCs w:val="16"/>
              </w:rPr>
              <w:t>5 633</w:t>
            </w: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b/>
                <w:sz w:val="16"/>
                <w:szCs w:val="16"/>
              </w:rPr>
            </w:pPr>
            <w:r w:rsidRPr="00F06708">
              <w:rPr>
                <w:rFonts w:ascii="Arial" w:hAnsi="Arial" w:cs="Arial"/>
                <w:b/>
                <w:sz w:val="16"/>
                <w:szCs w:val="16"/>
              </w:rPr>
              <w:t>1 040</w:t>
            </w: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b/>
                <w:sz w:val="16"/>
                <w:szCs w:val="16"/>
              </w:rPr>
            </w:pPr>
            <w:r w:rsidRPr="00F06708">
              <w:rPr>
                <w:rFonts w:ascii="Arial" w:hAnsi="Arial" w:cs="Arial"/>
                <w:b/>
                <w:sz w:val="16"/>
                <w:szCs w:val="16"/>
              </w:rPr>
              <w:t>-3 082</w:t>
            </w: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b/>
                <w:sz w:val="16"/>
                <w:szCs w:val="16"/>
              </w:rPr>
            </w:pPr>
            <w:r w:rsidRPr="00F06708">
              <w:rPr>
                <w:rFonts w:ascii="Arial" w:hAnsi="Arial" w:cs="Arial"/>
                <w:b/>
                <w:sz w:val="16"/>
                <w:szCs w:val="16"/>
              </w:rPr>
              <w:t>3 590</w:t>
            </w:r>
          </w:p>
        </w:tc>
      </w:tr>
      <w:tr w:rsidR="00BD22F4" w:rsidRPr="00F06708" w:rsidTr="006D578F">
        <w:trPr>
          <w:trHeight w:val="283"/>
        </w:trPr>
        <w:tc>
          <w:tcPr>
            <w:tcW w:w="3640" w:type="dxa"/>
            <w:tcBorders>
              <w:top w:val="nil"/>
              <w:left w:val="nil"/>
              <w:bottom w:val="nil"/>
              <w:right w:val="nil"/>
            </w:tcBorders>
            <w:shd w:val="clear" w:color="auto" w:fill="auto"/>
            <w:vAlign w:val="bottom"/>
            <w:hideMark/>
          </w:tcPr>
          <w:p w:rsidR="00BD22F4" w:rsidRPr="00F06708" w:rsidRDefault="00BD22F4" w:rsidP="006D578F">
            <w:pPr>
              <w:rPr>
                <w:rFonts w:ascii="Arial" w:hAnsi="Arial" w:cs="Arial"/>
                <w:sz w:val="16"/>
                <w:szCs w:val="16"/>
              </w:rPr>
            </w:pPr>
            <w:r w:rsidRPr="00F06708">
              <w:rPr>
                <w:rFonts w:ascii="Arial" w:hAnsi="Arial" w:cs="Arial"/>
                <w:sz w:val="16"/>
                <w:szCs w:val="16"/>
              </w:rPr>
              <w:t xml:space="preserve">Podatek dochodowy </w:t>
            </w: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sz w:val="16"/>
                <w:szCs w:val="16"/>
              </w:rPr>
            </w:pPr>
            <w:r w:rsidRPr="00F06708">
              <w:rPr>
                <w:rFonts w:ascii="Arial" w:hAnsi="Arial" w:cs="Arial"/>
                <w:sz w:val="16"/>
                <w:szCs w:val="16"/>
              </w:rPr>
              <w:t>-</w:t>
            </w: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sz w:val="16"/>
                <w:szCs w:val="16"/>
              </w:rPr>
            </w:pPr>
            <w:r w:rsidRPr="00F06708">
              <w:rPr>
                <w:rFonts w:ascii="Arial" w:hAnsi="Arial" w:cs="Arial"/>
                <w:sz w:val="16"/>
                <w:szCs w:val="16"/>
              </w:rPr>
              <w:t>-</w:t>
            </w: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sz w:val="16"/>
                <w:szCs w:val="16"/>
              </w:rPr>
            </w:pPr>
            <w:r w:rsidRPr="00F06708">
              <w:rPr>
                <w:rFonts w:ascii="Arial" w:hAnsi="Arial" w:cs="Arial"/>
                <w:sz w:val="16"/>
                <w:szCs w:val="16"/>
              </w:rPr>
              <w:t>8</w:t>
            </w: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sz w:val="16"/>
                <w:szCs w:val="16"/>
              </w:rPr>
            </w:pPr>
            <w:r w:rsidRPr="00F06708">
              <w:rPr>
                <w:rFonts w:ascii="Arial" w:hAnsi="Arial" w:cs="Arial"/>
                <w:sz w:val="16"/>
                <w:szCs w:val="16"/>
              </w:rPr>
              <w:t>8</w:t>
            </w:r>
          </w:p>
        </w:tc>
      </w:tr>
      <w:tr w:rsidR="00BD22F4" w:rsidRPr="00F06708" w:rsidTr="006D578F">
        <w:trPr>
          <w:trHeight w:val="283"/>
        </w:trPr>
        <w:tc>
          <w:tcPr>
            <w:tcW w:w="3640" w:type="dxa"/>
            <w:tcBorders>
              <w:top w:val="nil"/>
              <w:left w:val="nil"/>
              <w:bottom w:val="nil"/>
              <w:right w:val="nil"/>
            </w:tcBorders>
            <w:shd w:val="clear" w:color="auto" w:fill="auto"/>
            <w:vAlign w:val="bottom"/>
            <w:hideMark/>
          </w:tcPr>
          <w:p w:rsidR="00BD22F4" w:rsidRPr="00F06708" w:rsidRDefault="00BD22F4" w:rsidP="006D578F">
            <w:pPr>
              <w:rPr>
                <w:rFonts w:ascii="Arial" w:hAnsi="Arial" w:cs="Arial"/>
                <w:b/>
                <w:bCs/>
                <w:sz w:val="16"/>
                <w:szCs w:val="16"/>
              </w:rPr>
            </w:pPr>
            <w:r w:rsidRPr="00F06708">
              <w:rPr>
                <w:rFonts w:ascii="Arial" w:hAnsi="Arial" w:cs="Arial"/>
                <w:b/>
                <w:bCs/>
                <w:sz w:val="16"/>
                <w:szCs w:val="16"/>
              </w:rPr>
              <w:t>Zysk netto</w:t>
            </w: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b/>
                <w:sz w:val="16"/>
                <w:szCs w:val="16"/>
              </w:rPr>
            </w:pPr>
            <w:r w:rsidRPr="00F06708">
              <w:rPr>
                <w:rFonts w:ascii="Arial" w:hAnsi="Arial" w:cs="Arial"/>
                <w:b/>
                <w:sz w:val="16"/>
                <w:szCs w:val="16"/>
              </w:rPr>
              <w:t>5 633</w:t>
            </w: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b/>
                <w:sz w:val="16"/>
                <w:szCs w:val="16"/>
              </w:rPr>
            </w:pPr>
            <w:r w:rsidRPr="00F06708">
              <w:rPr>
                <w:rFonts w:ascii="Arial" w:hAnsi="Arial" w:cs="Arial"/>
                <w:b/>
                <w:sz w:val="16"/>
                <w:szCs w:val="16"/>
              </w:rPr>
              <w:t>1 040</w:t>
            </w: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b/>
                <w:sz w:val="16"/>
                <w:szCs w:val="16"/>
              </w:rPr>
            </w:pPr>
            <w:r w:rsidRPr="00F06708">
              <w:rPr>
                <w:rFonts w:ascii="Arial" w:hAnsi="Arial" w:cs="Arial"/>
                <w:b/>
                <w:sz w:val="16"/>
                <w:szCs w:val="16"/>
              </w:rPr>
              <w:t>-3 091</w:t>
            </w:r>
          </w:p>
        </w:tc>
        <w:tc>
          <w:tcPr>
            <w:tcW w:w="1300" w:type="dxa"/>
            <w:tcBorders>
              <w:top w:val="nil"/>
              <w:left w:val="nil"/>
              <w:bottom w:val="nil"/>
              <w:right w:val="nil"/>
            </w:tcBorders>
            <w:shd w:val="clear" w:color="auto" w:fill="auto"/>
            <w:noWrap/>
            <w:vAlign w:val="bottom"/>
          </w:tcPr>
          <w:p w:rsidR="00BD22F4" w:rsidRPr="00F06708" w:rsidRDefault="00BD22F4">
            <w:pPr>
              <w:jc w:val="right"/>
              <w:rPr>
                <w:rFonts w:ascii="Arial" w:hAnsi="Arial" w:cs="Arial"/>
                <w:b/>
                <w:sz w:val="16"/>
                <w:szCs w:val="16"/>
              </w:rPr>
            </w:pPr>
            <w:r w:rsidRPr="00F06708">
              <w:rPr>
                <w:rFonts w:ascii="Arial" w:hAnsi="Arial" w:cs="Arial"/>
                <w:b/>
                <w:sz w:val="16"/>
                <w:szCs w:val="16"/>
              </w:rPr>
              <w:t>3 582</w:t>
            </w:r>
          </w:p>
        </w:tc>
      </w:tr>
    </w:tbl>
    <w:p w:rsidR="00BD22F4" w:rsidRDefault="00600719" w:rsidP="00BD22F4">
      <w:pPr>
        <w:rPr>
          <w:rFonts w:ascii="Arial" w:hAnsi="Arial" w:cs="Arial"/>
          <w:sz w:val="16"/>
          <w:szCs w:val="16"/>
        </w:rPr>
      </w:pPr>
      <w:r w:rsidRPr="003C41BA">
        <w:rPr>
          <w:rFonts w:ascii="Arial" w:hAnsi="Arial" w:cs="Arial"/>
          <w:b/>
          <w:bCs/>
          <w:sz w:val="16"/>
          <w:szCs w:val="16"/>
        </w:rPr>
        <w:br w:type="page"/>
      </w:r>
      <w:r w:rsidR="00BD22F4" w:rsidRPr="005D3822">
        <w:rPr>
          <w:rFonts w:ascii="Arial" w:hAnsi="Arial" w:cs="Arial"/>
          <w:b/>
          <w:bCs/>
          <w:sz w:val="16"/>
          <w:szCs w:val="16"/>
        </w:rPr>
        <w:lastRenderedPageBreak/>
        <w:t xml:space="preserve">Okres obrotowy z 9 miesięcy kończący się 30 września 2020 r.  </w:t>
      </w:r>
      <w:r w:rsidR="00BD22F4" w:rsidRPr="005D3822">
        <w:rPr>
          <w:rFonts w:ascii="Arial" w:hAnsi="Arial" w:cs="Arial"/>
          <w:sz w:val="16"/>
          <w:szCs w:val="16"/>
        </w:rPr>
        <w:t>(niezbadane)</w:t>
      </w:r>
    </w:p>
    <w:tbl>
      <w:tblPr>
        <w:tblW w:w="8840" w:type="dxa"/>
        <w:tblInd w:w="55" w:type="dxa"/>
        <w:tblCellMar>
          <w:left w:w="70" w:type="dxa"/>
          <w:right w:w="70" w:type="dxa"/>
        </w:tblCellMar>
        <w:tblLook w:val="04A0" w:firstRow="1" w:lastRow="0" w:firstColumn="1" w:lastColumn="0" w:noHBand="0" w:noVBand="1"/>
      </w:tblPr>
      <w:tblGrid>
        <w:gridCol w:w="3640"/>
        <w:gridCol w:w="1300"/>
        <w:gridCol w:w="1300"/>
        <w:gridCol w:w="1300"/>
        <w:gridCol w:w="1300"/>
      </w:tblGrid>
      <w:tr w:rsidR="00BD22F4" w:rsidRPr="00F06708" w:rsidTr="006D578F">
        <w:trPr>
          <w:trHeight w:val="315"/>
        </w:trPr>
        <w:tc>
          <w:tcPr>
            <w:tcW w:w="3640" w:type="dxa"/>
            <w:tcBorders>
              <w:top w:val="nil"/>
              <w:left w:val="nil"/>
              <w:bottom w:val="nil"/>
              <w:right w:val="nil"/>
            </w:tcBorders>
            <w:shd w:val="clear" w:color="auto" w:fill="auto"/>
            <w:noWrap/>
            <w:vAlign w:val="bottom"/>
            <w:hideMark/>
          </w:tcPr>
          <w:p w:rsidR="00BD22F4" w:rsidRPr="00F06708" w:rsidRDefault="00BD22F4" w:rsidP="006D578F">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b/>
                <w:bCs/>
                <w:sz w:val="16"/>
                <w:szCs w:val="16"/>
              </w:rPr>
            </w:pP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b/>
                <w:bCs/>
                <w:sz w:val="16"/>
                <w:szCs w:val="16"/>
              </w:rPr>
            </w:pPr>
            <w:r w:rsidRPr="00F06708">
              <w:rPr>
                <w:rFonts w:ascii="Arial" w:hAnsi="Arial" w:cs="Arial"/>
                <w:b/>
                <w:bCs/>
                <w:sz w:val="16"/>
                <w:szCs w:val="16"/>
              </w:rPr>
              <w:t xml:space="preserve">Wszystkie </w:t>
            </w: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b/>
                <w:bCs/>
                <w:sz w:val="16"/>
                <w:szCs w:val="16"/>
              </w:rPr>
            </w:pP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b/>
                <w:bCs/>
                <w:sz w:val="16"/>
                <w:szCs w:val="16"/>
              </w:rPr>
            </w:pPr>
          </w:p>
        </w:tc>
      </w:tr>
      <w:tr w:rsidR="00BD22F4" w:rsidRPr="00F06708" w:rsidTr="006D578F">
        <w:trPr>
          <w:trHeight w:val="113"/>
        </w:trPr>
        <w:tc>
          <w:tcPr>
            <w:tcW w:w="3640" w:type="dxa"/>
            <w:tcBorders>
              <w:top w:val="nil"/>
              <w:left w:val="nil"/>
              <w:bottom w:val="nil"/>
              <w:right w:val="nil"/>
            </w:tcBorders>
            <w:shd w:val="clear" w:color="auto" w:fill="auto"/>
            <w:noWrap/>
            <w:vAlign w:val="bottom"/>
            <w:hideMark/>
          </w:tcPr>
          <w:p w:rsidR="00BD22F4" w:rsidRPr="00F06708" w:rsidRDefault="00BD22F4" w:rsidP="006D578F">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b/>
                <w:bCs/>
                <w:sz w:val="16"/>
                <w:szCs w:val="16"/>
              </w:rPr>
            </w:pPr>
            <w:r w:rsidRPr="00F06708">
              <w:rPr>
                <w:rFonts w:ascii="Arial" w:hAnsi="Arial" w:cs="Arial"/>
                <w:b/>
                <w:bCs/>
                <w:sz w:val="16"/>
                <w:szCs w:val="16"/>
              </w:rPr>
              <w:t xml:space="preserve">Działalność </w:t>
            </w: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b/>
                <w:bCs/>
                <w:sz w:val="16"/>
                <w:szCs w:val="16"/>
              </w:rPr>
            </w:pPr>
            <w:r w:rsidRPr="00F06708">
              <w:rPr>
                <w:rFonts w:ascii="Arial" w:hAnsi="Arial" w:cs="Arial"/>
                <w:b/>
                <w:bCs/>
                <w:sz w:val="16"/>
                <w:szCs w:val="16"/>
              </w:rPr>
              <w:t>pozostałe</w:t>
            </w: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b/>
                <w:bCs/>
                <w:sz w:val="16"/>
                <w:szCs w:val="16"/>
              </w:rPr>
            </w:pPr>
            <w:r w:rsidRPr="00F06708">
              <w:rPr>
                <w:rFonts w:ascii="Arial" w:hAnsi="Arial" w:cs="Arial"/>
                <w:b/>
                <w:bCs/>
                <w:sz w:val="16"/>
                <w:szCs w:val="16"/>
              </w:rPr>
              <w:t xml:space="preserve">Pozycje </w:t>
            </w:r>
          </w:p>
        </w:tc>
        <w:tc>
          <w:tcPr>
            <w:tcW w:w="1300" w:type="dxa"/>
            <w:vMerge w:val="restart"/>
            <w:tcBorders>
              <w:top w:val="nil"/>
              <w:left w:val="nil"/>
              <w:bottom w:val="single" w:sz="8" w:space="0" w:color="000000"/>
              <w:right w:val="nil"/>
            </w:tcBorders>
            <w:shd w:val="clear" w:color="auto" w:fill="auto"/>
            <w:noWrap/>
            <w:vAlign w:val="center"/>
            <w:hideMark/>
          </w:tcPr>
          <w:p w:rsidR="00BD22F4" w:rsidRPr="00F06708" w:rsidRDefault="00BD22F4" w:rsidP="006D578F">
            <w:pPr>
              <w:jc w:val="center"/>
              <w:rPr>
                <w:rFonts w:ascii="Arial" w:hAnsi="Arial" w:cs="Arial"/>
                <w:b/>
                <w:bCs/>
                <w:sz w:val="16"/>
                <w:szCs w:val="16"/>
              </w:rPr>
            </w:pPr>
            <w:r w:rsidRPr="00F06708">
              <w:rPr>
                <w:rFonts w:ascii="Arial" w:hAnsi="Arial" w:cs="Arial"/>
                <w:b/>
                <w:bCs/>
                <w:sz w:val="16"/>
                <w:szCs w:val="16"/>
              </w:rPr>
              <w:t>Razem</w:t>
            </w:r>
          </w:p>
        </w:tc>
      </w:tr>
      <w:tr w:rsidR="00BD22F4" w:rsidRPr="00F06708" w:rsidTr="006D578F">
        <w:trPr>
          <w:trHeight w:val="69"/>
        </w:trPr>
        <w:tc>
          <w:tcPr>
            <w:tcW w:w="3640" w:type="dxa"/>
            <w:tcBorders>
              <w:top w:val="nil"/>
              <w:left w:val="nil"/>
              <w:bottom w:val="nil"/>
              <w:right w:val="nil"/>
            </w:tcBorders>
            <w:shd w:val="clear" w:color="auto" w:fill="auto"/>
            <w:vAlign w:val="bottom"/>
            <w:hideMark/>
          </w:tcPr>
          <w:p w:rsidR="00BD22F4" w:rsidRPr="00F06708" w:rsidRDefault="00BD22F4" w:rsidP="006D578F">
            <w:pPr>
              <w:rPr>
                <w:rFonts w:ascii="Arial" w:hAnsi="Arial" w:cs="Arial"/>
                <w:sz w:val="16"/>
                <w:szCs w:val="16"/>
              </w:rPr>
            </w:pPr>
          </w:p>
        </w:tc>
        <w:tc>
          <w:tcPr>
            <w:tcW w:w="1300" w:type="dxa"/>
            <w:tcBorders>
              <w:top w:val="nil"/>
              <w:left w:val="nil"/>
              <w:bottom w:val="single" w:sz="8" w:space="0" w:color="auto"/>
              <w:right w:val="nil"/>
            </w:tcBorders>
            <w:shd w:val="clear" w:color="auto" w:fill="auto"/>
            <w:noWrap/>
            <w:vAlign w:val="bottom"/>
            <w:hideMark/>
          </w:tcPr>
          <w:p w:rsidR="00BD22F4" w:rsidRPr="00F06708" w:rsidRDefault="00BD22F4" w:rsidP="006D578F">
            <w:pPr>
              <w:jc w:val="right"/>
              <w:rPr>
                <w:rFonts w:ascii="Arial" w:hAnsi="Arial" w:cs="Arial"/>
                <w:b/>
                <w:bCs/>
                <w:sz w:val="16"/>
                <w:szCs w:val="16"/>
              </w:rPr>
            </w:pPr>
            <w:r w:rsidRPr="00F06708">
              <w:rPr>
                <w:rFonts w:ascii="Arial" w:hAnsi="Arial" w:cs="Arial"/>
                <w:b/>
                <w:bCs/>
                <w:sz w:val="16"/>
                <w:szCs w:val="16"/>
              </w:rPr>
              <w:t>hotelarska</w:t>
            </w:r>
          </w:p>
        </w:tc>
        <w:tc>
          <w:tcPr>
            <w:tcW w:w="1300" w:type="dxa"/>
            <w:tcBorders>
              <w:top w:val="nil"/>
              <w:left w:val="nil"/>
              <w:bottom w:val="single" w:sz="8" w:space="0" w:color="auto"/>
              <w:right w:val="nil"/>
            </w:tcBorders>
            <w:shd w:val="clear" w:color="auto" w:fill="auto"/>
            <w:noWrap/>
            <w:vAlign w:val="bottom"/>
            <w:hideMark/>
          </w:tcPr>
          <w:p w:rsidR="00BD22F4" w:rsidRPr="00F06708" w:rsidRDefault="00BD22F4" w:rsidP="006D578F">
            <w:pPr>
              <w:jc w:val="right"/>
              <w:rPr>
                <w:rFonts w:ascii="Arial" w:hAnsi="Arial" w:cs="Arial"/>
                <w:b/>
                <w:bCs/>
                <w:sz w:val="16"/>
                <w:szCs w:val="16"/>
              </w:rPr>
            </w:pPr>
            <w:r w:rsidRPr="00F06708">
              <w:rPr>
                <w:rFonts w:ascii="Arial" w:hAnsi="Arial" w:cs="Arial"/>
                <w:b/>
                <w:bCs/>
                <w:sz w:val="16"/>
                <w:szCs w:val="16"/>
              </w:rPr>
              <w:t>segmenty</w:t>
            </w:r>
          </w:p>
        </w:tc>
        <w:tc>
          <w:tcPr>
            <w:tcW w:w="1300" w:type="dxa"/>
            <w:tcBorders>
              <w:top w:val="nil"/>
              <w:left w:val="nil"/>
              <w:bottom w:val="single" w:sz="8" w:space="0" w:color="auto"/>
              <w:right w:val="nil"/>
            </w:tcBorders>
            <w:shd w:val="clear" w:color="auto" w:fill="auto"/>
            <w:noWrap/>
            <w:vAlign w:val="bottom"/>
            <w:hideMark/>
          </w:tcPr>
          <w:p w:rsidR="00BD22F4" w:rsidRPr="00F06708" w:rsidRDefault="00BD22F4" w:rsidP="006D578F">
            <w:pPr>
              <w:jc w:val="right"/>
              <w:rPr>
                <w:rFonts w:ascii="Arial" w:hAnsi="Arial" w:cs="Arial"/>
                <w:b/>
                <w:bCs/>
                <w:sz w:val="16"/>
                <w:szCs w:val="16"/>
              </w:rPr>
            </w:pPr>
            <w:r w:rsidRPr="00F06708">
              <w:rPr>
                <w:rFonts w:ascii="Arial" w:hAnsi="Arial" w:cs="Arial"/>
                <w:b/>
                <w:bCs/>
                <w:sz w:val="16"/>
                <w:szCs w:val="16"/>
              </w:rPr>
              <w:t>nieprzypisane</w:t>
            </w:r>
          </w:p>
        </w:tc>
        <w:tc>
          <w:tcPr>
            <w:tcW w:w="1300" w:type="dxa"/>
            <w:vMerge/>
            <w:tcBorders>
              <w:top w:val="nil"/>
              <w:left w:val="nil"/>
              <w:bottom w:val="single" w:sz="8" w:space="0" w:color="000000"/>
              <w:right w:val="nil"/>
            </w:tcBorders>
            <w:vAlign w:val="center"/>
            <w:hideMark/>
          </w:tcPr>
          <w:p w:rsidR="00BD22F4" w:rsidRPr="00F06708" w:rsidRDefault="00BD22F4" w:rsidP="006D578F">
            <w:pPr>
              <w:rPr>
                <w:rFonts w:ascii="Arial" w:hAnsi="Arial" w:cs="Arial"/>
                <w:b/>
                <w:bCs/>
                <w:sz w:val="16"/>
                <w:szCs w:val="16"/>
              </w:rPr>
            </w:pPr>
          </w:p>
        </w:tc>
      </w:tr>
      <w:tr w:rsidR="00BD22F4" w:rsidRPr="00F06708" w:rsidTr="006D578F">
        <w:trPr>
          <w:trHeight w:val="300"/>
        </w:trPr>
        <w:tc>
          <w:tcPr>
            <w:tcW w:w="3640" w:type="dxa"/>
            <w:tcBorders>
              <w:top w:val="nil"/>
              <w:left w:val="nil"/>
              <w:bottom w:val="nil"/>
              <w:right w:val="nil"/>
            </w:tcBorders>
            <w:shd w:val="clear" w:color="auto" w:fill="auto"/>
            <w:vAlign w:val="bottom"/>
            <w:hideMark/>
          </w:tcPr>
          <w:p w:rsidR="00BD22F4" w:rsidRPr="00F06708" w:rsidRDefault="00BD22F4" w:rsidP="006D578F">
            <w:pPr>
              <w:rPr>
                <w:rFonts w:ascii="Arial" w:hAnsi="Arial" w:cs="Arial"/>
                <w:sz w:val="16"/>
                <w:szCs w:val="16"/>
              </w:rPr>
            </w:pPr>
            <w:r w:rsidRPr="00F06708">
              <w:rPr>
                <w:rFonts w:ascii="Arial" w:hAnsi="Arial" w:cs="Arial"/>
                <w:sz w:val="16"/>
                <w:szCs w:val="16"/>
              </w:rPr>
              <w:t xml:space="preserve">Przychody ze sprzedaży </w:t>
            </w: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sz w:val="16"/>
                <w:szCs w:val="16"/>
              </w:rPr>
            </w:pPr>
            <w:r w:rsidRPr="00F06708">
              <w:rPr>
                <w:rFonts w:ascii="Arial" w:hAnsi="Arial" w:cs="Arial"/>
                <w:sz w:val="16"/>
                <w:szCs w:val="16"/>
              </w:rPr>
              <w:t>18 188</w:t>
            </w: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sz w:val="16"/>
                <w:szCs w:val="16"/>
              </w:rPr>
            </w:pPr>
            <w:r w:rsidRPr="00F06708">
              <w:rPr>
                <w:rFonts w:ascii="Arial" w:hAnsi="Arial" w:cs="Arial"/>
                <w:sz w:val="16"/>
                <w:szCs w:val="16"/>
              </w:rPr>
              <w:t>1 272</w:t>
            </w: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sz w:val="16"/>
                <w:szCs w:val="16"/>
              </w:rPr>
            </w:pPr>
            <w:r w:rsidRPr="00F06708">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sz w:val="16"/>
                <w:szCs w:val="16"/>
              </w:rPr>
            </w:pPr>
            <w:r w:rsidRPr="00F06708">
              <w:rPr>
                <w:rFonts w:ascii="Arial" w:hAnsi="Arial" w:cs="Arial"/>
                <w:sz w:val="16"/>
                <w:szCs w:val="16"/>
              </w:rPr>
              <w:t>19 460</w:t>
            </w:r>
          </w:p>
        </w:tc>
      </w:tr>
      <w:tr w:rsidR="00BD22F4" w:rsidRPr="00F06708" w:rsidTr="006D578F">
        <w:trPr>
          <w:trHeight w:val="285"/>
        </w:trPr>
        <w:tc>
          <w:tcPr>
            <w:tcW w:w="3640" w:type="dxa"/>
            <w:tcBorders>
              <w:top w:val="nil"/>
              <w:left w:val="nil"/>
              <w:bottom w:val="nil"/>
              <w:right w:val="nil"/>
            </w:tcBorders>
            <w:shd w:val="clear" w:color="auto" w:fill="auto"/>
            <w:vAlign w:val="bottom"/>
            <w:hideMark/>
          </w:tcPr>
          <w:p w:rsidR="00BD22F4" w:rsidRPr="00F06708" w:rsidRDefault="00BD22F4" w:rsidP="006D578F">
            <w:pPr>
              <w:rPr>
                <w:rFonts w:ascii="Arial" w:hAnsi="Arial" w:cs="Arial"/>
                <w:sz w:val="16"/>
                <w:szCs w:val="16"/>
              </w:rPr>
            </w:pPr>
            <w:r w:rsidRPr="00F06708">
              <w:rPr>
                <w:rFonts w:ascii="Arial" w:hAnsi="Arial" w:cs="Arial"/>
                <w:sz w:val="16"/>
                <w:szCs w:val="16"/>
              </w:rPr>
              <w:t>Koszt własny sprzedaży</w:t>
            </w:r>
          </w:p>
        </w:tc>
        <w:tc>
          <w:tcPr>
            <w:tcW w:w="1300" w:type="dxa"/>
            <w:tcBorders>
              <w:top w:val="nil"/>
              <w:left w:val="nil"/>
              <w:bottom w:val="nil"/>
              <w:right w:val="nil"/>
            </w:tcBorders>
            <w:shd w:val="clear" w:color="000000" w:fill="FFFFFF"/>
            <w:noWrap/>
            <w:vAlign w:val="bottom"/>
            <w:hideMark/>
          </w:tcPr>
          <w:p w:rsidR="00BD22F4" w:rsidRPr="00F06708" w:rsidRDefault="00BD22F4" w:rsidP="006D578F">
            <w:pPr>
              <w:jc w:val="right"/>
              <w:rPr>
                <w:rFonts w:ascii="Arial" w:hAnsi="Arial" w:cs="Arial"/>
                <w:sz w:val="16"/>
                <w:szCs w:val="16"/>
              </w:rPr>
            </w:pPr>
            <w:r w:rsidRPr="00F06708">
              <w:rPr>
                <w:rFonts w:ascii="Arial" w:hAnsi="Arial" w:cs="Arial"/>
                <w:sz w:val="16"/>
                <w:szCs w:val="16"/>
              </w:rPr>
              <w:t>14 827</w:t>
            </w: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sz w:val="16"/>
                <w:szCs w:val="16"/>
              </w:rPr>
            </w:pPr>
            <w:r w:rsidRPr="00F06708">
              <w:rPr>
                <w:rFonts w:ascii="Arial" w:hAnsi="Arial" w:cs="Arial"/>
                <w:sz w:val="16"/>
                <w:szCs w:val="16"/>
              </w:rPr>
              <w:t>195</w:t>
            </w: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sz w:val="16"/>
                <w:szCs w:val="16"/>
              </w:rPr>
            </w:pPr>
            <w:r w:rsidRPr="00F06708">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sz w:val="16"/>
                <w:szCs w:val="16"/>
              </w:rPr>
            </w:pPr>
            <w:r w:rsidRPr="00F06708">
              <w:rPr>
                <w:rFonts w:ascii="Arial" w:hAnsi="Arial" w:cs="Arial"/>
                <w:sz w:val="16"/>
                <w:szCs w:val="16"/>
              </w:rPr>
              <w:t>15 023</w:t>
            </w:r>
          </w:p>
        </w:tc>
      </w:tr>
      <w:tr w:rsidR="00BD22F4" w:rsidRPr="00F06708" w:rsidTr="006D578F">
        <w:trPr>
          <w:trHeight w:val="285"/>
        </w:trPr>
        <w:tc>
          <w:tcPr>
            <w:tcW w:w="3640" w:type="dxa"/>
            <w:tcBorders>
              <w:top w:val="nil"/>
              <w:left w:val="nil"/>
              <w:bottom w:val="nil"/>
              <w:right w:val="nil"/>
            </w:tcBorders>
            <w:shd w:val="clear" w:color="auto" w:fill="auto"/>
            <w:vAlign w:val="bottom"/>
            <w:hideMark/>
          </w:tcPr>
          <w:p w:rsidR="00BD22F4" w:rsidRPr="00F06708" w:rsidRDefault="00BD22F4" w:rsidP="006D578F">
            <w:pPr>
              <w:rPr>
                <w:rFonts w:ascii="Arial" w:hAnsi="Arial" w:cs="Arial"/>
                <w:sz w:val="16"/>
                <w:szCs w:val="16"/>
              </w:rPr>
            </w:pPr>
            <w:r w:rsidRPr="00F06708">
              <w:rPr>
                <w:rFonts w:ascii="Arial" w:hAnsi="Arial" w:cs="Arial"/>
                <w:sz w:val="16"/>
                <w:szCs w:val="16"/>
              </w:rPr>
              <w:t>w tym amortyzacja</w:t>
            </w: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sz w:val="16"/>
                <w:szCs w:val="16"/>
              </w:rPr>
            </w:pPr>
            <w:r w:rsidRPr="00F06708">
              <w:rPr>
                <w:rFonts w:ascii="Arial" w:hAnsi="Arial" w:cs="Arial"/>
                <w:sz w:val="16"/>
                <w:szCs w:val="16"/>
              </w:rPr>
              <w:t>2 561</w:t>
            </w: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sz w:val="16"/>
                <w:szCs w:val="16"/>
              </w:rPr>
            </w:pPr>
            <w:r w:rsidRPr="00F06708">
              <w:rPr>
                <w:rFonts w:ascii="Arial" w:hAnsi="Arial" w:cs="Arial"/>
                <w:sz w:val="16"/>
                <w:szCs w:val="16"/>
              </w:rPr>
              <w:t>34</w:t>
            </w: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sz w:val="16"/>
                <w:szCs w:val="16"/>
              </w:rPr>
            </w:pPr>
            <w:r w:rsidRPr="00F06708">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sz w:val="16"/>
                <w:szCs w:val="16"/>
              </w:rPr>
            </w:pPr>
            <w:r w:rsidRPr="00F06708">
              <w:rPr>
                <w:rFonts w:ascii="Arial" w:hAnsi="Arial" w:cs="Arial"/>
                <w:sz w:val="16"/>
                <w:szCs w:val="16"/>
              </w:rPr>
              <w:t>2 595</w:t>
            </w:r>
          </w:p>
        </w:tc>
      </w:tr>
      <w:tr w:rsidR="00BD22F4" w:rsidRPr="00F06708" w:rsidTr="006D578F">
        <w:trPr>
          <w:trHeight w:val="227"/>
        </w:trPr>
        <w:tc>
          <w:tcPr>
            <w:tcW w:w="3640" w:type="dxa"/>
            <w:tcBorders>
              <w:top w:val="nil"/>
              <w:left w:val="nil"/>
              <w:bottom w:val="nil"/>
              <w:right w:val="nil"/>
            </w:tcBorders>
            <w:shd w:val="clear" w:color="auto" w:fill="auto"/>
            <w:vAlign w:val="bottom"/>
            <w:hideMark/>
          </w:tcPr>
          <w:p w:rsidR="00BD22F4" w:rsidRPr="00F06708" w:rsidRDefault="00BD22F4" w:rsidP="006D578F">
            <w:pPr>
              <w:rPr>
                <w:rFonts w:ascii="Arial" w:hAnsi="Arial" w:cs="Arial"/>
                <w:b/>
                <w:bCs/>
                <w:sz w:val="16"/>
                <w:szCs w:val="16"/>
              </w:rPr>
            </w:pPr>
            <w:r w:rsidRPr="00F06708">
              <w:rPr>
                <w:rFonts w:ascii="Arial" w:hAnsi="Arial" w:cs="Arial"/>
                <w:b/>
                <w:bCs/>
                <w:sz w:val="16"/>
                <w:szCs w:val="16"/>
              </w:rPr>
              <w:t>Zysk brutto ze sprzedaży</w:t>
            </w: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b/>
                <w:sz w:val="16"/>
                <w:szCs w:val="16"/>
              </w:rPr>
            </w:pPr>
            <w:r w:rsidRPr="00F06708">
              <w:rPr>
                <w:rFonts w:ascii="Arial" w:hAnsi="Arial" w:cs="Arial"/>
                <w:b/>
                <w:sz w:val="16"/>
                <w:szCs w:val="16"/>
              </w:rPr>
              <w:t>3 361</w:t>
            </w: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b/>
                <w:sz w:val="16"/>
                <w:szCs w:val="16"/>
              </w:rPr>
            </w:pPr>
            <w:r w:rsidRPr="00F06708">
              <w:rPr>
                <w:rFonts w:ascii="Arial" w:hAnsi="Arial" w:cs="Arial"/>
                <w:b/>
                <w:sz w:val="16"/>
                <w:szCs w:val="16"/>
              </w:rPr>
              <w:t>1 077</w:t>
            </w: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b/>
                <w:sz w:val="16"/>
                <w:szCs w:val="16"/>
              </w:rPr>
            </w:pPr>
            <w:r w:rsidRPr="00F06708">
              <w:rPr>
                <w:rFonts w:ascii="Arial" w:hAnsi="Arial" w:cs="Arial"/>
                <w:b/>
                <w:sz w:val="16"/>
                <w:szCs w:val="16"/>
              </w:rPr>
              <w:t>-</w:t>
            </w: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b/>
                <w:sz w:val="16"/>
                <w:szCs w:val="16"/>
              </w:rPr>
            </w:pPr>
            <w:r w:rsidRPr="00F06708">
              <w:rPr>
                <w:rFonts w:ascii="Arial" w:hAnsi="Arial" w:cs="Arial"/>
                <w:b/>
                <w:sz w:val="16"/>
                <w:szCs w:val="16"/>
              </w:rPr>
              <w:t>4 437</w:t>
            </w:r>
          </w:p>
        </w:tc>
      </w:tr>
      <w:tr w:rsidR="00BD22F4" w:rsidRPr="00F06708" w:rsidTr="006D578F">
        <w:trPr>
          <w:trHeight w:val="145"/>
        </w:trPr>
        <w:tc>
          <w:tcPr>
            <w:tcW w:w="3640" w:type="dxa"/>
            <w:tcBorders>
              <w:top w:val="nil"/>
              <w:left w:val="nil"/>
              <w:bottom w:val="nil"/>
              <w:right w:val="nil"/>
            </w:tcBorders>
            <w:shd w:val="clear" w:color="auto" w:fill="auto"/>
            <w:vAlign w:val="bottom"/>
            <w:hideMark/>
          </w:tcPr>
          <w:p w:rsidR="00BD22F4" w:rsidRPr="00F06708" w:rsidRDefault="00BD22F4" w:rsidP="006D578F">
            <w:pPr>
              <w:rPr>
                <w:rFonts w:ascii="Arial" w:hAnsi="Arial" w:cs="Arial"/>
                <w:sz w:val="16"/>
                <w:szCs w:val="16"/>
              </w:rPr>
            </w:pPr>
            <w:r w:rsidRPr="00F06708">
              <w:rPr>
                <w:rFonts w:ascii="Arial" w:hAnsi="Arial" w:cs="Arial"/>
                <w:sz w:val="16"/>
                <w:szCs w:val="16"/>
              </w:rPr>
              <w:t>Koszty sprzedaży i zarządu</w:t>
            </w: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sz w:val="16"/>
                <w:szCs w:val="16"/>
              </w:rPr>
            </w:pPr>
          </w:p>
        </w:tc>
        <w:tc>
          <w:tcPr>
            <w:tcW w:w="1300" w:type="dxa"/>
            <w:tcBorders>
              <w:top w:val="nil"/>
              <w:left w:val="nil"/>
              <w:bottom w:val="nil"/>
              <w:right w:val="nil"/>
            </w:tcBorders>
            <w:shd w:val="clear" w:color="000000" w:fill="FFFFFF"/>
            <w:noWrap/>
            <w:vAlign w:val="bottom"/>
            <w:hideMark/>
          </w:tcPr>
          <w:p w:rsidR="00BD22F4" w:rsidRPr="00F06708" w:rsidRDefault="00BD22F4" w:rsidP="006D578F">
            <w:pPr>
              <w:jc w:val="right"/>
              <w:rPr>
                <w:rFonts w:ascii="Arial" w:hAnsi="Arial" w:cs="Arial"/>
                <w:sz w:val="16"/>
                <w:szCs w:val="16"/>
              </w:rPr>
            </w:pPr>
            <w:r w:rsidRPr="00F06708">
              <w:rPr>
                <w:rFonts w:ascii="Arial" w:hAnsi="Arial" w:cs="Arial"/>
                <w:sz w:val="16"/>
                <w:szCs w:val="16"/>
              </w:rPr>
              <w:t>4 843</w:t>
            </w: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sz w:val="16"/>
                <w:szCs w:val="16"/>
              </w:rPr>
            </w:pPr>
            <w:r w:rsidRPr="00F06708">
              <w:rPr>
                <w:rFonts w:ascii="Arial" w:hAnsi="Arial" w:cs="Arial"/>
                <w:sz w:val="16"/>
                <w:szCs w:val="16"/>
              </w:rPr>
              <w:t>4 843</w:t>
            </w:r>
          </w:p>
        </w:tc>
      </w:tr>
      <w:tr w:rsidR="00BD22F4" w:rsidRPr="00F06708" w:rsidTr="006D578F">
        <w:trPr>
          <w:trHeight w:val="235"/>
        </w:trPr>
        <w:tc>
          <w:tcPr>
            <w:tcW w:w="3640" w:type="dxa"/>
            <w:tcBorders>
              <w:top w:val="nil"/>
              <w:left w:val="nil"/>
              <w:bottom w:val="nil"/>
              <w:right w:val="nil"/>
            </w:tcBorders>
            <w:shd w:val="clear" w:color="auto" w:fill="auto"/>
            <w:vAlign w:val="bottom"/>
            <w:hideMark/>
          </w:tcPr>
          <w:p w:rsidR="00BD22F4" w:rsidRPr="00F06708" w:rsidRDefault="00BD22F4" w:rsidP="006D578F">
            <w:pPr>
              <w:rPr>
                <w:rFonts w:ascii="Arial" w:hAnsi="Arial" w:cs="Arial"/>
                <w:sz w:val="16"/>
                <w:szCs w:val="16"/>
              </w:rPr>
            </w:pPr>
            <w:r w:rsidRPr="00F06708">
              <w:rPr>
                <w:rFonts w:ascii="Arial" w:hAnsi="Arial" w:cs="Arial"/>
                <w:sz w:val="16"/>
                <w:szCs w:val="16"/>
              </w:rPr>
              <w:t>w tym amortyzacja</w:t>
            </w:r>
          </w:p>
        </w:tc>
        <w:tc>
          <w:tcPr>
            <w:tcW w:w="1300" w:type="dxa"/>
            <w:tcBorders>
              <w:top w:val="nil"/>
              <w:left w:val="nil"/>
              <w:bottom w:val="nil"/>
              <w:right w:val="nil"/>
            </w:tcBorders>
            <w:shd w:val="clear" w:color="auto" w:fill="auto"/>
            <w:noWrap/>
            <w:vAlign w:val="bottom"/>
            <w:hideMark/>
          </w:tcPr>
          <w:p w:rsidR="00BD22F4" w:rsidRPr="00F06708" w:rsidRDefault="00BD22F4" w:rsidP="006D578F">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BD22F4" w:rsidRPr="00F06708" w:rsidRDefault="00BD22F4" w:rsidP="006D578F">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sz w:val="16"/>
                <w:szCs w:val="16"/>
              </w:rPr>
            </w:pPr>
            <w:r w:rsidRPr="00F06708">
              <w:rPr>
                <w:rFonts w:ascii="Arial" w:hAnsi="Arial" w:cs="Arial"/>
                <w:sz w:val="16"/>
                <w:szCs w:val="16"/>
              </w:rPr>
              <w:t>225</w:t>
            </w: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sz w:val="16"/>
                <w:szCs w:val="16"/>
              </w:rPr>
            </w:pPr>
            <w:r w:rsidRPr="00F06708">
              <w:rPr>
                <w:rFonts w:ascii="Arial" w:hAnsi="Arial" w:cs="Arial"/>
                <w:sz w:val="16"/>
                <w:szCs w:val="16"/>
              </w:rPr>
              <w:t>225</w:t>
            </w:r>
          </w:p>
        </w:tc>
      </w:tr>
      <w:tr w:rsidR="00BD22F4" w:rsidRPr="00F06708" w:rsidTr="006D578F">
        <w:trPr>
          <w:trHeight w:val="363"/>
        </w:trPr>
        <w:tc>
          <w:tcPr>
            <w:tcW w:w="3640" w:type="dxa"/>
            <w:tcBorders>
              <w:top w:val="nil"/>
              <w:left w:val="nil"/>
              <w:bottom w:val="nil"/>
              <w:right w:val="nil"/>
            </w:tcBorders>
            <w:shd w:val="clear" w:color="auto" w:fill="auto"/>
            <w:vAlign w:val="bottom"/>
            <w:hideMark/>
          </w:tcPr>
          <w:p w:rsidR="00BD22F4" w:rsidRPr="00F06708" w:rsidRDefault="00BD22F4" w:rsidP="006D578F">
            <w:pPr>
              <w:rPr>
                <w:rFonts w:ascii="Arial" w:hAnsi="Arial" w:cs="Arial"/>
                <w:sz w:val="16"/>
                <w:szCs w:val="16"/>
              </w:rPr>
            </w:pPr>
            <w:r w:rsidRPr="00F06708">
              <w:rPr>
                <w:rFonts w:ascii="Arial" w:hAnsi="Arial" w:cs="Arial"/>
                <w:sz w:val="16"/>
                <w:szCs w:val="16"/>
              </w:rPr>
              <w:t>Saldo pozostałych przychodów i kosztów operacyjnych</w:t>
            </w: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sz w:val="16"/>
                <w:szCs w:val="16"/>
              </w:rPr>
            </w:pPr>
          </w:p>
        </w:tc>
        <w:tc>
          <w:tcPr>
            <w:tcW w:w="1300" w:type="dxa"/>
            <w:tcBorders>
              <w:top w:val="nil"/>
              <w:left w:val="nil"/>
              <w:bottom w:val="nil"/>
              <w:right w:val="nil"/>
            </w:tcBorders>
            <w:shd w:val="clear" w:color="000000" w:fill="FFFFFF"/>
            <w:noWrap/>
            <w:vAlign w:val="bottom"/>
            <w:hideMark/>
          </w:tcPr>
          <w:p w:rsidR="00BD22F4" w:rsidRPr="00F06708" w:rsidRDefault="00BD22F4" w:rsidP="006D578F">
            <w:pPr>
              <w:jc w:val="right"/>
              <w:rPr>
                <w:rFonts w:ascii="Arial" w:hAnsi="Arial" w:cs="Arial"/>
                <w:sz w:val="16"/>
                <w:szCs w:val="16"/>
              </w:rPr>
            </w:pPr>
            <w:r w:rsidRPr="00F06708">
              <w:rPr>
                <w:rFonts w:ascii="Arial" w:hAnsi="Arial" w:cs="Arial"/>
                <w:sz w:val="16"/>
                <w:szCs w:val="16"/>
              </w:rPr>
              <w:t>-5 610</w:t>
            </w: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sz w:val="16"/>
                <w:szCs w:val="16"/>
              </w:rPr>
            </w:pPr>
            <w:r w:rsidRPr="00F06708">
              <w:rPr>
                <w:rFonts w:ascii="Arial" w:hAnsi="Arial" w:cs="Arial"/>
                <w:sz w:val="16"/>
                <w:szCs w:val="16"/>
              </w:rPr>
              <w:t>-5 610</w:t>
            </w:r>
          </w:p>
        </w:tc>
      </w:tr>
      <w:tr w:rsidR="00BD22F4" w:rsidRPr="00F06708" w:rsidTr="006D578F">
        <w:trPr>
          <w:trHeight w:val="201"/>
        </w:trPr>
        <w:tc>
          <w:tcPr>
            <w:tcW w:w="3640" w:type="dxa"/>
            <w:tcBorders>
              <w:top w:val="nil"/>
              <w:left w:val="nil"/>
              <w:bottom w:val="nil"/>
              <w:right w:val="nil"/>
            </w:tcBorders>
            <w:shd w:val="clear" w:color="auto" w:fill="auto"/>
            <w:vAlign w:val="bottom"/>
            <w:hideMark/>
          </w:tcPr>
          <w:p w:rsidR="00BD22F4" w:rsidRPr="00F06708" w:rsidRDefault="00BD22F4" w:rsidP="006D578F">
            <w:pPr>
              <w:rPr>
                <w:rFonts w:ascii="Arial" w:hAnsi="Arial" w:cs="Arial"/>
                <w:b/>
                <w:bCs/>
                <w:sz w:val="16"/>
                <w:szCs w:val="16"/>
              </w:rPr>
            </w:pPr>
            <w:r w:rsidRPr="00F06708">
              <w:rPr>
                <w:rFonts w:ascii="Arial" w:hAnsi="Arial" w:cs="Arial"/>
                <w:b/>
                <w:bCs/>
                <w:sz w:val="16"/>
                <w:szCs w:val="16"/>
              </w:rPr>
              <w:t>Zysk operacyjny</w:t>
            </w: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b/>
                <w:sz w:val="16"/>
                <w:szCs w:val="16"/>
              </w:rPr>
            </w:pPr>
            <w:r w:rsidRPr="00F06708">
              <w:rPr>
                <w:rFonts w:ascii="Arial" w:hAnsi="Arial" w:cs="Arial"/>
                <w:b/>
                <w:sz w:val="16"/>
                <w:szCs w:val="16"/>
              </w:rPr>
              <w:t>3 361</w:t>
            </w: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b/>
                <w:sz w:val="16"/>
                <w:szCs w:val="16"/>
              </w:rPr>
            </w:pPr>
            <w:r w:rsidRPr="00F06708">
              <w:rPr>
                <w:rFonts w:ascii="Arial" w:hAnsi="Arial" w:cs="Arial"/>
                <w:b/>
                <w:sz w:val="16"/>
                <w:szCs w:val="16"/>
              </w:rPr>
              <w:t>1 077</w:t>
            </w: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b/>
                <w:sz w:val="16"/>
                <w:szCs w:val="16"/>
              </w:rPr>
            </w:pPr>
            <w:r w:rsidRPr="00F06708">
              <w:rPr>
                <w:rFonts w:ascii="Arial" w:hAnsi="Arial" w:cs="Arial"/>
                <w:b/>
                <w:sz w:val="16"/>
                <w:szCs w:val="16"/>
              </w:rPr>
              <w:t>-10 453</w:t>
            </w: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b/>
                <w:sz w:val="16"/>
                <w:szCs w:val="16"/>
              </w:rPr>
            </w:pPr>
            <w:r w:rsidRPr="00F06708">
              <w:rPr>
                <w:rFonts w:ascii="Arial" w:hAnsi="Arial" w:cs="Arial"/>
                <w:b/>
                <w:sz w:val="16"/>
                <w:szCs w:val="16"/>
              </w:rPr>
              <w:t>-6 016</w:t>
            </w:r>
          </w:p>
        </w:tc>
      </w:tr>
      <w:tr w:rsidR="00BD22F4" w:rsidRPr="00F06708" w:rsidTr="006D578F">
        <w:trPr>
          <w:trHeight w:val="83"/>
        </w:trPr>
        <w:tc>
          <w:tcPr>
            <w:tcW w:w="3640" w:type="dxa"/>
            <w:tcBorders>
              <w:top w:val="nil"/>
              <w:left w:val="nil"/>
              <w:bottom w:val="nil"/>
              <w:right w:val="nil"/>
            </w:tcBorders>
            <w:shd w:val="clear" w:color="auto" w:fill="auto"/>
            <w:vAlign w:val="bottom"/>
            <w:hideMark/>
          </w:tcPr>
          <w:p w:rsidR="00BD22F4" w:rsidRPr="00F06708" w:rsidRDefault="00BD22F4" w:rsidP="006D578F">
            <w:pPr>
              <w:rPr>
                <w:rFonts w:ascii="Arial" w:hAnsi="Arial" w:cs="Arial"/>
                <w:sz w:val="16"/>
                <w:szCs w:val="16"/>
              </w:rPr>
            </w:pPr>
            <w:r w:rsidRPr="00F06708">
              <w:rPr>
                <w:rFonts w:ascii="Arial" w:hAnsi="Arial" w:cs="Arial"/>
                <w:sz w:val="16"/>
                <w:szCs w:val="16"/>
              </w:rPr>
              <w:t>Saldo przychodów i kosztów finansowych</w:t>
            </w: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sz w:val="16"/>
                <w:szCs w:val="16"/>
              </w:rPr>
            </w:pPr>
            <w:r w:rsidRPr="00F06708">
              <w:rPr>
                <w:rFonts w:ascii="Arial" w:hAnsi="Arial" w:cs="Arial"/>
                <w:sz w:val="16"/>
                <w:szCs w:val="16"/>
              </w:rPr>
              <w:t>-835</w:t>
            </w: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sz w:val="16"/>
                <w:szCs w:val="16"/>
              </w:rPr>
            </w:pPr>
            <w:r w:rsidRPr="00F06708">
              <w:rPr>
                <w:rFonts w:ascii="Arial" w:hAnsi="Arial" w:cs="Arial"/>
                <w:sz w:val="16"/>
                <w:szCs w:val="16"/>
              </w:rPr>
              <w:t>-835</w:t>
            </w:r>
          </w:p>
        </w:tc>
      </w:tr>
      <w:tr w:rsidR="00BD22F4" w:rsidRPr="00F06708" w:rsidTr="006D578F">
        <w:trPr>
          <w:trHeight w:val="229"/>
        </w:trPr>
        <w:tc>
          <w:tcPr>
            <w:tcW w:w="3640" w:type="dxa"/>
            <w:tcBorders>
              <w:top w:val="nil"/>
              <w:left w:val="nil"/>
              <w:bottom w:val="nil"/>
              <w:right w:val="nil"/>
            </w:tcBorders>
            <w:shd w:val="clear" w:color="auto" w:fill="auto"/>
            <w:vAlign w:val="bottom"/>
            <w:hideMark/>
          </w:tcPr>
          <w:p w:rsidR="00BD22F4" w:rsidRPr="00F06708" w:rsidRDefault="00BD22F4" w:rsidP="006D578F">
            <w:pPr>
              <w:rPr>
                <w:rFonts w:ascii="Arial" w:hAnsi="Arial" w:cs="Arial"/>
                <w:sz w:val="16"/>
                <w:szCs w:val="16"/>
              </w:rPr>
            </w:pPr>
            <w:r w:rsidRPr="00F06708">
              <w:rPr>
                <w:rFonts w:ascii="Arial" w:hAnsi="Arial" w:cs="Arial"/>
                <w:sz w:val="16"/>
                <w:szCs w:val="16"/>
              </w:rPr>
              <w:t>Udziały w zyskach jednostek stowarzyszonych wycenianych metodą praw własności</w:t>
            </w: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sz w:val="16"/>
                <w:szCs w:val="16"/>
              </w:rPr>
            </w:pPr>
            <w:r w:rsidRPr="00F06708">
              <w:rPr>
                <w:rFonts w:ascii="Arial" w:hAnsi="Arial" w:cs="Arial"/>
                <w:sz w:val="16"/>
                <w:szCs w:val="16"/>
              </w:rPr>
              <w:t>50</w:t>
            </w: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sz w:val="16"/>
                <w:szCs w:val="16"/>
              </w:rPr>
            </w:pPr>
            <w:r w:rsidRPr="00F06708">
              <w:rPr>
                <w:rFonts w:ascii="Arial" w:hAnsi="Arial" w:cs="Arial"/>
                <w:sz w:val="16"/>
                <w:szCs w:val="16"/>
              </w:rPr>
              <w:t>50</w:t>
            </w:r>
          </w:p>
        </w:tc>
      </w:tr>
      <w:tr w:rsidR="00BD22F4" w:rsidRPr="00F06708" w:rsidTr="006D578F">
        <w:trPr>
          <w:trHeight w:val="86"/>
        </w:trPr>
        <w:tc>
          <w:tcPr>
            <w:tcW w:w="3640" w:type="dxa"/>
            <w:tcBorders>
              <w:top w:val="nil"/>
              <w:left w:val="nil"/>
              <w:bottom w:val="nil"/>
              <w:right w:val="nil"/>
            </w:tcBorders>
            <w:shd w:val="clear" w:color="auto" w:fill="auto"/>
            <w:vAlign w:val="bottom"/>
            <w:hideMark/>
          </w:tcPr>
          <w:p w:rsidR="00BD22F4" w:rsidRPr="00F06708" w:rsidRDefault="00BD22F4" w:rsidP="006D578F">
            <w:pPr>
              <w:rPr>
                <w:rFonts w:ascii="Arial" w:hAnsi="Arial" w:cs="Arial"/>
                <w:b/>
                <w:bCs/>
                <w:sz w:val="16"/>
                <w:szCs w:val="16"/>
              </w:rPr>
            </w:pPr>
            <w:r w:rsidRPr="00F06708">
              <w:rPr>
                <w:rFonts w:ascii="Arial" w:hAnsi="Arial" w:cs="Arial"/>
                <w:b/>
                <w:bCs/>
                <w:sz w:val="16"/>
                <w:szCs w:val="16"/>
              </w:rPr>
              <w:t>Zysk  przed opodatkowaniem</w:t>
            </w: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b/>
                <w:sz w:val="16"/>
                <w:szCs w:val="16"/>
              </w:rPr>
            </w:pPr>
            <w:r w:rsidRPr="00F06708">
              <w:rPr>
                <w:rFonts w:ascii="Arial" w:hAnsi="Arial" w:cs="Arial"/>
                <w:b/>
                <w:sz w:val="16"/>
                <w:szCs w:val="16"/>
              </w:rPr>
              <w:t>3 361</w:t>
            </w: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b/>
                <w:sz w:val="16"/>
                <w:szCs w:val="16"/>
              </w:rPr>
            </w:pPr>
            <w:r w:rsidRPr="00F06708">
              <w:rPr>
                <w:rFonts w:ascii="Arial" w:hAnsi="Arial" w:cs="Arial"/>
                <w:b/>
                <w:sz w:val="16"/>
                <w:szCs w:val="16"/>
              </w:rPr>
              <w:t>1 077</w:t>
            </w: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b/>
                <w:sz w:val="16"/>
                <w:szCs w:val="16"/>
              </w:rPr>
            </w:pPr>
            <w:r w:rsidRPr="00F06708">
              <w:rPr>
                <w:rFonts w:ascii="Arial" w:hAnsi="Arial" w:cs="Arial"/>
                <w:b/>
                <w:sz w:val="16"/>
                <w:szCs w:val="16"/>
              </w:rPr>
              <w:t>-11 238</w:t>
            </w: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b/>
                <w:sz w:val="16"/>
                <w:szCs w:val="16"/>
              </w:rPr>
            </w:pPr>
            <w:r w:rsidRPr="00F06708">
              <w:rPr>
                <w:rFonts w:ascii="Arial" w:hAnsi="Arial" w:cs="Arial"/>
                <w:b/>
                <w:sz w:val="16"/>
                <w:szCs w:val="16"/>
              </w:rPr>
              <w:t>-6 800</w:t>
            </w:r>
          </w:p>
        </w:tc>
      </w:tr>
      <w:tr w:rsidR="00BD22F4" w:rsidRPr="00F06708" w:rsidTr="006D578F">
        <w:trPr>
          <w:trHeight w:val="218"/>
        </w:trPr>
        <w:tc>
          <w:tcPr>
            <w:tcW w:w="3640" w:type="dxa"/>
            <w:tcBorders>
              <w:top w:val="nil"/>
              <w:left w:val="nil"/>
              <w:bottom w:val="nil"/>
              <w:right w:val="nil"/>
            </w:tcBorders>
            <w:shd w:val="clear" w:color="auto" w:fill="auto"/>
            <w:vAlign w:val="bottom"/>
            <w:hideMark/>
          </w:tcPr>
          <w:p w:rsidR="00BD22F4" w:rsidRPr="00F06708" w:rsidRDefault="00BD22F4" w:rsidP="006D578F">
            <w:pPr>
              <w:rPr>
                <w:rFonts w:ascii="Arial" w:hAnsi="Arial" w:cs="Arial"/>
                <w:sz w:val="16"/>
                <w:szCs w:val="16"/>
              </w:rPr>
            </w:pPr>
            <w:r w:rsidRPr="00F06708">
              <w:rPr>
                <w:rFonts w:ascii="Arial" w:hAnsi="Arial" w:cs="Arial"/>
                <w:sz w:val="16"/>
                <w:szCs w:val="16"/>
              </w:rPr>
              <w:t xml:space="preserve">Podatek dochodowy </w:t>
            </w: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sz w:val="16"/>
                <w:szCs w:val="16"/>
              </w:rPr>
            </w:pPr>
            <w:r w:rsidRPr="00F06708">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sz w:val="16"/>
                <w:szCs w:val="16"/>
              </w:rPr>
            </w:pPr>
            <w:r w:rsidRPr="00F06708">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sz w:val="16"/>
                <w:szCs w:val="16"/>
              </w:rPr>
            </w:pPr>
            <w:r w:rsidRPr="00F06708">
              <w:rPr>
                <w:rFonts w:ascii="Arial" w:hAnsi="Arial" w:cs="Arial"/>
                <w:sz w:val="16"/>
                <w:szCs w:val="16"/>
              </w:rPr>
              <w:t>-31</w:t>
            </w: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sz w:val="16"/>
                <w:szCs w:val="16"/>
              </w:rPr>
            </w:pPr>
            <w:r w:rsidRPr="00F06708">
              <w:rPr>
                <w:rFonts w:ascii="Arial" w:hAnsi="Arial" w:cs="Arial"/>
                <w:sz w:val="16"/>
                <w:szCs w:val="16"/>
              </w:rPr>
              <w:t>-31</w:t>
            </w:r>
          </w:p>
        </w:tc>
      </w:tr>
      <w:tr w:rsidR="00BD22F4" w:rsidRPr="00F06708" w:rsidTr="006D578F">
        <w:trPr>
          <w:trHeight w:val="80"/>
        </w:trPr>
        <w:tc>
          <w:tcPr>
            <w:tcW w:w="3640" w:type="dxa"/>
            <w:tcBorders>
              <w:top w:val="nil"/>
              <w:left w:val="nil"/>
              <w:bottom w:val="nil"/>
              <w:right w:val="nil"/>
            </w:tcBorders>
            <w:shd w:val="clear" w:color="auto" w:fill="auto"/>
            <w:vAlign w:val="bottom"/>
            <w:hideMark/>
          </w:tcPr>
          <w:p w:rsidR="00BD22F4" w:rsidRPr="00F06708" w:rsidRDefault="00BD22F4" w:rsidP="006D578F">
            <w:pPr>
              <w:rPr>
                <w:rFonts w:ascii="Arial" w:hAnsi="Arial" w:cs="Arial"/>
                <w:b/>
                <w:bCs/>
                <w:sz w:val="16"/>
                <w:szCs w:val="16"/>
              </w:rPr>
            </w:pPr>
            <w:r w:rsidRPr="00F06708">
              <w:rPr>
                <w:rFonts w:ascii="Arial" w:hAnsi="Arial" w:cs="Arial"/>
                <w:b/>
                <w:bCs/>
                <w:sz w:val="16"/>
                <w:szCs w:val="16"/>
              </w:rPr>
              <w:t>Zysk netto</w:t>
            </w: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b/>
                <w:sz w:val="16"/>
                <w:szCs w:val="16"/>
              </w:rPr>
            </w:pPr>
            <w:r w:rsidRPr="00F06708">
              <w:rPr>
                <w:rFonts w:ascii="Arial" w:hAnsi="Arial" w:cs="Arial"/>
                <w:b/>
                <w:sz w:val="16"/>
                <w:szCs w:val="16"/>
              </w:rPr>
              <w:t>3 361</w:t>
            </w: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b/>
                <w:sz w:val="16"/>
                <w:szCs w:val="16"/>
              </w:rPr>
            </w:pPr>
            <w:r w:rsidRPr="00F06708">
              <w:rPr>
                <w:rFonts w:ascii="Arial" w:hAnsi="Arial" w:cs="Arial"/>
                <w:b/>
                <w:sz w:val="16"/>
                <w:szCs w:val="16"/>
              </w:rPr>
              <w:t>1 077</w:t>
            </w: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b/>
                <w:sz w:val="16"/>
                <w:szCs w:val="16"/>
              </w:rPr>
            </w:pPr>
            <w:r w:rsidRPr="00F06708">
              <w:rPr>
                <w:rFonts w:ascii="Arial" w:hAnsi="Arial" w:cs="Arial"/>
                <w:b/>
                <w:sz w:val="16"/>
                <w:szCs w:val="16"/>
              </w:rPr>
              <w:t>-11 207</w:t>
            </w:r>
          </w:p>
        </w:tc>
        <w:tc>
          <w:tcPr>
            <w:tcW w:w="1300" w:type="dxa"/>
            <w:tcBorders>
              <w:top w:val="nil"/>
              <w:left w:val="nil"/>
              <w:bottom w:val="nil"/>
              <w:right w:val="nil"/>
            </w:tcBorders>
            <w:shd w:val="clear" w:color="auto" w:fill="auto"/>
            <w:noWrap/>
            <w:vAlign w:val="bottom"/>
            <w:hideMark/>
          </w:tcPr>
          <w:p w:rsidR="00BD22F4" w:rsidRPr="00F06708" w:rsidRDefault="00BD22F4" w:rsidP="006D578F">
            <w:pPr>
              <w:jc w:val="right"/>
              <w:rPr>
                <w:rFonts w:ascii="Arial" w:hAnsi="Arial" w:cs="Arial"/>
                <w:b/>
                <w:sz w:val="16"/>
                <w:szCs w:val="16"/>
              </w:rPr>
            </w:pPr>
            <w:r w:rsidRPr="00F06708">
              <w:rPr>
                <w:rFonts w:ascii="Arial" w:hAnsi="Arial" w:cs="Arial"/>
                <w:b/>
                <w:sz w:val="16"/>
                <w:szCs w:val="16"/>
              </w:rPr>
              <w:t>-6 770</w:t>
            </w:r>
          </w:p>
        </w:tc>
      </w:tr>
    </w:tbl>
    <w:p w:rsidR="00600719" w:rsidRDefault="00600719" w:rsidP="00600719">
      <w:pPr>
        <w:tabs>
          <w:tab w:val="left" w:pos="540"/>
        </w:tabs>
        <w:spacing w:line="260" w:lineRule="exact"/>
        <w:jc w:val="both"/>
        <w:rPr>
          <w:rFonts w:ascii="Arial" w:hAnsi="Arial" w:cs="Arial"/>
          <w:sz w:val="18"/>
          <w:szCs w:val="18"/>
        </w:rPr>
      </w:pPr>
    </w:p>
    <w:p w:rsidR="00600719" w:rsidRPr="00F31D8E" w:rsidRDefault="00600719" w:rsidP="00600719">
      <w:pPr>
        <w:tabs>
          <w:tab w:val="left" w:pos="540"/>
        </w:tabs>
        <w:spacing w:line="260" w:lineRule="exact"/>
        <w:jc w:val="both"/>
        <w:rPr>
          <w:rFonts w:ascii="Arial" w:hAnsi="Arial" w:cs="Arial"/>
          <w:sz w:val="18"/>
          <w:szCs w:val="18"/>
        </w:rPr>
      </w:pPr>
      <w:r w:rsidRPr="00F31D8E">
        <w:rPr>
          <w:rFonts w:ascii="Arial" w:hAnsi="Arial" w:cs="Arial"/>
          <w:sz w:val="18"/>
          <w:szCs w:val="18"/>
        </w:rPr>
        <w:t>W grupie pozostałych segmentów nie występuje taki, z którego sprzedaż jest wyższa niż 10% łącznej sprzedaży Spółki.</w:t>
      </w:r>
    </w:p>
    <w:p w:rsidR="00600719" w:rsidRDefault="00600719" w:rsidP="00600719">
      <w:pPr>
        <w:tabs>
          <w:tab w:val="left" w:pos="540"/>
        </w:tabs>
        <w:spacing w:line="260" w:lineRule="exact"/>
        <w:jc w:val="both"/>
        <w:rPr>
          <w:rFonts w:ascii="Arial" w:hAnsi="Arial" w:cs="Arial"/>
          <w:sz w:val="18"/>
          <w:szCs w:val="18"/>
        </w:rPr>
      </w:pPr>
      <w:r w:rsidRPr="00F31D8E">
        <w:rPr>
          <w:rFonts w:ascii="Arial" w:hAnsi="Arial" w:cs="Arial"/>
          <w:sz w:val="18"/>
          <w:szCs w:val="18"/>
        </w:rPr>
        <w:t>Główny decydent nie dokonuje przeglądu aktywów i zobowiązań dla poszczególnych segmentów, a jedynie dla Spółki łącznie.</w:t>
      </w:r>
    </w:p>
    <w:p w:rsidR="00600719" w:rsidRDefault="00600719" w:rsidP="00600719">
      <w:pPr>
        <w:tabs>
          <w:tab w:val="left" w:pos="540"/>
        </w:tabs>
        <w:spacing w:line="260" w:lineRule="exact"/>
        <w:jc w:val="both"/>
        <w:rPr>
          <w:rFonts w:ascii="Arial" w:hAnsi="Arial" w:cs="Arial"/>
          <w:b/>
          <w:sz w:val="18"/>
          <w:szCs w:val="18"/>
        </w:rPr>
      </w:pPr>
    </w:p>
    <w:p w:rsidR="00600719" w:rsidRPr="00F31D8E" w:rsidRDefault="00600719" w:rsidP="00600719">
      <w:pPr>
        <w:tabs>
          <w:tab w:val="left" w:pos="540"/>
        </w:tabs>
        <w:spacing w:line="260" w:lineRule="exact"/>
        <w:jc w:val="both"/>
        <w:rPr>
          <w:rFonts w:ascii="Arial" w:hAnsi="Arial" w:cs="Arial"/>
          <w:b/>
          <w:sz w:val="18"/>
          <w:szCs w:val="18"/>
        </w:rPr>
      </w:pPr>
      <w:r>
        <w:rPr>
          <w:rFonts w:ascii="Arial" w:hAnsi="Arial" w:cs="Arial"/>
          <w:b/>
          <w:sz w:val="18"/>
          <w:szCs w:val="18"/>
        </w:rPr>
        <w:t>IX</w:t>
      </w:r>
      <w:r w:rsidRPr="00F31D8E">
        <w:rPr>
          <w:rFonts w:ascii="Arial" w:hAnsi="Arial" w:cs="Arial"/>
          <w:b/>
          <w:sz w:val="18"/>
          <w:szCs w:val="18"/>
        </w:rPr>
        <w:t xml:space="preserve">. Zdarzenia po dniu bilansowym. </w:t>
      </w:r>
    </w:p>
    <w:p w:rsidR="00600719" w:rsidRPr="000E0157" w:rsidRDefault="00600719" w:rsidP="00600719">
      <w:pPr>
        <w:tabs>
          <w:tab w:val="left" w:pos="540"/>
        </w:tabs>
        <w:spacing w:line="260" w:lineRule="exact"/>
        <w:jc w:val="both"/>
        <w:rPr>
          <w:rFonts w:ascii="Arial" w:hAnsi="Arial" w:cs="Arial"/>
          <w:sz w:val="18"/>
          <w:szCs w:val="18"/>
        </w:rPr>
      </w:pPr>
    </w:p>
    <w:p w:rsidR="00600719" w:rsidRPr="003C0E18" w:rsidRDefault="00600719" w:rsidP="00600719">
      <w:pPr>
        <w:tabs>
          <w:tab w:val="left" w:pos="540"/>
        </w:tabs>
        <w:spacing w:line="260" w:lineRule="exact"/>
        <w:jc w:val="both"/>
        <w:rPr>
          <w:rFonts w:ascii="Arial" w:hAnsi="Arial" w:cs="Arial"/>
          <w:sz w:val="18"/>
          <w:szCs w:val="18"/>
        </w:rPr>
      </w:pPr>
      <w:r w:rsidRPr="003C0E18">
        <w:rPr>
          <w:rFonts w:ascii="Arial" w:hAnsi="Arial" w:cs="Arial"/>
          <w:sz w:val="18"/>
          <w:szCs w:val="18"/>
        </w:rPr>
        <w:t xml:space="preserve">Po dniu, na który sporządzono sprawozdania finansowe, nie wystąpiły zdarzenia, które nie zostały ujęte </w:t>
      </w:r>
      <w:r w:rsidRPr="003C0E18">
        <w:rPr>
          <w:rFonts w:ascii="Arial" w:hAnsi="Arial" w:cs="Arial"/>
          <w:sz w:val="18"/>
          <w:szCs w:val="18"/>
        </w:rPr>
        <w:br/>
        <w:t>w</w:t>
      </w:r>
      <w:r w:rsidR="006D578F">
        <w:rPr>
          <w:rFonts w:ascii="Arial" w:hAnsi="Arial" w:cs="Arial"/>
          <w:sz w:val="18"/>
          <w:szCs w:val="18"/>
        </w:rPr>
        <w:t xml:space="preserve"> skróconym sprawozdaniu, a mogłyby </w:t>
      </w:r>
      <w:r w:rsidRPr="003C0E18">
        <w:rPr>
          <w:rFonts w:ascii="Arial" w:hAnsi="Arial" w:cs="Arial"/>
          <w:sz w:val="18"/>
          <w:szCs w:val="18"/>
        </w:rPr>
        <w:t>w znaczący sposób wpłynąć na wyniki finansowe Spółki.</w:t>
      </w:r>
    </w:p>
    <w:p w:rsidR="00600719" w:rsidRDefault="00600719" w:rsidP="00600719">
      <w:pPr>
        <w:rPr>
          <w:rFonts w:ascii="Arial" w:hAnsi="Arial" w:cs="Arial"/>
          <w:b/>
          <w:sz w:val="18"/>
          <w:szCs w:val="18"/>
        </w:rPr>
      </w:pPr>
    </w:p>
    <w:p w:rsidR="00600719" w:rsidRPr="00F31D8E" w:rsidRDefault="00600719" w:rsidP="00600719">
      <w:pPr>
        <w:tabs>
          <w:tab w:val="left" w:pos="540"/>
        </w:tabs>
        <w:spacing w:line="260" w:lineRule="exact"/>
        <w:jc w:val="both"/>
        <w:rPr>
          <w:rFonts w:ascii="Arial" w:hAnsi="Arial" w:cs="Arial"/>
          <w:b/>
          <w:sz w:val="18"/>
          <w:szCs w:val="18"/>
        </w:rPr>
      </w:pPr>
      <w:r w:rsidRPr="00F31D8E">
        <w:rPr>
          <w:rFonts w:ascii="Arial" w:hAnsi="Arial" w:cs="Arial"/>
          <w:b/>
          <w:sz w:val="18"/>
          <w:szCs w:val="18"/>
        </w:rPr>
        <w:t>X. Wskazanie skutków zmian w strukturze Organizacji, w tym w wyniku połączenia jednostek gospodarczych, przejęcia lub sprzedaży jednostek, inwestycji długoterminowych, podziału, restrukturyzacji i zaniechania działalności.</w:t>
      </w:r>
    </w:p>
    <w:p w:rsidR="00600719" w:rsidRPr="00F31D8E" w:rsidRDefault="00600719" w:rsidP="00600719">
      <w:pPr>
        <w:tabs>
          <w:tab w:val="left" w:pos="540"/>
        </w:tabs>
        <w:spacing w:line="260" w:lineRule="exact"/>
        <w:jc w:val="both"/>
        <w:rPr>
          <w:rFonts w:ascii="Arial" w:hAnsi="Arial" w:cs="Arial"/>
          <w:sz w:val="18"/>
          <w:szCs w:val="18"/>
        </w:rPr>
      </w:pPr>
    </w:p>
    <w:p w:rsidR="00600719" w:rsidRPr="00661ED4" w:rsidRDefault="00600719" w:rsidP="00600719">
      <w:pPr>
        <w:tabs>
          <w:tab w:val="left" w:pos="540"/>
        </w:tabs>
        <w:spacing w:line="260" w:lineRule="exact"/>
        <w:jc w:val="both"/>
        <w:rPr>
          <w:rFonts w:ascii="Arial" w:hAnsi="Arial" w:cs="Arial"/>
          <w:sz w:val="18"/>
          <w:szCs w:val="18"/>
        </w:rPr>
      </w:pPr>
      <w:r w:rsidRPr="00661ED4">
        <w:rPr>
          <w:rFonts w:ascii="Arial" w:hAnsi="Arial" w:cs="Arial"/>
          <w:sz w:val="18"/>
          <w:szCs w:val="18"/>
        </w:rPr>
        <w:t>W prezentowanym okresie sprawozdawczym nie nastąpiły zmiany w strukturze Organizacji w wyniku połączenia jednostek gospodarczych, przejęcia lub sprzedaży jednostek, inwestycji długoterminowych, podziału, restrukturyzacji i zaniechania działalności.</w:t>
      </w:r>
    </w:p>
    <w:p w:rsidR="00600719" w:rsidRPr="006E6901" w:rsidRDefault="00600719" w:rsidP="00600719">
      <w:pPr>
        <w:rPr>
          <w:rFonts w:ascii="Arial" w:hAnsi="Arial" w:cs="Arial"/>
          <w:sz w:val="18"/>
          <w:szCs w:val="18"/>
        </w:rPr>
      </w:pPr>
    </w:p>
    <w:p w:rsidR="00600719" w:rsidRPr="00F31D8E" w:rsidRDefault="00600719" w:rsidP="00600719">
      <w:pPr>
        <w:tabs>
          <w:tab w:val="left" w:pos="540"/>
        </w:tabs>
        <w:spacing w:line="260" w:lineRule="exact"/>
        <w:jc w:val="both"/>
        <w:rPr>
          <w:rFonts w:ascii="Arial" w:hAnsi="Arial" w:cs="Arial"/>
          <w:b/>
          <w:sz w:val="18"/>
          <w:szCs w:val="18"/>
        </w:rPr>
      </w:pPr>
      <w:r w:rsidRPr="00F31D8E">
        <w:rPr>
          <w:rFonts w:ascii="Arial" w:hAnsi="Arial" w:cs="Arial"/>
          <w:b/>
          <w:sz w:val="18"/>
          <w:szCs w:val="18"/>
        </w:rPr>
        <w:t>X</w:t>
      </w:r>
      <w:r>
        <w:rPr>
          <w:rFonts w:ascii="Arial" w:hAnsi="Arial" w:cs="Arial"/>
          <w:b/>
          <w:sz w:val="18"/>
          <w:szCs w:val="18"/>
        </w:rPr>
        <w:t>I</w:t>
      </w:r>
      <w:r w:rsidRPr="00F31D8E">
        <w:rPr>
          <w:rFonts w:ascii="Arial" w:hAnsi="Arial" w:cs="Arial"/>
          <w:b/>
          <w:sz w:val="18"/>
          <w:szCs w:val="18"/>
        </w:rPr>
        <w:t>. Informacje dotyczące zmian zobowiązań warunkowych lub aktywów warunkowych, które nastąpiły od czasu zakończenia ostatniego roku bilansowego.</w:t>
      </w:r>
    </w:p>
    <w:p w:rsidR="00600719" w:rsidRPr="00F31D8E" w:rsidRDefault="00600719" w:rsidP="00600719">
      <w:pPr>
        <w:tabs>
          <w:tab w:val="left" w:pos="540"/>
        </w:tabs>
        <w:spacing w:line="260" w:lineRule="exact"/>
        <w:jc w:val="both"/>
        <w:rPr>
          <w:rFonts w:ascii="Arial" w:hAnsi="Arial" w:cs="Arial"/>
          <w:sz w:val="18"/>
          <w:szCs w:val="18"/>
        </w:rPr>
      </w:pPr>
    </w:p>
    <w:p w:rsidR="00600719" w:rsidRDefault="00600719" w:rsidP="00600719">
      <w:pPr>
        <w:tabs>
          <w:tab w:val="left" w:pos="540"/>
        </w:tabs>
        <w:spacing w:line="260" w:lineRule="exact"/>
        <w:jc w:val="both"/>
        <w:rPr>
          <w:rFonts w:ascii="Arial" w:hAnsi="Arial" w:cs="Arial"/>
          <w:sz w:val="18"/>
          <w:szCs w:val="18"/>
        </w:rPr>
      </w:pPr>
      <w:r w:rsidRPr="00AC2108">
        <w:rPr>
          <w:rFonts w:ascii="Arial" w:hAnsi="Arial" w:cs="Arial"/>
          <w:sz w:val="18"/>
          <w:szCs w:val="18"/>
        </w:rPr>
        <w:t xml:space="preserve">Na koniec okresu sprawozdawczego dokonano szacunków aktywów i zobowiązań warunkowych, które ujęto </w:t>
      </w:r>
      <w:r w:rsidRPr="00AC2108">
        <w:rPr>
          <w:rFonts w:ascii="Arial" w:hAnsi="Arial" w:cs="Arial"/>
          <w:sz w:val="18"/>
          <w:szCs w:val="18"/>
        </w:rPr>
        <w:br/>
        <w:t>w księgach pozabilansowych.</w:t>
      </w:r>
    </w:p>
    <w:tbl>
      <w:tblPr>
        <w:tblW w:w="8081" w:type="dxa"/>
        <w:tblInd w:w="55" w:type="dxa"/>
        <w:tblCellMar>
          <w:left w:w="0" w:type="dxa"/>
          <w:right w:w="0" w:type="dxa"/>
        </w:tblCellMar>
        <w:tblLook w:val="04A0" w:firstRow="1" w:lastRow="0" w:firstColumn="1" w:lastColumn="0" w:noHBand="0" w:noVBand="1"/>
      </w:tblPr>
      <w:tblGrid>
        <w:gridCol w:w="360"/>
        <w:gridCol w:w="4050"/>
        <w:gridCol w:w="2551"/>
        <w:gridCol w:w="1120"/>
      </w:tblGrid>
      <w:tr w:rsidR="00600719" w:rsidRPr="00F06708" w:rsidTr="006D578F">
        <w:trPr>
          <w:trHeight w:val="247"/>
        </w:trPr>
        <w:tc>
          <w:tcPr>
            <w:tcW w:w="360" w:type="dxa"/>
            <w:noWrap/>
            <w:tcMar>
              <w:top w:w="0" w:type="dxa"/>
              <w:left w:w="70" w:type="dxa"/>
              <w:bottom w:w="0" w:type="dxa"/>
              <w:right w:w="70" w:type="dxa"/>
            </w:tcMar>
            <w:vAlign w:val="bottom"/>
            <w:hideMark/>
          </w:tcPr>
          <w:p w:rsidR="00600719" w:rsidRPr="00F06708" w:rsidRDefault="00600719" w:rsidP="006D578F">
            <w:pPr>
              <w:rPr>
                <w:rFonts w:ascii="Arial" w:hAnsi="Arial" w:cs="Arial"/>
                <w:sz w:val="16"/>
                <w:szCs w:val="16"/>
              </w:rPr>
            </w:pPr>
          </w:p>
        </w:tc>
        <w:tc>
          <w:tcPr>
            <w:tcW w:w="4050" w:type="dxa"/>
            <w:noWrap/>
            <w:tcMar>
              <w:top w:w="0" w:type="dxa"/>
              <w:left w:w="70" w:type="dxa"/>
              <w:bottom w:w="0" w:type="dxa"/>
              <w:right w:w="70" w:type="dxa"/>
            </w:tcMar>
            <w:vAlign w:val="bottom"/>
            <w:hideMark/>
          </w:tcPr>
          <w:p w:rsidR="00600719" w:rsidRPr="00F06708" w:rsidRDefault="00600719" w:rsidP="006D578F">
            <w:pPr>
              <w:rPr>
                <w:rFonts w:ascii="Arial" w:hAnsi="Arial" w:cs="Arial"/>
                <w:sz w:val="16"/>
                <w:szCs w:val="16"/>
              </w:rPr>
            </w:pPr>
          </w:p>
        </w:tc>
        <w:tc>
          <w:tcPr>
            <w:tcW w:w="2551" w:type="dxa"/>
            <w:tcMar>
              <w:top w:w="0" w:type="dxa"/>
              <w:left w:w="70" w:type="dxa"/>
              <w:bottom w:w="0" w:type="dxa"/>
              <w:right w:w="70" w:type="dxa"/>
            </w:tcMar>
            <w:vAlign w:val="center"/>
            <w:hideMark/>
          </w:tcPr>
          <w:p w:rsidR="00600719" w:rsidRPr="00F06708" w:rsidRDefault="00600719" w:rsidP="006D578F">
            <w:pPr>
              <w:jc w:val="center"/>
              <w:rPr>
                <w:rFonts w:ascii="Arial" w:eastAsiaTheme="minorHAnsi" w:hAnsi="Arial" w:cs="Arial"/>
                <w:b/>
                <w:bCs/>
                <w:sz w:val="16"/>
                <w:szCs w:val="16"/>
                <w:lang w:eastAsia="en-US"/>
              </w:rPr>
            </w:pPr>
            <w:r w:rsidRPr="00F06708">
              <w:rPr>
                <w:rFonts w:ascii="Arial" w:hAnsi="Arial" w:cs="Arial"/>
                <w:b/>
                <w:bCs/>
                <w:sz w:val="16"/>
                <w:szCs w:val="16"/>
              </w:rPr>
              <w:t>Należności / Zobowiązania</w:t>
            </w:r>
          </w:p>
        </w:tc>
        <w:tc>
          <w:tcPr>
            <w:tcW w:w="1120" w:type="dxa"/>
            <w:tcMar>
              <w:top w:w="0" w:type="dxa"/>
              <w:left w:w="70" w:type="dxa"/>
              <w:bottom w:w="0" w:type="dxa"/>
              <w:right w:w="70" w:type="dxa"/>
            </w:tcMar>
            <w:vAlign w:val="center"/>
            <w:hideMark/>
          </w:tcPr>
          <w:p w:rsidR="00600719" w:rsidRPr="00F06708" w:rsidRDefault="00600719" w:rsidP="006D578F">
            <w:pPr>
              <w:jc w:val="center"/>
              <w:rPr>
                <w:rFonts w:ascii="Arial" w:eastAsiaTheme="minorHAnsi" w:hAnsi="Arial" w:cs="Arial"/>
                <w:b/>
                <w:bCs/>
                <w:sz w:val="16"/>
                <w:szCs w:val="16"/>
                <w:lang w:eastAsia="en-US"/>
              </w:rPr>
            </w:pPr>
            <w:r w:rsidRPr="00F06708">
              <w:rPr>
                <w:rFonts w:ascii="Arial" w:hAnsi="Arial" w:cs="Arial"/>
                <w:b/>
                <w:bCs/>
                <w:sz w:val="16"/>
                <w:szCs w:val="16"/>
              </w:rPr>
              <w:t>Zmiana</w:t>
            </w:r>
          </w:p>
        </w:tc>
      </w:tr>
      <w:tr w:rsidR="00600719" w:rsidRPr="00F06708" w:rsidTr="006D578F">
        <w:trPr>
          <w:trHeight w:val="88"/>
        </w:trPr>
        <w:tc>
          <w:tcPr>
            <w:tcW w:w="360" w:type="dxa"/>
            <w:noWrap/>
            <w:tcMar>
              <w:top w:w="0" w:type="dxa"/>
              <w:left w:w="70" w:type="dxa"/>
              <w:bottom w:w="0" w:type="dxa"/>
              <w:right w:w="70" w:type="dxa"/>
            </w:tcMar>
            <w:vAlign w:val="center"/>
            <w:hideMark/>
          </w:tcPr>
          <w:p w:rsidR="00600719" w:rsidRPr="00F06708" w:rsidRDefault="00600719" w:rsidP="006D578F">
            <w:pPr>
              <w:rPr>
                <w:rFonts w:ascii="Arial" w:eastAsiaTheme="minorHAnsi" w:hAnsi="Arial" w:cs="Arial"/>
                <w:b/>
                <w:bCs/>
                <w:sz w:val="16"/>
                <w:szCs w:val="16"/>
                <w:lang w:eastAsia="en-US"/>
              </w:rPr>
            </w:pPr>
            <w:r w:rsidRPr="00F06708">
              <w:rPr>
                <w:rFonts w:ascii="Arial" w:hAnsi="Arial" w:cs="Arial"/>
                <w:b/>
                <w:bCs/>
                <w:sz w:val="16"/>
                <w:szCs w:val="16"/>
              </w:rPr>
              <w:t>1.</w:t>
            </w:r>
          </w:p>
        </w:tc>
        <w:tc>
          <w:tcPr>
            <w:tcW w:w="4050" w:type="dxa"/>
            <w:tcMar>
              <w:top w:w="0" w:type="dxa"/>
              <w:left w:w="70" w:type="dxa"/>
              <w:bottom w:w="0" w:type="dxa"/>
              <w:right w:w="70" w:type="dxa"/>
            </w:tcMar>
            <w:vAlign w:val="center"/>
            <w:hideMark/>
          </w:tcPr>
          <w:p w:rsidR="00600719" w:rsidRPr="00F06708" w:rsidRDefault="00600719" w:rsidP="006D578F">
            <w:pPr>
              <w:rPr>
                <w:rFonts w:ascii="Arial" w:eastAsiaTheme="minorHAnsi" w:hAnsi="Arial" w:cs="Arial"/>
                <w:b/>
                <w:bCs/>
                <w:sz w:val="16"/>
                <w:szCs w:val="16"/>
                <w:lang w:eastAsia="en-US"/>
              </w:rPr>
            </w:pPr>
            <w:r w:rsidRPr="00F06708">
              <w:rPr>
                <w:rFonts w:ascii="Arial" w:hAnsi="Arial" w:cs="Arial"/>
                <w:b/>
                <w:bCs/>
                <w:sz w:val="16"/>
                <w:szCs w:val="16"/>
              </w:rPr>
              <w:t>Należności warunkowe</w:t>
            </w:r>
          </w:p>
        </w:tc>
        <w:tc>
          <w:tcPr>
            <w:tcW w:w="2551" w:type="dxa"/>
            <w:noWrap/>
            <w:tcMar>
              <w:top w:w="0" w:type="dxa"/>
              <w:left w:w="70" w:type="dxa"/>
              <w:bottom w:w="0" w:type="dxa"/>
              <w:right w:w="70" w:type="dxa"/>
            </w:tcMar>
            <w:vAlign w:val="center"/>
          </w:tcPr>
          <w:p w:rsidR="00600719" w:rsidRPr="00F06708" w:rsidRDefault="00600719" w:rsidP="006D578F">
            <w:pPr>
              <w:jc w:val="center"/>
              <w:rPr>
                <w:rFonts w:ascii="Arial" w:eastAsiaTheme="minorHAnsi" w:hAnsi="Arial" w:cs="Arial"/>
                <w:b/>
                <w:bCs/>
                <w:sz w:val="16"/>
                <w:szCs w:val="16"/>
                <w:lang w:eastAsia="en-US"/>
              </w:rPr>
            </w:pPr>
            <w:r w:rsidRPr="00F06708">
              <w:rPr>
                <w:rFonts w:ascii="Arial" w:eastAsiaTheme="minorHAnsi" w:hAnsi="Arial" w:cs="Arial"/>
                <w:b/>
                <w:bCs/>
                <w:sz w:val="16"/>
                <w:szCs w:val="16"/>
                <w:lang w:eastAsia="en-US"/>
              </w:rPr>
              <w:t>1 001</w:t>
            </w:r>
          </w:p>
        </w:tc>
        <w:tc>
          <w:tcPr>
            <w:tcW w:w="1120" w:type="dxa"/>
            <w:noWrap/>
            <w:tcMar>
              <w:top w:w="0" w:type="dxa"/>
              <w:left w:w="70" w:type="dxa"/>
              <w:bottom w:w="0" w:type="dxa"/>
              <w:right w:w="70" w:type="dxa"/>
            </w:tcMar>
            <w:vAlign w:val="center"/>
            <w:hideMark/>
          </w:tcPr>
          <w:p w:rsidR="00600719" w:rsidRPr="00F06708" w:rsidRDefault="00600719" w:rsidP="006D578F">
            <w:pPr>
              <w:jc w:val="center"/>
              <w:rPr>
                <w:rFonts w:ascii="Arial" w:eastAsiaTheme="minorHAnsi" w:hAnsi="Arial" w:cs="Arial"/>
                <w:b/>
                <w:bCs/>
                <w:sz w:val="16"/>
                <w:szCs w:val="16"/>
                <w:lang w:eastAsia="en-US"/>
              </w:rPr>
            </w:pPr>
            <w:r w:rsidRPr="00F06708">
              <w:rPr>
                <w:rFonts w:ascii="Arial" w:eastAsiaTheme="minorHAnsi" w:hAnsi="Arial" w:cs="Arial"/>
                <w:b/>
                <w:bCs/>
                <w:sz w:val="16"/>
                <w:szCs w:val="16"/>
                <w:lang w:eastAsia="en-US"/>
              </w:rPr>
              <w:t>-1 712</w:t>
            </w:r>
          </w:p>
        </w:tc>
      </w:tr>
      <w:tr w:rsidR="00600719" w:rsidRPr="00F06708" w:rsidTr="006D578F">
        <w:trPr>
          <w:trHeight w:val="300"/>
        </w:trPr>
        <w:tc>
          <w:tcPr>
            <w:tcW w:w="360" w:type="dxa"/>
            <w:noWrap/>
            <w:tcMar>
              <w:top w:w="0" w:type="dxa"/>
              <w:left w:w="70" w:type="dxa"/>
              <w:bottom w:w="0" w:type="dxa"/>
              <w:right w:w="70" w:type="dxa"/>
            </w:tcMar>
            <w:vAlign w:val="center"/>
            <w:hideMark/>
          </w:tcPr>
          <w:p w:rsidR="00600719" w:rsidRPr="00F06708" w:rsidRDefault="00600719" w:rsidP="006D578F">
            <w:pPr>
              <w:jc w:val="right"/>
              <w:rPr>
                <w:rFonts w:ascii="Arial" w:eastAsiaTheme="minorHAnsi" w:hAnsi="Arial" w:cs="Arial"/>
                <w:sz w:val="16"/>
                <w:szCs w:val="16"/>
                <w:lang w:eastAsia="en-US"/>
              </w:rPr>
            </w:pPr>
            <w:r w:rsidRPr="00F06708">
              <w:rPr>
                <w:rFonts w:ascii="Arial" w:hAnsi="Arial" w:cs="Arial"/>
                <w:sz w:val="16"/>
                <w:szCs w:val="16"/>
              </w:rPr>
              <w:t>-</w:t>
            </w:r>
          </w:p>
        </w:tc>
        <w:tc>
          <w:tcPr>
            <w:tcW w:w="4050" w:type="dxa"/>
            <w:tcMar>
              <w:top w:w="0" w:type="dxa"/>
              <w:left w:w="70" w:type="dxa"/>
              <w:bottom w:w="0" w:type="dxa"/>
              <w:right w:w="70" w:type="dxa"/>
            </w:tcMar>
            <w:vAlign w:val="center"/>
            <w:hideMark/>
          </w:tcPr>
          <w:p w:rsidR="00600719" w:rsidRPr="00F06708" w:rsidRDefault="00600719" w:rsidP="006D578F">
            <w:pPr>
              <w:rPr>
                <w:rFonts w:ascii="Arial" w:eastAsiaTheme="minorHAnsi" w:hAnsi="Arial" w:cs="Arial"/>
                <w:sz w:val="16"/>
                <w:szCs w:val="16"/>
                <w:lang w:eastAsia="en-US"/>
              </w:rPr>
            </w:pPr>
            <w:r w:rsidRPr="00F06708">
              <w:rPr>
                <w:rFonts w:ascii="Arial" w:hAnsi="Arial" w:cs="Arial"/>
                <w:sz w:val="16"/>
                <w:szCs w:val="16"/>
              </w:rPr>
              <w:t xml:space="preserve">otrzymane gwarancje </w:t>
            </w:r>
          </w:p>
        </w:tc>
        <w:tc>
          <w:tcPr>
            <w:tcW w:w="2551" w:type="dxa"/>
            <w:noWrap/>
            <w:tcMar>
              <w:top w:w="0" w:type="dxa"/>
              <w:left w:w="70" w:type="dxa"/>
              <w:bottom w:w="0" w:type="dxa"/>
              <w:right w:w="70" w:type="dxa"/>
            </w:tcMar>
            <w:vAlign w:val="center"/>
            <w:hideMark/>
          </w:tcPr>
          <w:p w:rsidR="00600719" w:rsidRPr="00F06708" w:rsidRDefault="00600719" w:rsidP="006D578F">
            <w:pPr>
              <w:jc w:val="center"/>
              <w:rPr>
                <w:rFonts w:ascii="Arial" w:eastAsiaTheme="minorHAnsi" w:hAnsi="Arial" w:cs="Arial"/>
                <w:sz w:val="16"/>
                <w:szCs w:val="16"/>
                <w:lang w:eastAsia="en-US"/>
              </w:rPr>
            </w:pPr>
            <w:r w:rsidRPr="00F06708">
              <w:rPr>
                <w:rFonts w:ascii="Arial" w:eastAsiaTheme="minorHAnsi" w:hAnsi="Arial" w:cs="Arial"/>
                <w:sz w:val="16"/>
                <w:szCs w:val="16"/>
                <w:lang w:eastAsia="en-US"/>
              </w:rPr>
              <w:t>1 001</w:t>
            </w:r>
          </w:p>
        </w:tc>
        <w:tc>
          <w:tcPr>
            <w:tcW w:w="1120" w:type="dxa"/>
            <w:noWrap/>
            <w:tcMar>
              <w:top w:w="0" w:type="dxa"/>
              <w:left w:w="70" w:type="dxa"/>
              <w:bottom w:w="0" w:type="dxa"/>
              <w:right w:w="70" w:type="dxa"/>
            </w:tcMar>
            <w:vAlign w:val="center"/>
            <w:hideMark/>
          </w:tcPr>
          <w:p w:rsidR="00600719" w:rsidRPr="00F06708" w:rsidRDefault="00600719" w:rsidP="006D578F">
            <w:pPr>
              <w:jc w:val="center"/>
              <w:rPr>
                <w:rFonts w:ascii="Arial" w:eastAsiaTheme="minorHAnsi" w:hAnsi="Arial" w:cs="Arial"/>
                <w:sz w:val="16"/>
                <w:szCs w:val="16"/>
                <w:lang w:eastAsia="en-US"/>
              </w:rPr>
            </w:pPr>
            <w:r w:rsidRPr="00F06708">
              <w:rPr>
                <w:rFonts w:ascii="Arial" w:eastAsiaTheme="minorHAnsi" w:hAnsi="Arial" w:cs="Arial"/>
                <w:sz w:val="16"/>
                <w:szCs w:val="16"/>
                <w:lang w:eastAsia="en-US"/>
              </w:rPr>
              <w:t>-1 712</w:t>
            </w:r>
          </w:p>
        </w:tc>
      </w:tr>
      <w:tr w:rsidR="00600719" w:rsidRPr="00F06708" w:rsidTr="006D578F">
        <w:trPr>
          <w:trHeight w:val="300"/>
        </w:trPr>
        <w:tc>
          <w:tcPr>
            <w:tcW w:w="360" w:type="dxa"/>
            <w:noWrap/>
            <w:tcMar>
              <w:top w:w="0" w:type="dxa"/>
              <w:left w:w="70" w:type="dxa"/>
              <w:bottom w:w="0" w:type="dxa"/>
              <w:right w:w="70" w:type="dxa"/>
            </w:tcMar>
            <w:vAlign w:val="center"/>
            <w:hideMark/>
          </w:tcPr>
          <w:p w:rsidR="00600719" w:rsidRPr="00F06708" w:rsidRDefault="00600719" w:rsidP="006D578F">
            <w:pPr>
              <w:jc w:val="right"/>
              <w:rPr>
                <w:rFonts w:ascii="Arial" w:eastAsiaTheme="minorHAnsi" w:hAnsi="Arial" w:cs="Arial"/>
                <w:sz w:val="16"/>
                <w:szCs w:val="16"/>
                <w:lang w:eastAsia="en-US"/>
              </w:rPr>
            </w:pPr>
            <w:r w:rsidRPr="00F06708">
              <w:rPr>
                <w:rFonts w:ascii="Arial" w:hAnsi="Arial" w:cs="Arial"/>
                <w:sz w:val="16"/>
                <w:szCs w:val="16"/>
              </w:rPr>
              <w:t>-</w:t>
            </w:r>
          </w:p>
        </w:tc>
        <w:tc>
          <w:tcPr>
            <w:tcW w:w="4050" w:type="dxa"/>
            <w:tcMar>
              <w:top w:w="0" w:type="dxa"/>
              <w:left w:w="70" w:type="dxa"/>
              <w:bottom w:w="0" w:type="dxa"/>
              <w:right w:w="70" w:type="dxa"/>
            </w:tcMar>
            <w:vAlign w:val="center"/>
            <w:hideMark/>
          </w:tcPr>
          <w:p w:rsidR="00600719" w:rsidRPr="00F06708" w:rsidRDefault="00600719" w:rsidP="006D578F">
            <w:pPr>
              <w:rPr>
                <w:rFonts w:ascii="Arial" w:eastAsiaTheme="minorHAnsi" w:hAnsi="Arial" w:cs="Arial"/>
                <w:sz w:val="16"/>
                <w:szCs w:val="16"/>
                <w:lang w:eastAsia="en-US"/>
              </w:rPr>
            </w:pPr>
            <w:r w:rsidRPr="00F06708">
              <w:rPr>
                <w:rFonts w:ascii="Arial" w:hAnsi="Arial" w:cs="Arial"/>
                <w:sz w:val="16"/>
                <w:szCs w:val="16"/>
              </w:rPr>
              <w:t>kary warunkowe</w:t>
            </w:r>
          </w:p>
        </w:tc>
        <w:tc>
          <w:tcPr>
            <w:tcW w:w="2551" w:type="dxa"/>
            <w:noWrap/>
            <w:tcMar>
              <w:top w:w="0" w:type="dxa"/>
              <w:left w:w="70" w:type="dxa"/>
              <w:bottom w:w="0" w:type="dxa"/>
              <w:right w:w="70" w:type="dxa"/>
            </w:tcMar>
            <w:vAlign w:val="center"/>
            <w:hideMark/>
          </w:tcPr>
          <w:p w:rsidR="00600719" w:rsidRPr="00F06708" w:rsidRDefault="00600719" w:rsidP="006D578F">
            <w:pPr>
              <w:jc w:val="center"/>
              <w:rPr>
                <w:rFonts w:ascii="Arial" w:eastAsiaTheme="minorHAnsi" w:hAnsi="Arial" w:cs="Arial"/>
                <w:sz w:val="16"/>
                <w:szCs w:val="16"/>
                <w:lang w:eastAsia="en-US"/>
              </w:rPr>
            </w:pPr>
            <w:r w:rsidRPr="00F06708">
              <w:rPr>
                <w:rFonts w:ascii="Arial" w:eastAsiaTheme="minorHAnsi" w:hAnsi="Arial" w:cs="Arial"/>
                <w:sz w:val="16"/>
                <w:szCs w:val="16"/>
                <w:lang w:eastAsia="en-US"/>
              </w:rPr>
              <w:t>-</w:t>
            </w:r>
          </w:p>
        </w:tc>
        <w:tc>
          <w:tcPr>
            <w:tcW w:w="1120" w:type="dxa"/>
            <w:noWrap/>
            <w:tcMar>
              <w:top w:w="0" w:type="dxa"/>
              <w:left w:w="70" w:type="dxa"/>
              <w:bottom w:w="0" w:type="dxa"/>
              <w:right w:w="70" w:type="dxa"/>
            </w:tcMar>
            <w:vAlign w:val="center"/>
            <w:hideMark/>
          </w:tcPr>
          <w:p w:rsidR="00600719" w:rsidRPr="00F06708" w:rsidRDefault="00600719" w:rsidP="006D578F">
            <w:pPr>
              <w:jc w:val="center"/>
              <w:rPr>
                <w:rFonts w:ascii="Arial" w:eastAsiaTheme="minorHAnsi" w:hAnsi="Arial" w:cs="Arial"/>
                <w:sz w:val="16"/>
                <w:szCs w:val="16"/>
                <w:lang w:eastAsia="en-US"/>
              </w:rPr>
            </w:pPr>
            <w:r w:rsidRPr="00F06708">
              <w:rPr>
                <w:rFonts w:ascii="Arial" w:eastAsiaTheme="minorHAnsi" w:hAnsi="Arial" w:cs="Arial"/>
                <w:sz w:val="16"/>
                <w:szCs w:val="16"/>
                <w:lang w:eastAsia="en-US"/>
              </w:rPr>
              <w:t>-</w:t>
            </w:r>
          </w:p>
        </w:tc>
      </w:tr>
      <w:tr w:rsidR="00600719" w:rsidRPr="00F06708" w:rsidTr="006D578F">
        <w:trPr>
          <w:trHeight w:val="300"/>
        </w:trPr>
        <w:tc>
          <w:tcPr>
            <w:tcW w:w="360" w:type="dxa"/>
            <w:noWrap/>
            <w:tcMar>
              <w:top w:w="0" w:type="dxa"/>
              <w:left w:w="70" w:type="dxa"/>
              <w:bottom w:w="0" w:type="dxa"/>
              <w:right w:w="70" w:type="dxa"/>
            </w:tcMar>
            <w:vAlign w:val="center"/>
            <w:hideMark/>
          </w:tcPr>
          <w:p w:rsidR="00600719" w:rsidRPr="00F06708" w:rsidRDefault="00600719" w:rsidP="006D578F">
            <w:pPr>
              <w:rPr>
                <w:rFonts w:ascii="Arial" w:eastAsiaTheme="minorHAnsi" w:hAnsi="Arial" w:cs="Arial"/>
                <w:b/>
                <w:bCs/>
                <w:sz w:val="16"/>
                <w:szCs w:val="16"/>
                <w:lang w:eastAsia="en-US"/>
              </w:rPr>
            </w:pPr>
            <w:r w:rsidRPr="00F06708">
              <w:rPr>
                <w:rFonts w:ascii="Arial" w:hAnsi="Arial" w:cs="Arial"/>
                <w:b/>
                <w:bCs/>
                <w:sz w:val="16"/>
                <w:szCs w:val="16"/>
              </w:rPr>
              <w:t>2.</w:t>
            </w:r>
          </w:p>
        </w:tc>
        <w:tc>
          <w:tcPr>
            <w:tcW w:w="4050" w:type="dxa"/>
            <w:tcMar>
              <w:top w:w="0" w:type="dxa"/>
              <w:left w:w="70" w:type="dxa"/>
              <w:bottom w:w="0" w:type="dxa"/>
              <w:right w:w="70" w:type="dxa"/>
            </w:tcMar>
            <w:vAlign w:val="center"/>
            <w:hideMark/>
          </w:tcPr>
          <w:p w:rsidR="00600719" w:rsidRPr="00F06708" w:rsidRDefault="00600719" w:rsidP="006D578F">
            <w:pPr>
              <w:rPr>
                <w:rFonts w:ascii="Arial" w:eastAsiaTheme="minorHAnsi" w:hAnsi="Arial" w:cs="Arial"/>
                <w:b/>
                <w:bCs/>
                <w:sz w:val="16"/>
                <w:szCs w:val="16"/>
                <w:lang w:eastAsia="en-US"/>
              </w:rPr>
            </w:pPr>
            <w:r w:rsidRPr="00F06708">
              <w:rPr>
                <w:rFonts w:ascii="Arial" w:hAnsi="Arial" w:cs="Arial"/>
                <w:b/>
                <w:bCs/>
                <w:sz w:val="16"/>
                <w:szCs w:val="16"/>
              </w:rPr>
              <w:t>Zobowiązania pozabilansowe</w:t>
            </w:r>
          </w:p>
        </w:tc>
        <w:tc>
          <w:tcPr>
            <w:tcW w:w="2551" w:type="dxa"/>
            <w:noWrap/>
            <w:tcMar>
              <w:top w:w="0" w:type="dxa"/>
              <w:left w:w="70" w:type="dxa"/>
              <w:bottom w:w="0" w:type="dxa"/>
              <w:right w:w="70" w:type="dxa"/>
            </w:tcMar>
            <w:vAlign w:val="center"/>
            <w:hideMark/>
          </w:tcPr>
          <w:p w:rsidR="00600719" w:rsidRPr="00F06708" w:rsidRDefault="00600719" w:rsidP="006D578F">
            <w:pPr>
              <w:jc w:val="center"/>
              <w:rPr>
                <w:rFonts w:ascii="Arial" w:eastAsiaTheme="minorHAnsi" w:hAnsi="Arial" w:cs="Arial"/>
                <w:b/>
                <w:bCs/>
                <w:sz w:val="16"/>
                <w:szCs w:val="16"/>
                <w:lang w:eastAsia="en-US"/>
              </w:rPr>
            </w:pPr>
            <w:r w:rsidRPr="00F06708">
              <w:rPr>
                <w:rFonts w:ascii="Arial" w:eastAsiaTheme="minorHAnsi" w:hAnsi="Arial" w:cs="Arial"/>
                <w:b/>
                <w:bCs/>
                <w:sz w:val="16"/>
                <w:szCs w:val="16"/>
                <w:lang w:eastAsia="en-US"/>
              </w:rPr>
              <w:t>201 393</w:t>
            </w:r>
          </w:p>
        </w:tc>
        <w:tc>
          <w:tcPr>
            <w:tcW w:w="1120" w:type="dxa"/>
            <w:noWrap/>
            <w:tcMar>
              <w:top w:w="0" w:type="dxa"/>
              <w:left w:w="70" w:type="dxa"/>
              <w:bottom w:w="0" w:type="dxa"/>
              <w:right w:w="70" w:type="dxa"/>
            </w:tcMar>
            <w:vAlign w:val="center"/>
            <w:hideMark/>
          </w:tcPr>
          <w:p w:rsidR="00600719" w:rsidRPr="00F06708" w:rsidRDefault="00600719" w:rsidP="006D578F">
            <w:pPr>
              <w:jc w:val="center"/>
              <w:rPr>
                <w:rFonts w:ascii="Arial" w:eastAsiaTheme="minorHAnsi" w:hAnsi="Arial" w:cs="Arial"/>
                <w:b/>
                <w:bCs/>
                <w:sz w:val="16"/>
                <w:szCs w:val="16"/>
                <w:lang w:eastAsia="en-US"/>
              </w:rPr>
            </w:pPr>
            <w:r w:rsidRPr="00F06708">
              <w:rPr>
                <w:rFonts w:ascii="Arial" w:eastAsiaTheme="minorHAnsi" w:hAnsi="Arial" w:cs="Arial"/>
                <w:b/>
                <w:bCs/>
                <w:sz w:val="16"/>
                <w:szCs w:val="16"/>
                <w:lang w:eastAsia="en-US"/>
              </w:rPr>
              <w:t>275</w:t>
            </w:r>
          </w:p>
        </w:tc>
      </w:tr>
      <w:tr w:rsidR="00600719" w:rsidRPr="00F06708" w:rsidTr="006D578F">
        <w:trPr>
          <w:trHeight w:val="585"/>
        </w:trPr>
        <w:tc>
          <w:tcPr>
            <w:tcW w:w="360" w:type="dxa"/>
            <w:noWrap/>
            <w:tcMar>
              <w:top w:w="0" w:type="dxa"/>
              <w:left w:w="70" w:type="dxa"/>
              <w:bottom w:w="0" w:type="dxa"/>
              <w:right w:w="70" w:type="dxa"/>
            </w:tcMar>
            <w:vAlign w:val="center"/>
            <w:hideMark/>
          </w:tcPr>
          <w:p w:rsidR="00600719" w:rsidRPr="00F06708" w:rsidRDefault="00600719" w:rsidP="006D578F">
            <w:pPr>
              <w:jc w:val="center"/>
              <w:rPr>
                <w:rFonts w:ascii="Arial" w:eastAsiaTheme="minorHAnsi" w:hAnsi="Arial" w:cs="Arial"/>
                <w:sz w:val="16"/>
                <w:szCs w:val="16"/>
                <w:lang w:eastAsia="en-US"/>
              </w:rPr>
            </w:pPr>
            <w:r w:rsidRPr="00F06708">
              <w:rPr>
                <w:rFonts w:ascii="Arial" w:hAnsi="Arial" w:cs="Arial"/>
                <w:sz w:val="16"/>
                <w:szCs w:val="16"/>
              </w:rPr>
              <w:t>-</w:t>
            </w:r>
          </w:p>
        </w:tc>
        <w:tc>
          <w:tcPr>
            <w:tcW w:w="4050" w:type="dxa"/>
            <w:tcMar>
              <w:top w:w="0" w:type="dxa"/>
              <w:left w:w="70" w:type="dxa"/>
              <w:bottom w:w="0" w:type="dxa"/>
              <w:right w:w="70" w:type="dxa"/>
            </w:tcMar>
            <w:vAlign w:val="center"/>
            <w:hideMark/>
          </w:tcPr>
          <w:p w:rsidR="00600719" w:rsidRPr="00F06708" w:rsidRDefault="00600719" w:rsidP="006D578F">
            <w:pPr>
              <w:ind w:left="11" w:right="-353" w:hanging="11"/>
              <w:rPr>
                <w:rFonts w:ascii="Arial" w:eastAsiaTheme="minorHAnsi" w:hAnsi="Arial" w:cs="Arial"/>
                <w:sz w:val="16"/>
                <w:szCs w:val="16"/>
                <w:lang w:eastAsia="en-US"/>
              </w:rPr>
            </w:pPr>
            <w:r w:rsidRPr="00F06708">
              <w:rPr>
                <w:rFonts w:ascii="Arial" w:hAnsi="Arial" w:cs="Arial"/>
                <w:sz w:val="16"/>
                <w:szCs w:val="16"/>
              </w:rPr>
              <w:t xml:space="preserve">zabezpieczenia ustanowione na majątku wynikające </w:t>
            </w:r>
            <w:r w:rsidRPr="00F06708">
              <w:rPr>
                <w:rFonts w:ascii="Arial" w:hAnsi="Arial" w:cs="Arial"/>
                <w:sz w:val="16"/>
                <w:szCs w:val="16"/>
              </w:rPr>
              <w:br/>
              <w:t xml:space="preserve">z zaciągniętych kredytów   </w:t>
            </w:r>
          </w:p>
        </w:tc>
        <w:tc>
          <w:tcPr>
            <w:tcW w:w="2551" w:type="dxa"/>
            <w:noWrap/>
            <w:tcMar>
              <w:top w:w="0" w:type="dxa"/>
              <w:left w:w="70" w:type="dxa"/>
              <w:bottom w:w="0" w:type="dxa"/>
              <w:right w:w="70" w:type="dxa"/>
            </w:tcMar>
            <w:vAlign w:val="center"/>
            <w:hideMark/>
          </w:tcPr>
          <w:p w:rsidR="00600719" w:rsidRPr="00F06708" w:rsidRDefault="00600719" w:rsidP="006D578F">
            <w:pPr>
              <w:jc w:val="center"/>
              <w:rPr>
                <w:rFonts w:ascii="Arial" w:eastAsiaTheme="minorHAnsi" w:hAnsi="Arial" w:cs="Arial"/>
                <w:sz w:val="16"/>
                <w:szCs w:val="16"/>
                <w:lang w:eastAsia="en-US"/>
              </w:rPr>
            </w:pPr>
            <w:r w:rsidRPr="00F06708">
              <w:rPr>
                <w:rFonts w:ascii="Arial" w:eastAsiaTheme="minorHAnsi" w:hAnsi="Arial" w:cs="Arial"/>
                <w:sz w:val="16"/>
                <w:szCs w:val="16"/>
                <w:lang w:eastAsia="en-US"/>
              </w:rPr>
              <w:t>201 386</w:t>
            </w:r>
          </w:p>
        </w:tc>
        <w:tc>
          <w:tcPr>
            <w:tcW w:w="1120" w:type="dxa"/>
            <w:noWrap/>
            <w:tcMar>
              <w:top w:w="0" w:type="dxa"/>
              <w:left w:w="70" w:type="dxa"/>
              <w:bottom w:w="0" w:type="dxa"/>
              <w:right w:w="70" w:type="dxa"/>
            </w:tcMar>
            <w:vAlign w:val="center"/>
            <w:hideMark/>
          </w:tcPr>
          <w:p w:rsidR="00600719" w:rsidRPr="00F06708" w:rsidRDefault="00600719" w:rsidP="006D578F">
            <w:pPr>
              <w:jc w:val="center"/>
              <w:rPr>
                <w:rFonts w:ascii="Arial" w:eastAsiaTheme="minorHAnsi" w:hAnsi="Arial" w:cs="Arial"/>
                <w:sz w:val="16"/>
                <w:szCs w:val="16"/>
                <w:lang w:eastAsia="en-US"/>
              </w:rPr>
            </w:pPr>
            <w:r w:rsidRPr="00F06708">
              <w:rPr>
                <w:rFonts w:ascii="Arial" w:eastAsiaTheme="minorHAnsi" w:hAnsi="Arial" w:cs="Arial"/>
                <w:sz w:val="16"/>
                <w:szCs w:val="16"/>
                <w:lang w:eastAsia="en-US"/>
              </w:rPr>
              <w:t>787</w:t>
            </w:r>
          </w:p>
        </w:tc>
      </w:tr>
      <w:tr w:rsidR="00600719" w:rsidRPr="00F06708" w:rsidTr="006D578F">
        <w:trPr>
          <w:trHeight w:val="80"/>
        </w:trPr>
        <w:tc>
          <w:tcPr>
            <w:tcW w:w="360" w:type="dxa"/>
            <w:noWrap/>
            <w:tcMar>
              <w:top w:w="0" w:type="dxa"/>
              <w:left w:w="70" w:type="dxa"/>
              <w:bottom w:w="0" w:type="dxa"/>
              <w:right w:w="70" w:type="dxa"/>
            </w:tcMar>
            <w:vAlign w:val="center"/>
            <w:hideMark/>
          </w:tcPr>
          <w:p w:rsidR="00600719" w:rsidRPr="00F06708" w:rsidRDefault="00600719" w:rsidP="006D578F">
            <w:pPr>
              <w:jc w:val="center"/>
              <w:rPr>
                <w:rFonts w:ascii="Arial" w:eastAsiaTheme="minorHAnsi" w:hAnsi="Arial" w:cs="Arial"/>
                <w:sz w:val="16"/>
                <w:szCs w:val="16"/>
                <w:lang w:eastAsia="en-US"/>
              </w:rPr>
            </w:pPr>
            <w:r w:rsidRPr="00F06708">
              <w:rPr>
                <w:rFonts w:ascii="Arial" w:hAnsi="Arial" w:cs="Arial"/>
                <w:sz w:val="16"/>
                <w:szCs w:val="16"/>
              </w:rPr>
              <w:t>-</w:t>
            </w:r>
          </w:p>
        </w:tc>
        <w:tc>
          <w:tcPr>
            <w:tcW w:w="4050" w:type="dxa"/>
            <w:tcMar>
              <w:top w:w="0" w:type="dxa"/>
              <w:left w:w="70" w:type="dxa"/>
              <w:bottom w:w="0" w:type="dxa"/>
              <w:right w:w="70" w:type="dxa"/>
            </w:tcMar>
            <w:vAlign w:val="center"/>
            <w:hideMark/>
          </w:tcPr>
          <w:p w:rsidR="00600719" w:rsidRPr="00F06708" w:rsidRDefault="00600719" w:rsidP="006D578F">
            <w:pPr>
              <w:ind w:left="11" w:hanging="11"/>
              <w:rPr>
                <w:rFonts w:ascii="Arial" w:eastAsiaTheme="minorHAnsi" w:hAnsi="Arial" w:cs="Arial"/>
                <w:sz w:val="16"/>
                <w:szCs w:val="16"/>
                <w:lang w:eastAsia="en-US"/>
              </w:rPr>
            </w:pPr>
            <w:r w:rsidRPr="00F06708">
              <w:rPr>
                <w:rFonts w:ascii="Arial" w:hAnsi="Arial" w:cs="Arial"/>
                <w:sz w:val="16"/>
                <w:szCs w:val="16"/>
              </w:rPr>
              <w:t>gwarancje bankowe udzielone</w:t>
            </w:r>
          </w:p>
        </w:tc>
        <w:tc>
          <w:tcPr>
            <w:tcW w:w="2551" w:type="dxa"/>
            <w:noWrap/>
            <w:tcMar>
              <w:top w:w="0" w:type="dxa"/>
              <w:left w:w="70" w:type="dxa"/>
              <w:bottom w:w="0" w:type="dxa"/>
              <w:right w:w="70" w:type="dxa"/>
            </w:tcMar>
            <w:vAlign w:val="center"/>
            <w:hideMark/>
          </w:tcPr>
          <w:p w:rsidR="00600719" w:rsidRPr="00F06708" w:rsidRDefault="00600719" w:rsidP="006D578F">
            <w:pPr>
              <w:jc w:val="center"/>
              <w:rPr>
                <w:rFonts w:ascii="Arial" w:hAnsi="Arial" w:cs="Arial"/>
                <w:sz w:val="16"/>
                <w:szCs w:val="16"/>
              </w:rPr>
            </w:pPr>
            <w:r w:rsidRPr="00F06708">
              <w:rPr>
                <w:rFonts w:ascii="Arial" w:hAnsi="Arial" w:cs="Arial"/>
                <w:sz w:val="16"/>
                <w:szCs w:val="16"/>
              </w:rPr>
              <w:t>-</w:t>
            </w:r>
          </w:p>
        </w:tc>
        <w:tc>
          <w:tcPr>
            <w:tcW w:w="1120" w:type="dxa"/>
            <w:noWrap/>
            <w:tcMar>
              <w:top w:w="0" w:type="dxa"/>
              <w:left w:w="70" w:type="dxa"/>
              <w:bottom w:w="0" w:type="dxa"/>
              <w:right w:w="70" w:type="dxa"/>
            </w:tcMar>
            <w:vAlign w:val="bottom"/>
          </w:tcPr>
          <w:p w:rsidR="00600719" w:rsidRPr="00F06708" w:rsidRDefault="00600719" w:rsidP="006D578F">
            <w:pPr>
              <w:jc w:val="center"/>
              <w:rPr>
                <w:rFonts w:ascii="Arial" w:hAnsi="Arial" w:cs="Arial"/>
                <w:sz w:val="16"/>
                <w:szCs w:val="16"/>
              </w:rPr>
            </w:pPr>
            <w:r w:rsidRPr="00F06708">
              <w:rPr>
                <w:rFonts w:ascii="Arial" w:hAnsi="Arial" w:cs="Arial"/>
                <w:sz w:val="16"/>
                <w:szCs w:val="16"/>
              </w:rPr>
              <w:t>-246</w:t>
            </w:r>
          </w:p>
        </w:tc>
      </w:tr>
      <w:tr w:rsidR="00600719" w:rsidRPr="00F06708" w:rsidTr="006D578F">
        <w:trPr>
          <w:trHeight w:val="157"/>
        </w:trPr>
        <w:tc>
          <w:tcPr>
            <w:tcW w:w="360" w:type="dxa"/>
            <w:noWrap/>
            <w:tcMar>
              <w:top w:w="0" w:type="dxa"/>
              <w:left w:w="70" w:type="dxa"/>
              <w:bottom w:w="0" w:type="dxa"/>
              <w:right w:w="70" w:type="dxa"/>
            </w:tcMar>
            <w:vAlign w:val="center"/>
            <w:hideMark/>
          </w:tcPr>
          <w:p w:rsidR="00600719" w:rsidRPr="00F06708" w:rsidRDefault="00600719" w:rsidP="006D578F">
            <w:pPr>
              <w:jc w:val="center"/>
              <w:rPr>
                <w:rFonts w:ascii="Arial" w:eastAsiaTheme="minorHAnsi" w:hAnsi="Arial" w:cs="Arial"/>
                <w:sz w:val="16"/>
                <w:szCs w:val="16"/>
                <w:lang w:eastAsia="en-US"/>
              </w:rPr>
            </w:pPr>
            <w:r w:rsidRPr="00F06708">
              <w:rPr>
                <w:rFonts w:ascii="Arial" w:hAnsi="Arial" w:cs="Arial"/>
                <w:sz w:val="16"/>
                <w:szCs w:val="16"/>
              </w:rPr>
              <w:t>-</w:t>
            </w:r>
          </w:p>
        </w:tc>
        <w:tc>
          <w:tcPr>
            <w:tcW w:w="4050" w:type="dxa"/>
            <w:tcMar>
              <w:top w:w="0" w:type="dxa"/>
              <w:left w:w="70" w:type="dxa"/>
              <w:bottom w:w="0" w:type="dxa"/>
              <w:right w:w="70" w:type="dxa"/>
            </w:tcMar>
            <w:vAlign w:val="center"/>
            <w:hideMark/>
          </w:tcPr>
          <w:p w:rsidR="00600719" w:rsidRPr="00F06708" w:rsidRDefault="00600719" w:rsidP="006D578F">
            <w:pPr>
              <w:ind w:left="11" w:hanging="11"/>
              <w:rPr>
                <w:rFonts w:ascii="Arial" w:eastAsiaTheme="minorHAnsi" w:hAnsi="Arial" w:cs="Arial"/>
                <w:sz w:val="16"/>
                <w:szCs w:val="16"/>
                <w:lang w:eastAsia="en-US"/>
              </w:rPr>
            </w:pPr>
            <w:r w:rsidRPr="00F06708">
              <w:rPr>
                <w:rFonts w:ascii="Arial" w:hAnsi="Arial" w:cs="Arial"/>
                <w:sz w:val="16"/>
                <w:szCs w:val="16"/>
              </w:rPr>
              <w:t>opłaty warunkowe za wycinkę drzew/krzewów</w:t>
            </w:r>
          </w:p>
        </w:tc>
        <w:tc>
          <w:tcPr>
            <w:tcW w:w="2551" w:type="dxa"/>
            <w:noWrap/>
            <w:tcMar>
              <w:top w:w="0" w:type="dxa"/>
              <w:left w:w="70" w:type="dxa"/>
              <w:bottom w:w="0" w:type="dxa"/>
              <w:right w:w="70" w:type="dxa"/>
            </w:tcMar>
            <w:vAlign w:val="center"/>
            <w:hideMark/>
          </w:tcPr>
          <w:p w:rsidR="00600719" w:rsidRPr="00F06708" w:rsidRDefault="00600719" w:rsidP="006D578F">
            <w:pPr>
              <w:jc w:val="center"/>
              <w:rPr>
                <w:rFonts w:ascii="Arial" w:hAnsi="Arial" w:cs="Arial"/>
                <w:sz w:val="16"/>
                <w:szCs w:val="16"/>
              </w:rPr>
            </w:pPr>
            <w:r w:rsidRPr="00F06708">
              <w:rPr>
                <w:rFonts w:ascii="Arial" w:hAnsi="Arial" w:cs="Arial"/>
                <w:sz w:val="16"/>
                <w:szCs w:val="16"/>
              </w:rPr>
              <w:t>7</w:t>
            </w:r>
          </w:p>
        </w:tc>
        <w:tc>
          <w:tcPr>
            <w:tcW w:w="1120" w:type="dxa"/>
            <w:noWrap/>
            <w:tcMar>
              <w:top w:w="0" w:type="dxa"/>
              <w:left w:w="70" w:type="dxa"/>
              <w:bottom w:w="0" w:type="dxa"/>
              <w:right w:w="70" w:type="dxa"/>
            </w:tcMar>
            <w:vAlign w:val="bottom"/>
            <w:hideMark/>
          </w:tcPr>
          <w:p w:rsidR="00600719" w:rsidRPr="00F06708" w:rsidRDefault="00600719" w:rsidP="006D578F">
            <w:pPr>
              <w:jc w:val="center"/>
              <w:rPr>
                <w:rFonts w:ascii="Arial" w:hAnsi="Arial" w:cs="Arial"/>
                <w:sz w:val="16"/>
                <w:szCs w:val="16"/>
              </w:rPr>
            </w:pPr>
            <w:r w:rsidRPr="00F06708">
              <w:rPr>
                <w:rFonts w:ascii="Arial" w:hAnsi="Arial" w:cs="Arial"/>
                <w:sz w:val="16"/>
                <w:szCs w:val="16"/>
              </w:rPr>
              <w:t>-266</w:t>
            </w:r>
          </w:p>
        </w:tc>
      </w:tr>
    </w:tbl>
    <w:p w:rsidR="00600719" w:rsidRDefault="00600719" w:rsidP="00600719">
      <w:pPr>
        <w:jc w:val="both"/>
        <w:rPr>
          <w:rFonts w:ascii="Arial" w:hAnsi="Arial" w:cs="Arial"/>
          <w:sz w:val="18"/>
          <w:szCs w:val="18"/>
        </w:rPr>
      </w:pPr>
    </w:p>
    <w:p w:rsidR="00600719" w:rsidRPr="00A96AEE" w:rsidRDefault="00600719" w:rsidP="00600719">
      <w:pPr>
        <w:jc w:val="both"/>
        <w:rPr>
          <w:rFonts w:ascii="Arial" w:hAnsi="Arial" w:cs="Arial"/>
          <w:sz w:val="18"/>
          <w:szCs w:val="18"/>
        </w:rPr>
      </w:pPr>
      <w:r w:rsidRPr="00A96AEE">
        <w:rPr>
          <w:rFonts w:ascii="Arial" w:hAnsi="Arial" w:cs="Arial"/>
          <w:sz w:val="18"/>
          <w:szCs w:val="18"/>
        </w:rPr>
        <w:t xml:space="preserve">Spółka na dzień bilansowy 30 </w:t>
      </w:r>
      <w:r>
        <w:rPr>
          <w:rFonts w:ascii="Arial" w:hAnsi="Arial" w:cs="Arial"/>
          <w:sz w:val="18"/>
          <w:szCs w:val="18"/>
        </w:rPr>
        <w:t>września 2021</w:t>
      </w:r>
      <w:r w:rsidRPr="00A96AEE">
        <w:rPr>
          <w:rFonts w:ascii="Arial" w:hAnsi="Arial" w:cs="Arial"/>
          <w:sz w:val="18"/>
          <w:szCs w:val="18"/>
        </w:rPr>
        <w:t xml:space="preserve"> r. nie udzielała:</w:t>
      </w:r>
    </w:p>
    <w:p w:rsidR="00600719" w:rsidRPr="00A96AEE" w:rsidRDefault="00600719" w:rsidP="00600719">
      <w:pPr>
        <w:numPr>
          <w:ilvl w:val="0"/>
          <w:numId w:val="36"/>
        </w:numPr>
        <w:jc w:val="both"/>
        <w:rPr>
          <w:rFonts w:ascii="Arial" w:hAnsi="Arial" w:cs="Arial"/>
          <w:sz w:val="18"/>
          <w:szCs w:val="18"/>
        </w:rPr>
      </w:pPr>
      <w:r w:rsidRPr="00A96AEE">
        <w:rPr>
          <w:rFonts w:ascii="Arial" w:hAnsi="Arial" w:cs="Arial"/>
          <w:sz w:val="18"/>
          <w:szCs w:val="18"/>
        </w:rPr>
        <w:t xml:space="preserve">kredytów, pożyczek i gwarancji, </w:t>
      </w:r>
    </w:p>
    <w:p w:rsidR="00600719" w:rsidRPr="00ED2F2F" w:rsidRDefault="00600719" w:rsidP="00600719">
      <w:pPr>
        <w:numPr>
          <w:ilvl w:val="0"/>
          <w:numId w:val="36"/>
        </w:numPr>
        <w:spacing w:line="260" w:lineRule="exact"/>
        <w:jc w:val="both"/>
        <w:rPr>
          <w:rFonts w:ascii="Arial" w:hAnsi="Arial" w:cs="Arial"/>
          <w:b/>
          <w:bCs/>
          <w:sz w:val="18"/>
          <w:szCs w:val="18"/>
        </w:rPr>
      </w:pPr>
      <w:r w:rsidRPr="00ED2F2F">
        <w:rPr>
          <w:rFonts w:ascii="Arial" w:hAnsi="Arial" w:cs="Arial"/>
          <w:sz w:val="18"/>
          <w:szCs w:val="18"/>
        </w:rPr>
        <w:t>poręczeń z tytułu kredytów i pożyczek.</w:t>
      </w:r>
    </w:p>
    <w:p w:rsidR="00600719" w:rsidRPr="00F31D8E" w:rsidRDefault="00600719" w:rsidP="00600719">
      <w:pPr>
        <w:rPr>
          <w:rFonts w:ascii="Arial" w:hAnsi="Arial" w:cs="Arial"/>
          <w:b/>
          <w:bCs/>
          <w:sz w:val="18"/>
          <w:szCs w:val="18"/>
        </w:rPr>
      </w:pPr>
    </w:p>
    <w:p w:rsidR="00600719" w:rsidRPr="00F31D8E" w:rsidRDefault="00600719" w:rsidP="00600719">
      <w:pPr>
        <w:tabs>
          <w:tab w:val="left" w:pos="540"/>
        </w:tabs>
        <w:spacing w:line="260" w:lineRule="exact"/>
        <w:jc w:val="both"/>
        <w:rPr>
          <w:rFonts w:ascii="Arial" w:hAnsi="Arial" w:cs="Arial"/>
          <w:b/>
          <w:bCs/>
          <w:sz w:val="18"/>
          <w:szCs w:val="18"/>
        </w:rPr>
      </w:pPr>
      <w:r w:rsidRPr="00F31D8E">
        <w:rPr>
          <w:rFonts w:ascii="Arial" w:hAnsi="Arial" w:cs="Arial"/>
          <w:b/>
          <w:bCs/>
          <w:sz w:val="18"/>
          <w:szCs w:val="18"/>
        </w:rPr>
        <w:t>XI</w:t>
      </w:r>
      <w:r>
        <w:rPr>
          <w:rFonts w:ascii="Arial" w:hAnsi="Arial" w:cs="Arial"/>
          <w:b/>
          <w:bCs/>
          <w:sz w:val="18"/>
          <w:szCs w:val="18"/>
        </w:rPr>
        <w:t>I</w:t>
      </w:r>
      <w:r w:rsidRPr="00F31D8E">
        <w:rPr>
          <w:rFonts w:ascii="Arial" w:hAnsi="Arial" w:cs="Arial"/>
          <w:b/>
          <w:bCs/>
          <w:sz w:val="18"/>
          <w:szCs w:val="18"/>
        </w:rPr>
        <w:t>. Odpisanie wartości zapasów do wartości netto możliwej do uzyskania i odwrócenie takich odpisów.</w:t>
      </w:r>
    </w:p>
    <w:p w:rsidR="00600719" w:rsidRPr="00F31D8E" w:rsidRDefault="00600719" w:rsidP="00600719">
      <w:pPr>
        <w:tabs>
          <w:tab w:val="left" w:pos="540"/>
        </w:tabs>
        <w:spacing w:line="260" w:lineRule="exact"/>
        <w:jc w:val="both"/>
        <w:rPr>
          <w:rFonts w:ascii="Arial" w:hAnsi="Arial" w:cs="Arial"/>
          <w:bCs/>
          <w:sz w:val="18"/>
          <w:szCs w:val="18"/>
        </w:rPr>
      </w:pPr>
      <w:r w:rsidRPr="00F31D8E">
        <w:rPr>
          <w:rFonts w:ascii="Arial" w:hAnsi="Arial" w:cs="Arial"/>
          <w:bCs/>
          <w:sz w:val="18"/>
          <w:szCs w:val="18"/>
        </w:rPr>
        <w:t>Nie wystąpiło.</w:t>
      </w:r>
    </w:p>
    <w:p w:rsidR="00600719" w:rsidRPr="00F31D8E" w:rsidRDefault="00600719" w:rsidP="00600719">
      <w:pPr>
        <w:tabs>
          <w:tab w:val="left" w:pos="540"/>
        </w:tabs>
        <w:spacing w:line="260" w:lineRule="exact"/>
        <w:jc w:val="both"/>
        <w:rPr>
          <w:rFonts w:ascii="Arial" w:hAnsi="Arial" w:cs="Arial"/>
          <w:b/>
          <w:bCs/>
          <w:sz w:val="18"/>
          <w:szCs w:val="18"/>
        </w:rPr>
      </w:pPr>
    </w:p>
    <w:p w:rsidR="00600719" w:rsidRPr="00F31D8E" w:rsidRDefault="00600719" w:rsidP="00600719">
      <w:pPr>
        <w:tabs>
          <w:tab w:val="left" w:pos="540"/>
        </w:tabs>
        <w:spacing w:line="260" w:lineRule="exact"/>
        <w:jc w:val="both"/>
        <w:rPr>
          <w:rFonts w:ascii="Arial" w:hAnsi="Arial" w:cs="Arial"/>
          <w:b/>
          <w:bCs/>
          <w:sz w:val="18"/>
          <w:szCs w:val="18"/>
        </w:rPr>
      </w:pPr>
      <w:r w:rsidRPr="00F31D8E">
        <w:rPr>
          <w:rFonts w:ascii="Arial" w:hAnsi="Arial" w:cs="Arial"/>
          <w:b/>
          <w:bCs/>
          <w:sz w:val="18"/>
          <w:szCs w:val="18"/>
        </w:rPr>
        <w:t>X</w:t>
      </w:r>
      <w:r>
        <w:rPr>
          <w:rFonts w:ascii="Arial" w:hAnsi="Arial" w:cs="Arial"/>
          <w:b/>
          <w:bCs/>
          <w:sz w:val="18"/>
          <w:szCs w:val="18"/>
        </w:rPr>
        <w:t>I</w:t>
      </w:r>
      <w:r w:rsidRPr="00F31D8E">
        <w:rPr>
          <w:rFonts w:ascii="Arial" w:hAnsi="Arial" w:cs="Arial"/>
          <w:b/>
          <w:bCs/>
          <w:sz w:val="18"/>
          <w:szCs w:val="18"/>
        </w:rPr>
        <w:t>II. Restrukturyzacja.</w:t>
      </w:r>
    </w:p>
    <w:p w:rsidR="00600719" w:rsidRPr="00F31D8E" w:rsidRDefault="00600719" w:rsidP="00600719">
      <w:pPr>
        <w:tabs>
          <w:tab w:val="left" w:pos="540"/>
        </w:tabs>
        <w:spacing w:line="260" w:lineRule="exact"/>
        <w:jc w:val="both"/>
        <w:rPr>
          <w:rFonts w:ascii="Arial" w:hAnsi="Arial" w:cs="Arial"/>
          <w:sz w:val="18"/>
          <w:szCs w:val="18"/>
        </w:rPr>
      </w:pPr>
      <w:r w:rsidRPr="00F31D8E">
        <w:rPr>
          <w:rFonts w:ascii="Arial" w:hAnsi="Arial" w:cs="Arial"/>
          <w:sz w:val="18"/>
          <w:szCs w:val="18"/>
        </w:rPr>
        <w:t>W bieżącym okresie sprawozdawczym Spółka nie przeprowadzała restrukturyzacji</w:t>
      </w:r>
      <w:r>
        <w:rPr>
          <w:rFonts w:ascii="Arial" w:hAnsi="Arial" w:cs="Arial"/>
          <w:sz w:val="18"/>
          <w:szCs w:val="18"/>
        </w:rPr>
        <w:t>,</w:t>
      </w:r>
      <w:r w:rsidRPr="00F31D8E">
        <w:rPr>
          <w:rFonts w:ascii="Arial" w:hAnsi="Arial" w:cs="Arial"/>
          <w:sz w:val="18"/>
          <w:szCs w:val="18"/>
        </w:rPr>
        <w:t xml:space="preserve"> w związku z tym nie tworzono</w:t>
      </w:r>
      <w:r w:rsidRPr="00F31D8E">
        <w:rPr>
          <w:rFonts w:ascii="Arial" w:hAnsi="Arial" w:cs="Arial"/>
          <w:sz w:val="18"/>
          <w:szCs w:val="18"/>
        </w:rPr>
        <w:br/>
        <w:t xml:space="preserve"> i nie rozwiązywano rezerw na koszty restrukturyzacji.</w:t>
      </w:r>
    </w:p>
    <w:p w:rsidR="00600719" w:rsidRPr="00F31D8E" w:rsidRDefault="00600719" w:rsidP="00600719">
      <w:pPr>
        <w:tabs>
          <w:tab w:val="left" w:pos="540"/>
        </w:tabs>
        <w:spacing w:line="260" w:lineRule="exact"/>
        <w:jc w:val="both"/>
        <w:rPr>
          <w:rFonts w:ascii="Arial" w:hAnsi="Arial" w:cs="Arial"/>
          <w:b/>
          <w:bCs/>
          <w:sz w:val="18"/>
          <w:szCs w:val="18"/>
        </w:rPr>
      </w:pPr>
    </w:p>
    <w:p w:rsidR="00600719" w:rsidRPr="00666494" w:rsidRDefault="00600719" w:rsidP="00600719">
      <w:pPr>
        <w:tabs>
          <w:tab w:val="left" w:pos="540"/>
        </w:tabs>
        <w:spacing w:line="260" w:lineRule="exact"/>
        <w:jc w:val="both"/>
        <w:rPr>
          <w:rFonts w:ascii="Arial" w:hAnsi="Arial" w:cs="Arial"/>
          <w:b/>
          <w:bCs/>
          <w:sz w:val="18"/>
          <w:szCs w:val="18"/>
        </w:rPr>
      </w:pPr>
      <w:r w:rsidRPr="00F31D8E">
        <w:rPr>
          <w:rFonts w:ascii="Arial" w:hAnsi="Arial" w:cs="Arial"/>
          <w:b/>
          <w:bCs/>
          <w:sz w:val="18"/>
          <w:szCs w:val="18"/>
        </w:rPr>
        <w:t>XI</w:t>
      </w:r>
      <w:r>
        <w:rPr>
          <w:rFonts w:ascii="Arial" w:hAnsi="Arial" w:cs="Arial"/>
          <w:b/>
          <w:bCs/>
          <w:sz w:val="18"/>
          <w:szCs w:val="18"/>
        </w:rPr>
        <w:t>V</w:t>
      </w:r>
      <w:r w:rsidRPr="00F31D8E">
        <w:rPr>
          <w:rFonts w:ascii="Arial" w:hAnsi="Arial" w:cs="Arial"/>
          <w:b/>
          <w:bCs/>
          <w:sz w:val="18"/>
          <w:szCs w:val="18"/>
        </w:rPr>
        <w:t xml:space="preserve">. </w:t>
      </w:r>
      <w:r w:rsidRPr="00666494">
        <w:rPr>
          <w:rFonts w:ascii="Arial" w:hAnsi="Arial" w:cs="Arial"/>
          <w:b/>
          <w:bCs/>
          <w:sz w:val="18"/>
          <w:szCs w:val="18"/>
        </w:rPr>
        <w:t>Nabycie i sprzedaż rzeczowych aktywów trwałych.</w:t>
      </w:r>
    </w:p>
    <w:p w:rsidR="00600719" w:rsidRPr="003C41BA" w:rsidRDefault="00600719" w:rsidP="00600719">
      <w:pPr>
        <w:tabs>
          <w:tab w:val="left" w:pos="540"/>
        </w:tabs>
        <w:spacing w:line="260" w:lineRule="exact"/>
        <w:jc w:val="both"/>
        <w:rPr>
          <w:rFonts w:ascii="Arial" w:hAnsi="Arial" w:cs="Arial"/>
          <w:sz w:val="18"/>
          <w:szCs w:val="18"/>
        </w:rPr>
      </w:pPr>
      <w:r w:rsidRPr="003C41BA">
        <w:rPr>
          <w:rFonts w:ascii="Arial" w:hAnsi="Arial" w:cs="Arial"/>
          <w:sz w:val="18"/>
          <w:szCs w:val="18"/>
        </w:rPr>
        <w:t>W okresie od 1.01.2021 r. do 30.09.2021 r. na zwiększenia rzeczowych aktywów trwałych przyjęto  9  748  tys. zł, natomiast na zmniejszenie  z tytułu likwidacji 409 tys. zł , z tytułu przeklasyfikowania do aktywów przez</w:t>
      </w:r>
      <w:r>
        <w:rPr>
          <w:rFonts w:ascii="Arial" w:hAnsi="Arial" w:cs="Arial"/>
          <w:sz w:val="18"/>
          <w:szCs w:val="18"/>
        </w:rPr>
        <w:t>naczonych do sprzedaży 3 074 tys</w:t>
      </w:r>
      <w:r w:rsidRPr="003C41BA">
        <w:rPr>
          <w:rFonts w:ascii="Arial" w:hAnsi="Arial" w:cs="Arial"/>
          <w:sz w:val="18"/>
          <w:szCs w:val="18"/>
        </w:rPr>
        <w:t>.</w:t>
      </w:r>
      <w:r>
        <w:rPr>
          <w:rFonts w:ascii="Arial" w:hAnsi="Arial" w:cs="Arial"/>
          <w:sz w:val="18"/>
          <w:szCs w:val="18"/>
        </w:rPr>
        <w:t xml:space="preserve"> </w:t>
      </w:r>
      <w:r w:rsidRPr="003C41BA">
        <w:rPr>
          <w:rFonts w:ascii="Arial" w:hAnsi="Arial" w:cs="Arial"/>
          <w:sz w:val="18"/>
          <w:szCs w:val="18"/>
        </w:rPr>
        <w:t>zł. Natomiast w okresie od 1.01.2020r. do 30.09.2020 r. na zwiększenia rzeczowych aktywów trwałych przyjęto: 36 567 tys. zł, natomiast na zmniejszenie  2 497 tys. zł.</w:t>
      </w:r>
    </w:p>
    <w:p w:rsidR="00600719" w:rsidRPr="003C41BA" w:rsidRDefault="00600719" w:rsidP="00600719">
      <w:pPr>
        <w:tabs>
          <w:tab w:val="left" w:pos="540"/>
        </w:tabs>
        <w:spacing w:line="260" w:lineRule="exact"/>
        <w:jc w:val="both"/>
        <w:rPr>
          <w:rFonts w:ascii="Arial" w:hAnsi="Arial" w:cs="Arial"/>
          <w:sz w:val="18"/>
          <w:szCs w:val="18"/>
        </w:rPr>
      </w:pPr>
      <w:r w:rsidRPr="003C41BA">
        <w:rPr>
          <w:rFonts w:ascii="Arial" w:hAnsi="Arial" w:cs="Arial"/>
          <w:sz w:val="18"/>
          <w:szCs w:val="18"/>
        </w:rPr>
        <w:t>Wynik na sprzedaży rzeczowych aktywów trwałych na 30.09.2021 r. wynosił 0 tys. zł. (na 30.09.2020 r. wynik na sprzedaży rzeczowych aktywów trwałych wyniósł: 0 zł).</w:t>
      </w:r>
    </w:p>
    <w:p w:rsidR="00600719" w:rsidRDefault="00600719" w:rsidP="00600719">
      <w:pPr>
        <w:tabs>
          <w:tab w:val="left" w:pos="540"/>
        </w:tabs>
        <w:spacing w:line="260" w:lineRule="exact"/>
        <w:jc w:val="both"/>
        <w:rPr>
          <w:rFonts w:ascii="Arial" w:hAnsi="Arial" w:cs="Arial"/>
          <w:sz w:val="18"/>
          <w:szCs w:val="18"/>
        </w:rPr>
      </w:pPr>
      <w:r w:rsidRPr="003C41BA">
        <w:rPr>
          <w:rFonts w:ascii="Arial" w:hAnsi="Arial" w:cs="Arial"/>
          <w:sz w:val="18"/>
          <w:szCs w:val="18"/>
        </w:rPr>
        <w:t>Narastająco na dzień 30.09.2021 r. wartość rzeczowych aktywów trwałych netto wyniosła: 150 490 tys. zł. natomiast na 30.09.2020 r. wynosiła: 139 484 tys. zł</w:t>
      </w:r>
    </w:p>
    <w:p w:rsidR="00600719" w:rsidRPr="00666494" w:rsidRDefault="00600719" w:rsidP="00600719">
      <w:pPr>
        <w:tabs>
          <w:tab w:val="left" w:pos="540"/>
        </w:tabs>
        <w:spacing w:line="260" w:lineRule="exact"/>
        <w:jc w:val="both"/>
        <w:rPr>
          <w:rFonts w:ascii="Arial" w:hAnsi="Arial" w:cs="Arial"/>
          <w:b/>
          <w:bCs/>
          <w:sz w:val="18"/>
          <w:szCs w:val="18"/>
        </w:rPr>
      </w:pPr>
    </w:p>
    <w:p w:rsidR="00600719" w:rsidRDefault="00600719" w:rsidP="00600719">
      <w:pPr>
        <w:tabs>
          <w:tab w:val="left" w:pos="540"/>
        </w:tabs>
        <w:spacing w:line="260" w:lineRule="exact"/>
        <w:jc w:val="both"/>
        <w:rPr>
          <w:rFonts w:ascii="Arial" w:hAnsi="Arial" w:cs="Arial"/>
          <w:b/>
          <w:bCs/>
          <w:sz w:val="18"/>
          <w:szCs w:val="18"/>
        </w:rPr>
      </w:pPr>
      <w:r w:rsidRPr="0066570B">
        <w:rPr>
          <w:rFonts w:ascii="Arial" w:hAnsi="Arial" w:cs="Arial"/>
          <w:b/>
          <w:bCs/>
          <w:sz w:val="18"/>
          <w:szCs w:val="18"/>
        </w:rPr>
        <w:t xml:space="preserve">Zmiana wartości rzeczowych aktywów trwałych w okresie od 1 stycznia </w:t>
      </w:r>
      <w:r>
        <w:rPr>
          <w:rFonts w:ascii="Arial" w:hAnsi="Arial" w:cs="Arial"/>
          <w:b/>
          <w:bCs/>
          <w:sz w:val="18"/>
          <w:szCs w:val="18"/>
        </w:rPr>
        <w:t>2021</w:t>
      </w:r>
      <w:r w:rsidRPr="0066570B">
        <w:rPr>
          <w:rFonts w:ascii="Arial" w:hAnsi="Arial" w:cs="Arial"/>
          <w:b/>
          <w:bCs/>
          <w:sz w:val="18"/>
          <w:szCs w:val="18"/>
        </w:rPr>
        <w:t xml:space="preserve"> r. do 30 września </w:t>
      </w:r>
      <w:r>
        <w:rPr>
          <w:rFonts w:ascii="Arial" w:hAnsi="Arial" w:cs="Arial"/>
          <w:b/>
          <w:bCs/>
          <w:sz w:val="18"/>
          <w:szCs w:val="18"/>
        </w:rPr>
        <w:t>2021</w:t>
      </w:r>
      <w:r w:rsidRPr="0066570B">
        <w:rPr>
          <w:rFonts w:ascii="Arial" w:hAnsi="Arial" w:cs="Arial"/>
          <w:b/>
          <w:bCs/>
          <w:sz w:val="18"/>
          <w:szCs w:val="18"/>
        </w:rPr>
        <w:t xml:space="preserve"> r.</w:t>
      </w:r>
    </w:p>
    <w:p w:rsidR="00600719" w:rsidRDefault="00600719" w:rsidP="00600719">
      <w:pPr>
        <w:tabs>
          <w:tab w:val="left" w:pos="540"/>
        </w:tabs>
        <w:spacing w:line="260" w:lineRule="exact"/>
        <w:jc w:val="both"/>
        <w:rPr>
          <w:rFonts w:ascii="Arial" w:hAnsi="Arial" w:cs="Arial"/>
          <w:b/>
          <w:bCs/>
          <w:sz w:val="18"/>
          <w:szCs w:val="18"/>
        </w:rPr>
      </w:pPr>
    </w:p>
    <w:tbl>
      <w:tblPr>
        <w:tblW w:w="9513" w:type="dxa"/>
        <w:tblInd w:w="55" w:type="dxa"/>
        <w:tblLayout w:type="fixed"/>
        <w:tblCellMar>
          <w:left w:w="70" w:type="dxa"/>
          <w:right w:w="70" w:type="dxa"/>
        </w:tblCellMar>
        <w:tblLook w:val="04A0" w:firstRow="1" w:lastRow="0" w:firstColumn="1" w:lastColumn="0" w:noHBand="0" w:noVBand="1"/>
      </w:tblPr>
      <w:tblGrid>
        <w:gridCol w:w="2850"/>
        <w:gridCol w:w="709"/>
        <w:gridCol w:w="1134"/>
        <w:gridCol w:w="992"/>
        <w:gridCol w:w="1134"/>
        <w:gridCol w:w="851"/>
        <w:gridCol w:w="992"/>
        <w:gridCol w:w="851"/>
      </w:tblGrid>
      <w:tr w:rsidR="00600719" w:rsidRPr="00F06708" w:rsidTr="006D578F">
        <w:trPr>
          <w:trHeight w:val="227"/>
        </w:trPr>
        <w:tc>
          <w:tcPr>
            <w:tcW w:w="2850" w:type="dxa"/>
            <w:tcBorders>
              <w:top w:val="nil"/>
              <w:left w:val="nil"/>
              <w:bottom w:val="nil"/>
              <w:right w:val="nil"/>
            </w:tcBorders>
            <w:shd w:val="clear" w:color="auto" w:fill="auto"/>
            <w:noWrap/>
            <w:vAlign w:val="bottom"/>
            <w:hideMark/>
          </w:tcPr>
          <w:p w:rsidR="00600719" w:rsidRPr="00F06708" w:rsidRDefault="00600719" w:rsidP="006D578F">
            <w:pPr>
              <w:rPr>
                <w:rFonts w:ascii="Arial" w:hAnsi="Arial" w:cs="Arial"/>
                <w:color w:val="000000"/>
                <w:sz w:val="16"/>
                <w:szCs w:val="16"/>
              </w:rPr>
            </w:pPr>
          </w:p>
        </w:tc>
        <w:tc>
          <w:tcPr>
            <w:tcW w:w="709" w:type="dxa"/>
            <w:tcBorders>
              <w:top w:val="nil"/>
              <w:left w:val="nil"/>
              <w:bottom w:val="nil"/>
              <w:right w:val="nil"/>
            </w:tcBorders>
            <w:shd w:val="clear" w:color="auto" w:fill="auto"/>
            <w:noWrap/>
            <w:vAlign w:val="center"/>
            <w:hideMark/>
          </w:tcPr>
          <w:p w:rsidR="00600719" w:rsidRPr="00F06708" w:rsidRDefault="00600719" w:rsidP="006D578F">
            <w:pPr>
              <w:jc w:val="center"/>
              <w:rPr>
                <w:rFonts w:ascii="Arial" w:hAnsi="Arial" w:cs="Arial"/>
                <w:b/>
                <w:bCs/>
                <w:color w:val="000000"/>
                <w:sz w:val="16"/>
                <w:szCs w:val="16"/>
              </w:rPr>
            </w:pPr>
            <w:r w:rsidRPr="00F06708">
              <w:rPr>
                <w:rFonts w:ascii="Arial" w:hAnsi="Arial" w:cs="Arial"/>
                <w:b/>
                <w:bCs/>
                <w:color w:val="000000"/>
                <w:sz w:val="16"/>
                <w:szCs w:val="16"/>
              </w:rPr>
              <w:t>Grunty</w:t>
            </w:r>
          </w:p>
        </w:tc>
        <w:tc>
          <w:tcPr>
            <w:tcW w:w="1134" w:type="dxa"/>
            <w:tcBorders>
              <w:top w:val="nil"/>
              <w:left w:val="nil"/>
              <w:bottom w:val="nil"/>
              <w:right w:val="nil"/>
            </w:tcBorders>
            <w:shd w:val="clear" w:color="auto" w:fill="auto"/>
            <w:noWrap/>
            <w:vAlign w:val="center"/>
            <w:hideMark/>
          </w:tcPr>
          <w:p w:rsidR="00600719" w:rsidRPr="00F06708" w:rsidRDefault="00600719" w:rsidP="006D578F">
            <w:pPr>
              <w:jc w:val="center"/>
              <w:rPr>
                <w:rFonts w:ascii="Arial" w:hAnsi="Arial" w:cs="Arial"/>
                <w:b/>
                <w:bCs/>
                <w:color w:val="000000"/>
                <w:sz w:val="16"/>
                <w:szCs w:val="16"/>
              </w:rPr>
            </w:pPr>
            <w:r w:rsidRPr="00F06708">
              <w:rPr>
                <w:rFonts w:ascii="Arial" w:hAnsi="Arial" w:cs="Arial"/>
                <w:b/>
                <w:bCs/>
                <w:color w:val="000000"/>
                <w:sz w:val="16"/>
                <w:szCs w:val="16"/>
              </w:rPr>
              <w:t>Budynki</w:t>
            </w:r>
          </w:p>
        </w:tc>
        <w:tc>
          <w:tcPr>
            <w:tcW w:w="992" w:type="dxa"/>
            <w:tcBorders>
              <w:top w:val="nil"/>
              <w:left w:val="nil"/>
              <w:bottom w:val="nil"/>
              <w:right w:val="nil"/>
            </w:tcBorders>
            <w:shd w:val="clear" w:color="auto" w:fill="auto"/>
            <w:noWrap/>
            <w:vAlign w:val="center"/>
            <w:hideMark/>
          </w:tcPr>
          <w:p w:rsidR="00600719" w:rsidRPr="00F06708" w:rsidRDefault="00600719" w:rsidP="006D578F">
            <w:pPr>
              <w:jc w:val="center"/>
              <w:rPr>
                <w:rFonts w:ascii="Arial" w:hAnsi="Arial" w:cs="Arial"/>
                <w:b/>
                <w:bCs/>
                <w:color w:val="000000"/>
                <w:sz w:val="16"/>
                <w:szCs w:val="16"/>
              </w:rPr>
            </w:pPr>
            <w:r w:rsidRPr="00F06708">
              <w:rPr>
                <w:rFonts w:ascii="Arial" w:hAnsi="Arial" w:cs="Arial"/>
                <w:b/>
                <w:bCs/>
                <w:color w:val="000000"/>
                <w:sz w:val="16"/>
                <w:szCs w:val="16"/>
              </w:rPr>
              <w:t>Urządzenia techniczne</w:t>
            </w:r>
          </w:p>
        </w:tc>
        <w:tc>
          <w:tcPr>
            <w:tcW w:w="1134" w:type="dxa"/>
            <w:tcBorders>
              <w:top w:val="nil"/>
              <w:left w:val="nil"/>
              <w:bottom w:val="nil"/>
              <w:right w:val="nil"/>
            </w:tcBorders>
            <w:shd w:val="clear" w:color="auto" w:fill="auto"/>
            <w:noWrap/>
            <w:vAlign w:val="center"/>
            <w:hideMark/>
          </w:tcPr>
          <w:p w:rsidR="00600719" w:rsidRPr="00F06708" w:rsidRDefault="00600719" w:rsidP="006D578F">
            <w:pPr>
              <w:jc w:val="center"/>
              <w:rPr>
                <w:rFonts w:ascii="Arial" w:hAnsi="Arial" w:cs="Arial"/>
                <w:b/>
                <w:bCs/>
                <w:color w:val="000000"/>
                <w:sz w:val="16"/>
                <w:szCs w:val="16"/>
              </w:rPr>
            </w:pPr>
            <w:r w:rsidRPr="00F06708">
              <w:rPr>
                <w:rFonts w:ascii="Arial" w:hAnsi="Arial" w:cs="Arial"/>
                <w:b/>
                <w:bCs/>
                <w:color w:val="000000"/>
                <w:sz w:val="16"/>
                <w:szCs w:val="16"/>
              </w:rPr>
              <w:t>Środki transportu</w:t>
            </w:r>
          </w:p>
        </w:tc>
        <w:tc>
          <w:tcPr>
            <w:tcW w:w="851" w:type="dxa"/>
            <w:tcBorders>
              <w:top w:val="nil"/>
              <w:left w:val="nil"/>
              <w:bottom w:val="nil"/>
              <w:right w:val="nil"/>
            </w:tcBorders>
            <w:shd w:val="clear" w:color="auto" w:fill="auto"/>
            <w:noWrap/>
            <w:vAlign w:val="center"/>
            <w:hideMark/>
          </w:tcPr>
          <w:p w:rsidR="00600719" w:rsidRPr="00F06708" w:rsidRDefault="00600719" w:rsidP="006D578F">
            <w:pPr>
              <w:jc w:val="center"/>
              <w:rPr>
                <w:rFonts w:ascii="Arial" w:hAnsi="Arial" w:cs="Arial"/>
                <w:b/>
                <w:bCs/>
                <w:color w:val="000000"/>
                <w:sz w:val="16"/>
                <w:szCs w:val="16"/>
              </w:rPr>
            </w:pPr>
            <w:r w:rsidRPr="00F06708">
              <w:rPr>
                <w:rFonts w:ascii="Arial" w:hAnsi="Arial" w:cs="Arial"/>
                <w:b/>
                <w:bCs/>
                <w:color w:val="000000"/>
                <w:sz w:val="16"/>
                <w:szCs w:val="16"/>
              </w:rPr>
              <w:t>Inne środki trwałe</w:t>
            </w:r>
          </w:p>
        </w:tc>
        <w:tc>
          <w:tcPr>
            <w:tcW w:w="992" w:type="dxa"/>
            <w:tcBorders>
              <w:top w:val="nil"/>
              <w:left w:val="nil"/>
              <w:bottom w:val="nil"/>
              <w:right w:val="nil"/>
            </w:tcBorders>
            <w:shd w:val="clear" w:color="auto" w:fill="auto"/>
            <w:noWrap/>
            <w:vAlign w:val="center"/>
            <w:hideMark/>
          </w:tcPr>
          <w:p w:rsidR="00600719" w:rsidRPr="00F06708" w:rsidRDefault="00600719" w:rsidP="006D578F">
            <w:pPr>
              <w:jc w:val="center"/>
              <w:rPr>
                <w:rFonts w:ascii="Arial" w:hAnsi="Arial" w:cs="Arial"/>
                <w:b/>
                <w:bCs/>
                <w:color w:val="000000"/>
                <w:sz w:val="16"/>
                <w:szCs w:val="16"/>
              </w:rPr>
            </w:pPr>
            <w:r w:rsidRPr="00F06708">
              <w:rPr>
                <w:rFonts w:ascii="Arial" w:hAnsi="Arial" w:cs="Arial"/>
                <w:b/>
                <w:bCs/>
                <w:color w:val="000000"/>
                <w:sz w:val="16"/>
                <w:szCs w:val="16"/>
              </w:rPr>
              <w:t>Środki trwałe</w:t>
            </w:r>
          </w:p>
        </w:tc>
        <w:tc>
          <w:tcPr>
            <w:tcW w:w="851" w:type="dxa"/>
            <w:tcBorders>
              <w:top w:val="nil"/>
              <w:left w:val="nil"/>
              <w:bottom w:val="nil"/>
              <w:right w:val="nil"/>
            </w:tcBorders>
            <w:shd w:val="clear" w:color="auto" w:fill="auto"/>
            <w:noWrap/>
            <w:vAlign w:val="center"/>
            <w:hideMark/>
          </w:tcPr>
          <w:p w:rsidR="00600719" w:rsidRPr="00F06708" w:rsidRDefault="00600719" w:rsidP="006D578F">
            <w:pPr>
              <w:jc w:val="center"/>
              <w:rPr>
                <w:rFonts w:ascii="Arial" w:hAnsi="Arial" w:cs="Arial"/>
                <w:b/>
                <w:bCs/>
                <w:color w:val="000000"/>
                <w:sz w:val="16"/>
                <w:szCs w:val="16"/>
              </w:rPr>
            </w:pPr>
            <w:r w:rsidRPr="00F06708">
              <w:rPr>
                <w:rFonts w:ascii="Arial" w:hAnsi="Arial" w:cs="Arial"/>
                <w:b/>
                <w:bCs/>
                <w:color w:val="000000"/>
                <w:sz w:val="16"/>
                <w:szCs w:val="16"/>
              </w:rPr>
              <w:t>Ogółem</w:t>
            </w:r>
          </w:p>
        </w:tc>
      </w:tr>
      <w:tr w:rsidR="00600719" w:rsidRPr="00F06708" w:rsidTr="006D578F">
        <w:trPr>
          <w:trHeight w:val="227"/>
        </w:trPr>
        <w:tc>
          <w:tcPr>
            <w:tcW w:w="2850" w:type="dxa"/>
            <w:tcBorders>
              <w:top w:val="nil"/>
              <w:left w:val="nil"/>
              <w:bottom w:val="single" w:sz="4" w:space="0" w:color="auto"/>
              <w:right w:val="nil"/>
            </w:tcBorders>
            <w:shd w:val="clear" w:color="auto" w:fill="auto"/>
            <w:noWrap/>
            <w:vAlign w:val="bottom"/>
            <w:hideMark/>
          </w:tcPr>
          <w:p w:rsidR="00600719" w:rsidRPr="00F06708" w:rsidRDefault="00600719" w:rsidP="006D578F">
            <w:pPr>
              <w:rPr>
                <w:rFonts w:ascii="Arial" w:hAnsi="Arial" w:cs="Arial"/>
                <w:color w:val="000000"/>
                <w:sz w:val="16"/>
                <w:szCs w:val="16"/>
              </w:rPr>
            </w:pPr>
          </w:p>
        </w:tc>
        <w:tc>
          <w:tcPr>
            <w:tcW w:w="709" w:type="dxa"/>
            <w:tcBorders>
              <w:top w:val="nil"/>
              <w:left w:val="nil"/>
              <w:bottom w:val="single" w:sz="4" w:space="0" w:color="auto"/>
              <w:right w:val="nil"/>
            </w:tcBorders>
            <w:shd w:val="clear" w:color="auto" w:fill="auto"/>
            <w:noWrap/>
            <w:vAlign w:val="bottom"/>
            <w:hideMark/>
          </w:tcPr>
          <w:p w:rsidR="00600719" w:rsidRPr="00F06708" w:rsidRDefault="00600719" w:rsidP="006D578F">
            <w:pPr>
              <w:rPr>
                <w:rFonts w:ascii="Arial" w:hAnsi="Arial" w:cs="Arial"/>
                <w:color w:val="000000"/>
                <w:sz w:val="16"/>
                <w:szCs w:val="16"/>
              </w:rPr>
            </w:pPr>
          </w:p>
        </w:tc>
        <w:tc>
          <w:tcPr>
            <w:tcW w:w="1134" w:type="dxa"/>
            <w:tcBorders>
              <w:top w:val="nil"/>
              <w:left w:val="nil"/>
              <w:bottom w:val="single" w:sz="4" w:space="0" w:color="auto"/>
              <w:right w:val="nil"/>
            </w:tcBorders>
            <w:shd w:val="clear" w:color="auto" w:fill="auto"/>
            <w:noWrap/>
            <w:vAlign w:val="center"/>
            <w:hideMark/>
          </w:tcPr>
          <w:p w:rsidR="00600719" w:rsidRPr="00F06708" w:rsidRDefault="00600719" w:rsidP="006D578F">
            <w:pPr>
              <w:jc w:val="center"/>
              <w:rPr>
                <w:rFonts w:ascii="Arial" w:hAnsi="Arial" w:cs="Arial"/>
                <w:b/>
                <w:bCs/>
                <w:color w:val="000000"/>
                <w:sz w:val="16"/>
                <w:szCs w:val="16"/>
              </w:rPr>
            </w:pPr>
            <w:r w:rsidRPr="00F06708">
              <w:rPr>
                <w:rFonts w:ascii="Arial" w:hAnsi="Arial" w:cs="Arial"/>
                <w:b/>
                <w:bCs/>
                <w:color w:val="000000"/>
                <w:sz w:val="16"/>
                <w:szCs w:val="16"/>
              </w:rPr>
              <w:t>i budowle</w:t>
            </w:r>
          </w:p>
        </w:tc>
        <w:tc>
          <w:tcPr>
            <w:tcW w:w="992" w:type="dxa"/>
            <w:tcBorders>
              <w:top w:val="nil"/>
              <w:left w:val="nil"/>
              <w:bottom w:val="single" w:sz="4" w:space="0" w:color="auto"/>
              <w:right w:val="nil"/>
            </w:tcBorders>
            <w:shd w:val="clear" w:color="auto" w:fill="auto"/>
            <w:noWrap/>
            <w:vAlign w:val="center"/>
            <w:hideMark/>
          </w:tcPr>
          <w:p w:rsidR="00600719" w:rsidRPr="00F06708" w:rsidRDefault="00600719" w:rsidP="006D578F">
            <w:pPr>
              <w:jc w:val="center"/>
              <w:rPr>
                <w:rFonts w:ascii="Arial" w:hAnsi="Arial" w:cs="Arial"/>
                <w:b/>
                <w:bCs/>
                <w:color w:val="000000"/>
                <w:sz w:val="16"/>
                <w:szCs w:val="16"/>
              </w:rPr>
            </w:pPr>
            <w:r w:rsidRPr="00F06708">
              <w:rPr>
                <w:rFonts w:ascii="Arial" w:hAnsi="Arial" w:cs="Arial"/>
                <w:b/>
                <w:bCs/>
                <w:color w:val="000000"/>
                <w:sz w:val="16"/>
                <w:szCs w:val="16"/>
              </w:rPr>
              <w:t>i maszyny</w:t>
            </w:r>
          </w:p>
        </w:tc>
        <w:tc>
          <w:tcPr>
            <w:tcW w:w="1134" w:type="dxa"/>
            <w:tcBorders>
              <w:top w:val="nil"/>
              <w:left w:val="nil"/>
              <w:bottom w:val="single" w:sz="4" w:space="0" w:color="auto"/>
              <w:right w:val="nil"/>
            </w:tcBorders>
            <w:shd w:val="clear" w:color="auto" w:fill="auto"/>
            <w:noWrap/>
            <w:vAlign w:val="bottom"/>
            <w:hideMark/>
          </w:tcPr>
          <w:p w:rsidR="00600719" w:rsidRPr="00F06708" w:rsidRDefault="00600719" w:rsidP="006D578F">
            <w:pPr>
              <w:rPr>
                <w:rFonts w:ascii="Arial" w:hAnsi="Arial" w:cs="Arial"/>
                <w:color w:val="000000"/>
                <w:sz w:val="16"/>
                <w:szCs w:val="16"/>
              </w:rPr>
            </w:pPr>
          </w:p>
        </w:tc>
        <w:tc>
          <w:tcPr>
            <w:tcW w:w="851" w:type="dxa"/>
            <w:tcBorders>
              <w:top w:val="nil"/>
              <w:left w:val="nil"/>
              <w:bottom w:val="single" w:sz="4" w:space="0" w:color="auto"/>
              <w:right w:val="nil"/>
            </w:tcBorders>
            <w:shd w:val="clear" w:color="auto" w:fill="auto"/>
            <w:noWrap/>
            <w:vAlign w:val="bottom"/>
            <w:hideMark/>
          </w:tcPr>
          <w:p w:rsidR="00600719" w:rsidRPr="00F06708" w:rsidRDefault="00600719" w:rsidP="006D578F">
            <w:pPr>
              <w:rPr>
                <w:rFonts w:ascii="Arial" w:hAnsi="Arial" w:cs="Arial"/>
                <w:color w:val="000000"/>
                <w:sz w:val="16"/>
                <w:szCs w:val="16"/>
              </w:rPr>
            </w:pPr>
          </w:p>
        </w:tc>
        <w:tc>
          <w:tcPr>
            <w:tcW w:w="992" w:type="dxa"/>
            <w:tcBorders>
              <w:top w:val="nil"/>
              <w:left w:val="nil"/>
              <w:bottom w:val="single" w:sz="4" w:space="0" w:color="auto"/>
              <w:right w:val="nil"/>
            </w:tcBorders>
            <w:shd w:val="clear" w:color="auto" w:fill="auto"/>
            <w:noWrap/>
            <w:vAlign w:val="center"/>
            <w:hideMark/>
          </w:tcPr>
          <w:p w:rsidR="00600719" w:rsidRPr="00F06708" w:rsidRDefault="00600719" w:rsidP="006D578F">
            <w:pPr>
              <w:jc w:val="center"/>
              <w:rPr>
                <w:rFonts w:ascii="Arial" w:hAnsi="Arial" w:cs="Arial"/>
                <w:b/>
                <w:bCs/>
                <w:color w:val="000000"/>
                <w:sz w:val="16"/>
                <w:szCs w:val="16"/>
              </w:rPr>
            </w:pPr>
            <w:r w:rsidRPr="00F06708">
              <w:rPr>
                <w:rFonts w:ascii="Arial" w:hAnsi="Arial" w:cs="Arial"/>
                <w:b/>
                <w:bCs/>
                <w:color w:val="000000"/>
                <w:sz w:val="16"/>
                <w:szCs w:val="16"/>
              </w:rPr>
              <w:t>w budowie</w:t>
            </w:r>
          </w:p>
        </w:tc>
        <w:tc>
          <w:tcPr>
            <w:tcW w:w="851" w:type="dxa"/>
            <w:tcBorders>
              <w:top w:val="nil"/>
              <w:left w:val="nil"/>
              <w:bottom w:val="single" w:sz="4" w:space="0" w:color="auto"/>
              <w:right w:val="nil"/>
            </w:tcBorders>
            <w:shd w:val="clear" w:color="auto" w:fill="auto"/>
            <w:noWrap/>
            <w:vAlign w:val="bottom"/>
            <w:hideMark/>
          </w:tcPr>
          <w:p w:rsidR="00600719" w:rsidRPr="00F06708" w:rsidRDefault="00600719" w:rsidP="006D578F">
            <w:pPr>
              <w:rPr>
                <w:rFonts w:ascii="Arial" w:hAnsi="Arial" w:cs="Arial"/>
                <w:color w:val="000000"/>
                <w:sz w:val="16"/>
                <w:szCs w:val="16"/>
              </w:rPr>
            </w:pPr>
          </w:p>
        </w:tc>
      </w:tr>
      <w:tr w:rsidR="00600719" w:rsidRPr="00F06708" w:rsidTr="006D578F">
        <w:trPr>
          <w:trHeight w:val="227"/>
        </w:trPr>
        <w:tc>
          <w:tcPr>
            <w:tcW w:w="2850" w:type="dxa"/>
            <w:tcBorders>
              <w:top w:val="single" w:sz="4" w:space="0" w:color="auto"/>
              <w:left w:val="nil"/>
              <w:bottom w:val="nil"/>
              <w:right w:val="nil"/>
            </w:tcBorders>
            <w:shd w:val="clear" w:color="auto" w:fill="auto"/>
            <w:vAlign w:val="center"/>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Stan na 31 grudnia 2020 r.</w:t>
            </w:r>
          </w:p>
        </w:tc>
        <w:tc>
          <w:tcPr>
            <w:tcW w:w="709" w:type="dxa"/>
            <w:tcBorders>
              <w:top w:val="single" w:sz="4" w:space="0" w:color="auto"/>
              <w:left w:val="nil"/>
              <w:bottom w:val="nil"/>
              <w:right w:val="nil"/>
            </w:tcBorders>
            <w:shd w:val="clear" w:color="auto" w:fill="auto"/>
            <w:noWrap/>
            <w:vAlign w:val="bottom"/>
            <w:hideMark/>
          </w:tcPr>
          <w:p w:rsidR="00600719" w:rsidRPr="00F06708" w:rsidRDefault="00600719" w:rsidP="006D578F">
            <w:pPr>
              <w:rPr>
                <w:rFonts w:ascii="Arial" w:hAnsi="Arial" w:cs="Arial"/>
                <w:color w:val="000000"/>
                <w:sz w:val="16"/>
                <w:szCs w:val="16"/>
              </w:rPr>
            </w:pPr>
          </w:p>
        </w:tc>
        <w:tc>
          <w:tcPr>
            <w:tcW w:w="1134" w:type="dxa"/>
            <w:tcBorders>
              <w:top w:val="single" w:sz="4" w:space="0" w:color="auto"/>
              <w:left w:val="nil"/>
              <w:bottom w:val="nil"/>
              <w:right w:val="nil"/>
            </w:tcBorders>
            <w:shd w:val="clear" w:color="auto" w:fill="auto"/>
            <w:noWrap/>
            <w:vAlign w:val="bottom"/>
            <w:hideMark/>
          </w:tcPr>
          <w:p w:rsidR="00600719" w:rsidRPr="00F06708" w:rsidRDefault="00600719" w:rsidP="006D578F">
            <w:pPr>
              <w:rPr>
                <w:rFonts w:ascii="Arial" w:hAnsi="Arial" w:cs="Arial"/>
                <w:color w:val="000000"/>
                <w:sz w:val="16"/>
                <w:szCs w:val="16"/>
              </w:rPr>
            </w:pPr>
          </w:p>
        </w:tc>
        <w:tc>
          <w:tcPr>
            <w:tcW w:w="992" w:type="dxa"/>
            <w:tcBorders>
              <w:top w:val="single" w:sz="4" w:space="0" w:color="auto"/>
              <w:left w:val="nil"/>
              <w:bottom w:val="nil"/>
              <w:right w:val="nil"/>
            </w:tcBorders>
            <w:shd w:val="clear" w:color="auto" w:fill="auto"/>
            <w:noWrap/>
            <w:vAlign w:val="bottom"/>
            <w:hideMark/>
          </w:tcPr>
          <w:p w:rsidR="00600719" w:rsidRPr="00F06708" w:rsidRDefault="00600719" w:rsidP="006D578F">
            <w:pPr>
              <w:rPr>
                <w:rFonts w:ascii="Arial" w:hAnsi="Arial" w:cs="Arial"/>
                <w:color w:val="000000"/>
                <w:sz w:val="16"/>
                <w:szCs w:val="16"/>
              </w:rPr>
            </w:pPr>
          </w:p>
        </w:tc>
        <w:tc>
          <w:tcPr>
            <w:tcW w:w="1134" w:type="dxa"/>
            <w:tcBorders>
              <w:top w:val="single" w:sz="4" w:space="0" w:color="auto"/>
              <w:left w:val="nil"/>
              <w:bottom w:val="nil"/>
              <w:right w:val="nil"/>
            </w:tcBorders>
            <w:shd w:val="clear" w:color="auto" w:fill="auto"/>
            <w:noWrap/>
            <w:vAlign w:val="bottom"/>
            <w:hideMark/>
          </w:tcPr>
          <w:p w:rsidR="00600719" w:rsidRPr="00F06708" w:rsidRDefault="00600719" w:rsidP="006D578F">
            <w:pPr>
              <w:rPr>
                <w:rFonts w:ascii="Arial" w:hAnsi="Arial" w:cs="Arial"/>
                <w:color w:val="000000"/>
                <w:sz w:val="16"/>
                <w:szCs w:val="16"/>
              </w:rPr>
            </w:pPr>
          </w:p>
        </w:tc>
        <w:tc>
          <w:tcPr>
            <w:tcW w:w="851" w:type="dxa"/>
            <w:tcBorders>
              <w:top w:val="single" w:sz="4" w:space="0" w:color="auto"/>
              <w:left w:val="nil"/>
              <w:bottom w:val="nil"/>
              <w:right w:val="nil"/>
            </w:tcBorders>
            <w:shd w:val="clear" w:color="auto" w:fill="auto"/>
            <w:noWrap/>
            <w:vAlign w:val="bottom"/>
            <w:hideMark/>
          </w:tcPr>
          <w:p w:rsidR="00600719" w:rsidRPr="00F06708" w:rsidRDefault="00600719" w:rsidP="006D578F">
            <w:pPr>
              <w:rPr>
                <w:rFonts w:ascii="Arial" w:hAnsi="Arial" w:cs="Arial"/>
                <w:color w:val="000000"/>
                <w:sz w:val="16"/>
                <w:szCs w:val="16"/>
              </w:rPr>
            </w:pPr>
          </w:p>
        </w:tc>
        <w:tc>
          <w:tcPr>
            <w:tcW w:w="992" w:type="dxa"/>
            <w:tcBorders>
              <w:top w:val="single" w:sz="4" w:space="0" w:color="auto"/>
              <w:left w:val="nil"/>
              <w:bottom w:val="nil"/>
              <w:right w:val="nil"/>
            </w:tcBorders>
            <w:shd w:val="clear" w:color="auto" w:fill="auto"/>
            <w:noWrap/>
            <w:vAlign w:val="bottom"/>
            <w:hideMark/>
          </w:tcPr>
          <w:p w:rsidR="00600719" w:rsidRPr="00F06708" w:rsidRDefault="00600719" w:rsidP="006D578F">
            <w:pPr>
              <w:rPr>
                <w:rFonts w:ascii="Arial" w:hAnsi="Arial" w:cs="Arial"/>
                <w:color w:val="000000"/>
                <w:sz w:val="16"/>
                <w:szCs w:val="16"/>
              </w:rPr>
            </w:pPr>
          </w:p>
        </w:tc>
        <w:tc>
          <w:tcPr>
            <w:tcW w:w="851" w:type="dxa"/>
            <w:tcBorders>
              <w:top w:val="single" w:sz="4" w:space="0" w:color="auto"/>
              <w:left w:val="nil"/>
              <w:bottom w:val="nil"/>
              <w:right w:val="nil"/>
            </w:tcBorders>
            <w:shd w:val="clear" w:color="auto" w:fill="auto"/>
            <w:noWrap/>
            <w:vAlign w:val="bottom"/>
            <w:hideMark/>
          </w:tcPr>
          <w:p w:rsidR="00600719" w:rsidRPr="00F06708" w:rsidRDefault="00600719" w:rsidP="006D578F">
            <w:pPr>
              <w:rPr>
                <w:rFonts w:ascii="Arial" w:hAnsi="Arial" w:cs="Arial"/>
                <w:color w:val="000000"/>
                <w:sz w:val="16"/>
                <w:szCs w:val="16"/>
              </w:rPr>
            </w:pPr>
          </w:p>
        </w:tc>
      </w:tr>
      <w:tr w:rsidR="00600719" w:rsidRPr="00F06708" w:rsidTr="006D578F">
        <w:trPr>
          <w:trHeight w:val="227"/>
        </w:trPr>
        <w:tc>
          <w:tcPr>
            <w:tcW w:w="2850" w:type="dxa"/>
            <w:tcBorders>
              <w:top w:val="nil"/>
              <w:left w:val="nil"/>
              <w:bottom w:val="nil"/>
              <w:right w:val="nil"/>
            </w:tcBorders>
            <w:shd w:val="clear" w:color="auto" w:fill="auto"/>
            <w:vAlign w:val="center"/>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Wartość brutto</w:t>
            </w:r>
          </w:p>
        </w:tc>
        <w:tc>
          <w:tcPr>
            <w:tcW w:w="709"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7 083</w:t>
            </w:r>
          </w:p>
        </w:tc>
        <w:tc>
          <w:tcPr>
            <w:tcW w:w="1134"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138 838</w:t>
            </w:r>
          </w:p>
        </w:tc>
        <w:tc>
          <w:tcPr>
            <w:tcW w:w="992"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9 037</w:t>
            </w:r>
          </w:p>
        </w:tc>
        <w:tc>
          <w:tcPr>
            <w:tcW w:w="1134"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924</w:t>
            </w:r>
          </w:p>
        </w:tc>
        <w:tc>
          <w:tcPr>
            <w:tcW w:w="851"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10 284</w:t>
            </w:r>
          </w:p>
        </w:tc>
        <w:tc>
          <w:tcPr>
            <w:tcW w:w="992"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36 114</w:t>
            </w:r>
          </w:p>
        </w:tc>
        <w:tc>
          <w:tcPr>
            <w:tcW w:w="851"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202 281</w:t>
            </w:r>
          </w:p>
        </w:tc>
      </w:tr>
      <w:tr w:rsidR="00600719" w:rsidRPr="00F06708" w:rsidTr="006D578F">
        <w:trPr>
          <w:trHeight w:val="227"/>
        </w:trPr>
        <w:tc>
          <w:tcPr>
            <w:tcW w:w="2850" w:type="dxa"/>
            <w:tcBorders>
              <w:top w:val="nil"/>
              <w:left w:val="nil"/>
              <w:bottom w:val="nil"/>
              <w:right w:val="nil"/>
            </w:tcBorders>
            <w:shd w:val="clear" w:color="auto" w:fill="auto"/>
            <w:vAlign w:val="center"/>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Umorzenie</w:t>
            </w:r>
          </w:p>
        </w:tc>
        <w:tc>
          <w:tcPr>
            <w:tcW w:w="709"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1134"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-38 573</w:t>
            </w:r>
          </w:p>
        </w:tc>
        <w:tc>
          <w:tcPr>
            <w:tcW w:w="992"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-7 133</w:t>
            </w:r>
          </w:p>
        </w:tc>
        <w:tc>
          <w:tcPr>
            <w:tcW w:w="1134"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-690</w:t>
            </w:r>
          </w:p>
        </w:tc>
        <w:tc>
          <w:tcPr>
            <w:tcW w:w="851"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-9 348</w:t>
            </w:r>
          </w:p>
        </w:tc>
        <w:tc>
          <w:tcPr>
            <w:tcW w:w="992"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851"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-55 744</w:t>
            </w:r>
          </w:p>
        </w:tc>
      </w:tr>
      <w:tr w:rsidR="00600719" w:rsidRPr="00F06708" w:rsidTr="006D578F">
        <w:trPr>
          <w:trHeight w:val="227"/>
        </w:trPr>
        <w:tc>
          <w:tcPr>
            <w:tcW w:w="2850" w:type="dxa"/>
            <w:tcBorders>
              <w:top w:val="nil"/>
              <w:left w:val="nil"/>
              <w:bottom w:val="single" w:sz="8" w:space="0" w:color="auto"/>
              <w:right w:val="nil"/>
            </w:tcBorders>
            <w:shd w:val="clear" w:color="auto" w:fill="auto"/>
            <w:vAlign w:val="center"/>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 xml:space="preserve">Wartość księgowa netto  środków trwałych </w:t>
            </w:r>
          </w:p>
        </w:tc>
        <w:tc>
          <w:tcPr>
            <w:tcW w:w="709" w:type="dxa"/>
            <w:tcBorders>
              <w:top w:val="nil"/>
              <w:left w:val="nil"/>
              <w:bottom w:val="single" w:sz="8" w:space="0" w:color="auto"/>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7 083</w:t>
            </w:r>
          </w:p>
        </w:tc>
        <w:tc>
          <w:tcPr>
            <w:tcW w:w="1134" w:type="dxa"/>
            <w:tcBorders>
              <w:top w:val="nil"/>
              <w:left w:val="nil"/>
              <w:bottom w:val="single" w:sz="8" w:space="0" w:color="auto"/>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100 265</w:t>
            </w:r>
          </w:p>
        </w:tc>
        <w:tc>
          <w:tcPr>
            <w:tcW w:w="992" w:type="dxa"/>
            <w:tcBorders>
              <w:top w:val="nil"/>
              <w:left w:val="nil"/>
              <w:bottom w:val="single" w:sz="8" w:space="0" w:color="auto"/>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1 905</w:t>
            </w:r>
          </w:p>
        </w:tc>
        <w:tc>
          <w:tcPr>
            <w:tcW w:w="1134" w:type="dxa"/>
            <w:tcBorders>
              <w:top w:val="nil"/>
              <w:left w:val="nil"/>
              <w:bottom w:val="single" w:sz="8" w:space="0" w:color="auto"/>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233</w:t>
            </w:r>
          </w:p>
        </w:tc>
        <w:tc>
          <w:tcPr>
            <w:tcW w:w="851" w:type="dxa"/>
            <w:tcBorders>
              <w:top w:val="nil"/>
              <w:left w:val="nil"/>
              <w:bottom w:val="single" w:sz="8" w:space="0" w:color="auto"/>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936</w:t>
            </w:r>
          </w:p>
        </w:tc>
        <w:tc>
          <w:tcPr>
            <w:tcW w:w="992" w:type="dxa"/>
            <w:tcBorders>
              <w:top w:val="nil"/>
              <w:left w:val="nil"/>
              <w:bottom w:val="single" w:sz="8" w:space="0" w:color="auto"/>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36 114</w:t>
            </w:r>
          </w:p>
        </w:tc>
        <w:tc>
          <w:tcPr>
            <w:tcW w:w="851" w:type="dxa"/>
            <w:tcBorders>
              <w:top w:val="nil"/>
              <w:left w:val="nil"/>
              <w:bottom w:val="single" w:sz="8" w:space="0" w:color="auto"/>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146 537</w:t>
            </w:r>
          </w:p>
        </w:tc>
      </w:tr>
      <w:tr w:rsidR="00600719" w:rsidRPr="00F06708" w:rsidTr="006D578F">
        <w:trPr>
          <w:trHeight w:val="227"/>
        </w:trPr>
        <w:tc>
          <w:tcPr>
            <w:tcW w:w="2850" w:type="dxa"/>
            <w:tcBorders>
              <w:top w:val="nil"/>
              <w:left w:val="nil"/>
              <w:bottom w:val="nil"/>
              <w:right w:val="nil"/>
            </w:tcBorders>
            <w:shd w:val="clear" w:color="auto" w:fill="auto"/>
            <w:vAlign w:val="center"/>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 xml:space="preserve">      w tym wartość księgowa netto środków trwałych w leasingu</w:t>
            </w:r>
          </w:p>
        </w:tc>
        <w:tc>
          <w:tcPr>
            <w:tcW w:w="709" w:type="dxa"/>
            <w:vMerge w:val="restart"/>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6 764</w:t>
            </w:r>
          </w:p>
        </w:tc>
        <w:tc>
          <w:tcPr>
            <w:tcW w:w="1134" w:type="dxa"/>
            <w:vMerge w:val="restart"/>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420</w:t>
            </w:r>
          </w:p>
        </w:tc>
        <w:tc>
          <w:tcPr>
            <w:tcW w:w="992" w:type="dxa"/>
            <w:vMerge w:val="restart"/>
            <w:tcBorders>
              <w:top w:val="nil"/>
              <w:left w:val="nil"/>
              <w:bottom w:val="nil"/>
              <w:right w:val="nil"/>
            </w:tcBorders>
            <w:shd w:val="clear" w:color="auto" w:fill="auto"/>
            <w:noWrap/>
            <w:vAlign w:val="bottom"/>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 </w:t>
            </w:r>
          </w:p>
        </w:tc>
        <w:tc>
          <w:tcPr>
            <w:tcW w:w="1134" w:type="dxa"/>
            <w:vMerge w:val="restart"/>
            <w:tcBorders>
              <w:top w:val="nil"/>
              <w:left w:val="nil"/>
              <w:bottom w:val="nil"/>
              <w:right w:val="nil"/>
            </w:tcBorders>
            <w:shd w:val="clear" w:color="auto" w:fill="auto"/>
            <w:noWrap/>
            <w:vAlign w:val="bottom"/>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 </w:t>
            </w:r>
          </w:p>
        </w:tc>
        <w:tc>
          <w:tcPr>
            <w:tcW w:w="851" w:type="dxa"/>
            <w:vMerge w:val="restart"/>
            <w:tcBorders>
              <w:top w:val="nil"/>
              <w:left w:val="nil"/>
              <w:bottom w:val="nil"/>
              <w:right w:val="nil"/>
            </w:tcBorders>
            <w:shd w:val="clear" w:color="auto" w:fill="auto"/>
            <w:noWrap/>
            <w:vAlign w:val="bottom"/>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 </w:t>
            </w:r>
          </w:p>
        </w:tc>
        <w:tc>
          <w:tcPr>
            <w:tcW w:w="992" w:type="dxa"/>
            <w:vMerge w:val="restart"/>
            <w:tcBorders>
              <w:top w:val="nil"/>
              <w:left w:val="nil"/>
              <w:bottom w:val="nil"/>
              <w:right w:val="nil"/>
            </w:tcBorders>
            <w:shd w:val="clear" w:color="auto" w:fill="auto"/>
            <w:noWrap/>
            <w:vAlign w:val="bottom"/>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 </w:t>
            </w:r>
          </w:p>
        </w:tc>
        <w:tc>
          <w:tcPr>
            <w:tcW w:w="851" w:type="dxa"/>
            <w:vMerge w:val="restart"/>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7 184</w:t>
            </w:r>
          </w:p>
        </w:tc>
      </w:tr>
      <w:tr w:rsidR="00600719" w:rsidRPr="00F06708" w:rsidTr="006D578F">
        <w:trPr>
          <w:trHeight w:val="227"/>
        </w:trPr>
        <w:tc>
          <w:tcPr>
            <w:tcW w:w="2850" w:type="dxa"/>
            <w:tcBorders>
              <w:top w:val="nil"/>
              <w:left w:val="nil"/>
              <w:bottom w:val="nil"/>
              <w:right w:val="nil"/>
            </w:tcBorders>
            <w:shd w:val="clear" w:color="auto" w:fill="auto"/>
            <w:vAlign w:val="center"/>
            <w:hideMark/>
          </w:tcPr>
          <w:p w:rsidR="00600719" w:rsidRPr="00F06708" w:rsidRDefault="00600719" w:rsidP="006D578F">
            <w:pPr>
              <w:rPr>
                <w:rFonts w:ascii="Arial" w:hAnsi="Arial" w:cs="Arial"/>
                <w:color w:val="000000"/>
                <w:sz w:val="16"/>
                <w:szCs w:val="16"/>
              </w:rPr>
            </w:pPr>
          </w:p>
        </w:tc>
        <w:tc>
          <w:tcPr>
            <w:tcW w:w="709" w:type="dxa"/>
            <w:vMerge/>
            <w:tcBorders>
              <w:top w:val="nil"/>
              <w:left w:val="nil"/>
              <w:bottom w:val="nil"/>
              <w:right w:val="nil"/>
            </w:tcBorders>
            <w:vAlign w:val="center"/>
            <w:hideMark/>
          </w:tcPr>
          <w:p w:rsidR="00600719" w:rsidRPr="00F06708" w:rsidRDefault="00600719" w:rsidP="006D578F">
            <w:pPr>
              <w:rPr>
                <w:rFonts w:ascii="Arial" w:hAnsi="Arial" w:cs="Arial"/>
                <w:color w:val="000000"/>
                <w:sz w:val="16"/>
                <w:szCs w:val="16"/>
              </w:rPr>
            </w:pPr>
          </w:p>
        </w:tc>
        <w:tc>
          <w:tcPr>
            <w:tcW w:w="1134" w:type="dxa"/>
            <w:vMerge/>
            <w:tcBorders>
              <w:top w:val="nil"/>
              <w:left w:val="nil"/>
              <w:bottom w:val="nil"/>
              <w:right w:val="nil"/>
            </w:tcBorders>
            <w:vAlign w:val="center"/>
            <w:hideMark/>
          </w:tcPr>
          <w:p w:rsidR="00600719" w:rsidRPr="00F06708" w:rsidRDefault="00600719" w:rsidP="006D578F">
            <w:pPr>
              <w:rPr>
                <w:rFonts w:ascii="Arial" w:hAnsi="Arial" w:cs="Arial"/>
                <w:color w:val="000000"/>
                <w:sz w:val="16"/>
                <w:szCs w:val="16"/>
              </w:rPr>
            </w:pPr>
          </w:p>
        </w:tc>
        <w:tc>
          <w:tcPr>
            <w:tcW w:w="992" w:type="dxa"/>
            <w:vMerge/>
            <w:tcBorders>
              <w:top w:val="nil"/>
              <w:left w:val="nil"/>
              <w:bottom w:val="nil"/>
              <w:right w:val="nil"/>
            </w:tcBorders>
            <w:vAlign w:val="center"/>
            <w:hideMark/>
          </w:tcPr>
          <w:p w:rsidR="00600719" w:rsidRPr="00F06708" w:rsidRDefault="00600719" w:rsidP="006D578F">
            <w:pPr>
              <w:rPr>
                <w:rFonts w:ascii="Arial" w:hAnsi="Arial" w:cs="Arial"/>
                <w:color w:val="000000"/>
                <w:sz w:val="16"/>
                <w:szCs w:val="16"/>
              </w:rPr>
            </w:pPr>
          </w:p>
        </w:tc>
        <w:tc>
          <w:tcPr>
            <w:tcW w:w="1134" w:type="dxa"/>
            <w:vMerge/>
            <w:tcBorders>
              <w:top w:val="nil"/>
              <w:left w:val="nil"/>
              <w:bottom w:val="nil"/>
              <w:right w:val="nil"/>
            </w:tcBorders>
            <w:vAlign w:val="center"/>
            <w:hideMark/>
          </w:tcPr>
          <w:p w:rsidR="00600719" w:rsidRPr="00F06708" w:rsidRDefault="00600719" w:rsidP="006D578F">
            <w:pPr>
              <w:rPr>
                <w:rFonts w:ascii="Arial" w:hAnsi="Arial" w:cs="Arial"/>
                <w:color w:val="000000"/>
                <w:sz w:val="16"/>
                <w:szCs w:val="16"/>
              </w:rPr>
            </w:pPr>
          </w:p>
        </w:tc>
        <w:tc>
          <w:tcPr>
            <w:tcW w:w="851" w:type="dxa"/>
            <w:vMerge/>
            <w:tcBorders>
              <w:top w:val="nil"/>
              <w:left w:val="nil"/>
              <w:bottom w:val="nil"/>
              <w:right w:val="nil"/>
            </w:tcBorders>
            <w:vAlign w:val="center"/>
            <w:hideMark/>
          </w:tcPr>
          <w:p w:rsidR="00600719" w:rsidRPr="00F06708" w:rsidRDefault="00600719" w:rsidP="006D578F">
            <w:pPr>
              <w:rPr>
                <w:rFonts w:ascii="Arial" w:hAnsi="Arial" w:cs="Arial"/>
                <w:color w:val="000000"/>
                <w:sz w:val="16"/>
                <w:szCs w:val="16"/>
              </w:rPr>
            </w:pPr>
          </w:p>
        </w:tc>
        <w:tc>
          <w:tcPr>
            <w:tcW w:w="992" w:type="dxa"/>
            <w:vMerge/>
            <w:tcBorders>
              <w:top w:val="nil"/>
              <w:left w:val="nil"/>
              <w:bottom w:val="nil"/>
              <w:right w:val="nil"/>
            </w:tcBorders>
            <w:vAlign w:val="center"/>
            <w:hideMark/>
          </w:tcPr>
          <w:p w:rsidR="00600719" w:rsidRPr="00F06708" w:rsidRDefault="00600719" w:rsidP="006D578F">
            <w:pPr>
              <w:rPr>
                <w:rFonts w:ascii="Arial" w:hAnsi="Arial" w:cs="Arial"/>
                <w:color w:val="000000"/>
                <w:sz w:val="16"/>
                <w:szCs w:val="16"/>
              </w:rPr>
            </w:pPr>
          </w:p>
        </w:tc>
        <w:tc>
          <w:tcPr>
            <w:tcW w:w="851" w:type="dxa"/>
            <w:vMerge/>
            <w:tcBorders>
              <w:top w:val="nil"/>
              <w:left w:val="nil"/>
              <w:bottom w:val="nil"/>
              <w:right w:val="nil"/>
            </w:tcBorders>
            <w:vAlign w:val="center"/>
            <w:hideMark/>
          </w:tcPr>
          <w:p w:rsidR="00600719" w:rsidRPr="00F06708" w:rsidRDefault="00600719" w:rsidP="006D578F">
            <w:pPr>
              <w:rPr>
                <w:rFonts w:ascii="Arial" w:hAnsi="Arial" w:cs="Arial"/>
                <w:color w:val="000000"/>
                <w:sz w:val="16"/>
                <w:szCs w:val="16"/>
              </w:rPr>
            </w:pPr>
          </w:p>
        </w:tc>
      </w:tr>
      <w:tr w:rsidR="00600719" w:rsidRPr="00F06708" w:rsidTr="006D578F">
        <w:trPr>
          <w:trHeight w:val="227"/>
        </w:trPr>
        <w:tc>
          <w:tcPr>
            <w:tcW w:w="2850" w:type="dxa"/>
            <w:tcBorders>
              <w:top w:val="nil"/>
              <w:left w:val="nil"/>
              <w:bottom w:val="nil"/>
              <w:right w:val="nil"/>
            </w:tcBorders>
            <w:shd w:val="clear" w:color="auto" w:fill="auto"/>
            <w:vAlign w:val="center"/>
            <w:hideMark/>
          </w:tcPr>
          <w:p w:rsidR="00600719" w:rsidRPr="00F06708" w:rsidRDefault="00600719" w:rsidP="006D578F">
            <w:pPr>
              <w:rPr>
                <w:rFonts w:ascii="Arial" w:hAnsi="Arial" w:cs="Arial"/>
                <w:b/>
                <w:bCs/>
                <w:color w:val="000000"/>
                <w:sz w:val="16"/>
                <w:szCs w:val="16"/>
              </w:rPr>
            </w:pPr>
            <w:r w:rsidRPr="00F06708">
              <w:rPr>
                <w:rFonts w:ascii="Arial" w:hAnsi="Arial" w:cs="Arial"/>
                <w:b/>
                <w:bCs/>
                <w:color w:val="000000"/>
                <w:sz w:val="16"/>
                <w:szCs w:val="16"/>
              </w:rPr>
              <w:t xml:space="preserve">Zmiany w III </w:t>
            </w:r>
            <w:r w:rsidR="00F06708" w:rsidRPr="00F06708">
              <w:rPr>
                <w:rFonts w:ascii="Arial" w:hAnsi="Arial" w:cs="Arial"/>
                <w:b/>
                <w:bCs/>
                <w:color w:val="000000"/>
                <w:sz w:val="16"/>
                <w:szCs w:val="16"/>
              </w:rPr>
              <w:t>kwartałach</w:t>
            </w:r>
            <w:r w:rsidRPr="00F06708">
              <w:rPr>
                <w:rFonts w:ascii="Arial" w:hAnsi="Arial" w:cs="Arial"/>
                <w:b/>
                <w:bCs/>
                <w:color w:val="000000"/>
                <w:sz w:val="16"/>
                <w:szCs w:val="16"/>
              </w:rPr>
              <w:t xml:space="preserve"> 2021 r.</w:t>
            </w:r>
          </w:p>
        </w:tc>
        <w:tc>
          <w:tcPr>
            <w:tcW w:w="709" w:type="dxa"/>
            <w:tcBorders>
              <w:top w:val="nil"/>
              <w:left w:val="nil"/>
              <w:bottom w:val="nil"/>
              <w:right w:val="nil"/>
            </w:tcBorders>
            <w:shd w:val="clear" w:color="auto" w:fill="auto"/>
            <w:noWrap/>
            <w:vAlign w:val="bottom"/>
            <w:hideMark/>
          </w:tcPr>
          <w:p w:rsidR="00600719" w:rsidRPr="00F06708" w:rsidRDefault="00600719" w:rsidP="006D578F">
            <w:pPr>
              <w:rPr>
                <w:rFonts w:ascii="Arial" w:hAnsi="Arial" w:cs="Arial"/>
                <w:color w:val="000000"/>
                <w:sz w:val="16"/>
                <w:szCs w:val="16"/>
              </w:rPr>
            </w:pPr>
          </w:p>
        </w:tc>
        <w:tc>
          <w:tcPr>
            <w:tcW w:w="1134" w:type="dxa"/>
            <w:tcBorders>
              <w:top w:val="nil"/>
              <w:left w:val="nil"/>
              <w:bottom w:val="nil"/>
              <w:right w:val="nil"/>
            </w:tcBorders>
            <w:shd w:val="clear" w:color="auto" w:fill="auto"/>
            <w:noWrap/>
            <w:vAlign w:val="bottom"/>
            <w:hideMark/>
          </w:tcPr>
          <w:p w:rsidR="00600719" w:rsidRPr="00F06708" w:rsidRDefault="00600719" w:rsidP="006D578F">
            <w:pPr>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rsidR="00600719" w:rsidRPr="00F06708" w:rsidRDefault="00600719" w:rsidP="006D578F">
            <w:pPr>
              <w:rPr>
                <w:rFonts w:ascii="Arial" w:hAnsi="Arial" w:cs="Arial"/>
                <w:color w:val="000000"/>
                <w:sz w:val="16"/>
                <w:szCs w:val="16"/>
              </w:rPr>
            </w:pPr>
          </w:p>
        </w:tc>
        <w:tc>
          <w:tcPr>
            <w:tcW w:w="1134" w:type="dxa"/>
            <w:tcBorders>
              <w:top w:val="nil"/>
              <w:left w:val="nil"/>
              <w:bottom w:val="nil"/>
              <w:right w:val="nil"/>
            </w:tcBorders>
            <w:shd w:val="clear" w:color="auto" w:fill="auto"/>
            <w:noWrap/>
            <w:vAlign w:val="bottom"/>
            <w:hideMark/>
          </w:tcPr>
          <w:p w:rsidR="00600719" w:rsidRPr="00F06708" w:rsidRDefault="00600719" w:rsidP="006D578F">
            <w:pPr>
              <w:rPr>
                <w:rFonts w:ascii="Arial" w:hAnsi="Arial" w:cs="Arial"/>
                <w:color w:val="000000"/>
                <w:sz w:val="16"/>
                <w:szCs w:val="16"/>
              </w:rPr>
            </w:pPr>
          </w:p>
        </w:tc>
        <w:tc>
          <w:tcPr>
            <w:tcW w:w="851" w:type="dxa"/>
            <w:tcBorders>
              <w:top w:val="nil"/>
              <w:left w:val="nil"/>
              <w:bottom w:val="nil"/>
              <w:right w:val="nil"/>
            </w:tcBorders>
            <w:shd w:val="clear" w:color="auto" w:fill="auto"/>
            <w:noWrap/>
            <w:vAlign w:val="bottom"/>
            <w:hideMark/>
          </w:tcPr>
          <w:p w:rsidR="00600719" w:rsidRPr="00F06708" w:rsidRDefault="00600719" w:rsidP="006D578F">
            <w:pPr>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rsidR="00600719" w:rsidRPr="00F06708" w:rsidRDefault="00600719" w:rsidP="006D578F">
            <w:pPr>
              <w:rPr>
                <w:rFonts w:ascii="Arial" w:hAnsi="Arial" w:cs="Arial"/>
                <w:color w:val="000000"/>
                <w:sz w:val="16"/>
                <w:szCs w:val="16"/>
              </w:rPr>
            </w:pPr>
          </w:p>
        </w:tc>
        <w:tc>
          <w:tcPr>
            <w:tcW w:w="851" w:type="dxa"/>
            <w:tcBorders>
              <w:top w:val="nil"/>
              <w:left w:val="nil"/>
              <w:bottom w:val="nil"/>
              <w:right w:val="nil"/>
            </w:tcBorders>
            <w:shd w:val="clear" w:color="auto" w:fill="auto"/>
            <w:noWrap/>
            <w:vAlign w:val="bottom"/>
            <w:hideMark/>
          </w:tcPr>
          <w:p w:rsidR="00600719" w:rsidRPr="00F06708" w:rsidRDefault="00600719" w:rsidP="006D578F">
            <w:pPr>
              <w:rPr>
                <w:rFonts w:ascii="Arial" w:hAnsi="Arial" w:cs="Arial"/>
                <w:color w:val="000000"/>
                <w:sz w:val="16"/>
                <w:szCs w:val="16"/>
              </w:rPr>
            </w:pPr>
          </w:p>
        </w:tc>
      </w:tr>
      <w:tr w:rsidR="00600719" w:rsidRPr="00F06708" w:rsidTr="006D578F">
        <w:trPr>
          <w:trHeight w:val="227"/>
        </w:trPr>
        <w:tc>
          <w:tcPr>
            <w:tcW w:w="2850" w:type="dxa"/>
            <w:tcBorders>
              <w:top w:val="nil"/>
              <w:left w:val="nil"/>
              <w:bottom w:val="nil"/>
              <w:right w:val="nil"/>
            </w:tcBorders>
            <w:shd w:val="clear" w:color="auto" w:fill="auto"/>
            <w:vAlign w:val="center"/>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Rozliczenie środków trwałych</w:t>
            </w:r>
          </w:p>
        </w:tc>
        <w:tc>
          <w:tcPr>
            <w:tcW w:w="709"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1134"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38222</w:t>
            </w:r>
          </w:p>
        </w:tc>
        <w:tc>
          <w:tcPr>
            <w:tcW w:w="992"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5018</w:t>
            </w:r>
          </w:p>
        </w:tc>
        <w:tc>
          <w:tcPr>
            <w:tcW w:w="1134"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19</w:t>
            </w:r>
          </w:p>
        </w:tc>
        <w:tc>
          <w:tcPr>
            <w:tcW w:w="851"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980</w:t>
            </w:r>
          </w:p>
        </w:tc>
        <w:tc>
          <w:tcPr>
            <w:tcW w:w="992"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-44 239</w:t>
            </w:r>
          </w:p>
        </w:tc>
        <w:tc>
          <w:tcPr>
            <w:tcW w:w="851"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r>
      <w:tr w:rsidR="00600719" w:rsidRPr="00F06708" w:rsidTr="006D578F">
        <w:trPr>
          <w:trHeight w:val="227"/>
        </w:trPr>
        <w:tc>
          <w:tcPr>
            <w:tcW w:w="2850" w:type="dxa"/>
            <w:tcBorders>
              <w:top w:val="nil"/>
              <w:left w:val="nil"/>
              <w:bottom w:val="nil"/>
              <w:right w:val="nil"/>
            </w:tcBorders>
            <w:shd w:val="clear" w:color="auto" w:fill="auto"/>
            <w:vAlign w:val="center"/>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 xml:space="preserve"> w budowie</w:t>
            </w:r>
          </w:p>
        </w:tc>
        <w:tc>
          <w:tcPr>
            <w:tcW w:w="709" w:type="dxa"/>
            <w:tcBorders>
              <w:top w:val="nil"/>
              <w:left w:val="nil"/>
              <w:bottom w:val="nil"/>
              <w:right w:val="nil"/>
            </w:tcBorders>
            <w:shd w:val="clear" w:color="auto" w:fill="auto"/>
            <w:noWrap/>
            <w:vAlign w:val="bottom"/>
            <w:hideMark/>
          </w:tcPr>
          <w:p w:rsidR="00600719" w:rsidRPr="00F06708" w:rsidRDefault="00600719" w:rsidP="006D578F">
            <w:pPr>
              <w:rPr>
                <w:rFonts w:ascii="Arial" w:hAnsi="Arial" w:cs="Arial"/>
                <w:color w:val="000000"/>
                <w:sz w:val="16"/>
                <w:szCs w:val="16"/>
              </w:rPr>
            </w:pPr>
          </w:p>
        </w:tc>
        <w:tc>
          <w:tcPr>
            <w:tcW w:w="1134" w:type="dxa"/>
            <w:tcBorders>
              <w:top w:val="nil"/>
              <w:left w:val="nil"/>
              <w:bottom w:val="nil"/>
              <w:right w:val="nil"/>
            </w:tcBorders>
            <w:shd w:val="clear" w:color="auto" w:fill="auto"/>
            <w:noWrap/>
            <w:vAlign w:val="bottom"/>
            <w:hideMark/>
          </w:tcPr>
          <w:p w:rsidR="00600719" w:rsidRPr="00F06708" w:rsidRDefault="00600719" w:rsidP="006D578F">
            <w:pPr>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rsidR="00600719" w:rsidRPr="00F06708" w:rsidRDefault="00600719" w:rsidP="006D578F">
            <w:pPr>
              <w:rPr>
                <w:rFonts w:ascii="Arial" w:hAnsi="Arial" w:cs="Arial"/>
                <w:color w:val="000000"/>
                <w:sz w:val="16"/>
                <w:szCs w:val="16"/>
              </w:rPr>
            </w:pPr>
          </w:p>
        </w:tc>
        <w:tc>
          <w:tcPr>
            <w:tcW w:w="1134" w:type="dxa"/>
            <w:tcBorders>
              <w:top w:val="nil"/>
              <w:left w:val="nil"/>
              <w:bottom w:val="nil"/>
              <w:right w:val="nil"/>
            </w:tcBorders>
            <w:shd w:val="clear" w:color="auto" w:fill="auto"/>
            <w:noWrap/>
            <w:vAlign w:val="bottom"/>
            <w:hideMark/>
          </w:tcPr>
          <w:p w:rsidR="00600719" w:rsidRPr="00F06708" w:rsidRDefault="00600719" w:rsidP="006D578F">
            <w:pPr>
              <w:rPr>
                <w:rFonts w:ascii="Arial" w:hAnsi="Arial" w:cs="Arial"/>
                <w:color w:val="000000"/>
                <w:sz w:val="16"/>
                <w:szCs w:val="16"/>
              </w:rPr>
            </w:pPr>
          </w:p>
        </w:tc>
        <w:tc>
          <w:tcPr>
            <w:tcW w:w="851" w:type="dxa"/>
            <w:tcBorders>
              <w:top w:val="nil"/>
              <w:left w:val="nil"/>
              <w:bottom w:val="nil"/>
              <w:right w:val="nil"/>
            </w:tcBorders>
            <w:shd w:val="clear" w:color="auto" w:fill="auto"/>
            <w:noWrap/>
            <w:vAlign w:val="bottom"/>
            <w:hideMark/>
          </w:tcPr>
          <w:p w:rsidR="00600719" w:rsidRPr="00F06708" w:rsidRDefault="00600719" w:rsidP="006D578F">
            <w:pPr>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rsidR="00600719" w:rsidRPr="00F06708" w:rsidRDefault="00600719" w:rsidP="006D578F">
            <w:pPr>
              <w:rPr>
                <w:rFonts w:ascii="Arial" w:hAnsi="Arial" w:cs="Arial"/>
                <w:color w:val="000000"/>
                <w:sz w:val="16"/>
                <w:szCs w:val="16"/>
              </w:rPr>
            </w:pPr>
          </w:p>
        </w:tc>
        <w:tc>
          <w:tcPr>
            <w:tcW w:w="851" w:type="dxa"/>
            <w:tcBorders>
              <w:top w:val="nil"/>
              <w:left w:val="nil"/>
              <w:bottom w:val="nil"/>
              <w:right w:val="nil"/>
            </w:tcBorders>
            <w:shd w:val="clear" w:color="auto" w:fill="auto"/>
            <w:noWrap/>
            <w:vAlign w:val="bottom"/>
            <w:hideMark/>
          </w:tcPr>
          <w:p w:rsidR="00600719" w:rsidRPr="00F06708" w:rsidRDefault="00600719" w:rsidP="006D578F">
            <w:pPr>
              <w:rPr>
                <w:rFonts w:ascii="Arial" w:hAnsi="Arial" w:cs="Arial"/>
                <w:color w:val="000000"/>
                <w:sz w:val="16"/>
                <w:szCs w:val="16"/>
              </w:rPr>
            </w:pPr>
          </w:p>
        </w:tc>
      </w:tr>
      <w:tr w:rsidR="00600719" w:rsidRPr="00F06708" w:rsidTr="006D578F">
        <w:trPr>
          <w:trHeight w:val="227"/>
        </w:trPr>
        <w:tc>
          <w:tcPr>
            <w:tcW w:w="2850" w:type="dxa"/>
            <w:tcBorders>
              <w:top w:val="nil"/>
              <w:left w:val="nil"/>
              <w:bottom w:val="nil"/>
              <w:right w:val="nil"/>
            </w:tcBorders>
            <w:shd w:val="clear" w:color="auto" w:fill="auto"/>
            <w:vAlign w:val="center"/>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Zakup bezpośredni</w:t>
            </w:r>
          </w:p>
        </w:tc>
        <w:tc>
          <w:tcPr>
            <w:tcW w:w="709"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1134"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992"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79</w:t>
            </w:r>
          </w:p>
        </w:tc>
        <w:tc>
          <w:tcPr>
            <w:tcW w:w="1134"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851"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118</w:t>
            </w:r>
          </w:p>
        </w:tc>
        <w:tc>
          <w:tcPr>
            <w:tcW w:w="992"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9 551</w:t>
            </w:r>
          </w:p>
        </w:tc>
        <w:tc>
          <w:tcPr>
            <w:tcW w:w="851"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9 748</w:t>
            </w:r>
          </w:p>
        </w:tc>
      </w:tr>
      <w:tr w:rsidR="00600719" w:rsidRPr="00F06708" w:rsidTr="006D578F">
        <w:trPr>
          <w:trHeight w:val="227"/>
        </w:trPr>
        <w:tc>
          <w:tcPr>
            <w:tcW w:w="2850" w:type="dxa"/>
            <w:tcBorders>
              <w:top w:val="nil"/>
              <w:left w:val="nil"/>
              <w:bottom w:val="nil"/>
              <w:right w:val="nil"/>
            </w:tcBorders>
            <w:shd w:val="clear" w:color="auto" w:fill="auto"/>
            <w:vAlign w:val="center"/>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Zbycie</w:t>
            </w:r>
          </w:p>
        </w:tc>
        <w:tc>
          <w:tcPr>
            <w:tcW w:w="709"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1134"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992"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1134"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851"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992"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851"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p>
        </w:tc>
      </w:tr>
      <w:tr w:rsidR="00600719" w:rsidRPr="00F06708" w:rsidTr="006D578F">
        <w:trPr>
          <w:trHeight w:val="227"/>
        </w:trPr>
        <w:tc>
          <w:tcPr>
            <w:tcW w:w="2850" w:type="dxa"/>
            <w:tcBorders>
              <w:top w:val="nil"/>
              <w:left w:val="nil"/>
              <w:bottom w:val="nil"/>
              <w:right w:val="nil"/>
            </w:tcBorders>
            <w:shd w:val="clear" w:color="auto" w:fill="auto"/>
            <w:vAlign w:val="center"/>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Przeklasyfikowanie do aktywów trwałych przeznaczonych do sprzedaży</w:t>
            </w:r>
          </w:p>
        </w:tc>
        <w:tc>
          <w:tcPr>
            <w:tcW w:w="709"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-240</w:t>
            </w:r>
          </w:p>
        </w:tc>
        <w:tc>
          <w:tcPr>
            <w:tcW w:w="1134"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-2834</w:t>
            </w:r>
          </w:p>
        </w:tc>
        <w:tc>
          <w:tcPr>
            <w:tcW w:w="992"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1134"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851"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992"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851"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-3 074</w:t>
            </w:r>
          </w:p>
        </w:tc>
      </w:tr>
      <w:tr w:rsidR="00600719" w:rsidRPr="00F06708" w:rsidTr="006D578F">
        <w:trPr>
          <w:trHeight w:val="227"/>
        </w:trPr>
        <w:tc>
          <w:tcPr>
            <w:tcW w:w="2850" w:type="dxa"/>
            <w:tcBorders>
              <w:top w:val="nil"/>
              <w:left w:val="nil"/>
              <w:bottom w:val="nil"/>
              <w:right w:val="nil"/>
            </w:tcBorders>
            <w:shd w:val="clear" w:color="auto" w:fill="auto"/>
            <w:vAlign w:val="center"/>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Likwidacja lub spisanie z ewidencji</w:t>
            </w:r>
          </w:p>
        </w:tc>
        <w:tc>
          <w:tcPr>
            <w:tcW w:w="709" w:type="dxa"/>
            <w:vMerge w:val="restart"/>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1134" w:type="dxa"/>
            <w:vMerge w:val="restart"/>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992" w:type="dxa"/>
            <w:vMerge w:val="restart"/>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-84</w:t>
            </w:r>
          </w:p>
        </w:tc>
        <w:tc>
          <w:tcPr>
            <w:tcW w:w="1134" w:type="dxa"/>
            <w:vMerge w:val="restart"/>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851" w:type="dxa"/>
            <w:vMerge w:val="restart"/>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-325</w:t>
            </w:r>
          </w:p>
        </w:tc>
        <w:tc>
          <w:tcPr>
            <w:tcW w:w="992" w:type="dxa"/>
            <w:vMerge w:val="restart"/>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851" w:type="dxa"/>
            <w:vMerge w:val="restart"/>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-409</w:t>
            </w:r>
          </w:p>
        </w:tc>
      </w:tr>
      <w:tr w:rsidR="00600719" w:rsidRPr="00F06708" w:rsidTr="006D578F">
        <w:trPr>
          <w:trHeight w:val="227"/>
        </w:trPr>
        <w:tc>
          <w:tcPr>
            <w:tcW w:w="2850" w:type="dxa"/>
            <w:tcBorders>
              <w:top w:val="nil"/>
              <w:left w:val="nil"/>
              <w:bottom w:val="nil"/>
              <w:right w:val="nil"/>
            </w:tcBorders>
            <w:shd w:val="clear" w:color="auto" w:fill="auto"/>
            <w:vAlign w:val="center"/>
            <w:hideMark/>
          </w:tcPr>
          <w:p w:rsidR="00600719" w:rsidRPr="00F06708" w:rsidRDefault="00600719" w:rsidP="006D578F">
            <w:pPr>
              <w:rPr>
                <w:rFonts w:ascii="Arial" w:hAnsi="Arial" w:cs="Arial"/>
                <w:color w:val="000000"/>
                <w:sz w:val="16"/>
                <w:szCs w:val="16"/>
              </w:rPr>
            </w:pPr>
          </w:p>
        </w:tc>
        <w:tc>
          <w:tcPr>
            <w:tcW w:w="709" w:type="dxa"/>
            <w:vMerge/>
            <w:tcBorders>
              <w:top w:val="nil"/>
              <w:left w:val="nil"/>
              <w:bottom w:val="nil"/>
              <w:right w:val="nil"/>
            </w:tcBorders>
            <w:vAlign w:val="center"/>
            <w:hideMark/>
          </w:tcPr>
          <w:p w:rsidR="00600719" w:rsidRPr="00F06708" w:rsidRDefault="00600719" w:rsidP="006D578F">
            <w:pPr>
              <w:rPr>
                <w:rFonts w:ascii="Arial" w:hAnsi="Arial" w:cs="Arial"/>
                <w:color w:val="000000"/>
                <w:sz w:val="16"/>
                <w:szCs w:val="16"/>
              </w:rPr>
            </w:pPr>
          </w:p>
        </w:tc>
        <w:tc>
          <w:tcPr>
            <w:tcW w:w="1134" w:type="dxa"/>
            <w:vMerge/>
            <w:tcBorders>
              <w:top w:val="nil"/>
              <w:left w:val="nil"/>
              <w:bottom w:val="nil"/>
              <w:right w:val="nil"/>
            </w:tcBorders>
            <w:vAlign w:val="center"/>
            <w:hideMark/>
          </w:tcPr>
          <w:p w:rsidR="00600719" w:rsidRPr="00F06708" w:rsidRDefault="00600719" w:rsidP="006D578F">
            <w:pPr>
              <w:rPr>
                <w:rFonts w:ascii="Arial" w:hAnsi="Arial" w:cs="Arial"/>
                <w:color w:val="000000"/>
                <w:sz w:val="16"/>
                <w:szCs w:val="16"/>
              </w:rPr>
            </w:pPr>
          </w:p>
        </w:tc>
        <w:tc>
          <w:tcPr>
            <w:tcW w:w="992" w:type="dxa"/>
            <w:vMerge/>
            <w:tcBorders>
              <w:top w:val="nil"/>
              <w:left w:val="nil"/>
              <w:bottom w:val="nil"/>
              <w:right w:val="nil"/>
            </w:tcBorders>
            <w:vAlign w:val="center"/>
            <w:hideMark/>
          </w:tcPr>
          <w:p w:rsidR="00600719" w:rsidRPr="00F06708" w:rsidRDefault="00600719" w:rsidP="006D578F">
            <w:pPr>
              <w:rPr>
                <w:rFonts w:ascii="Arial" w:hAnsi="Arial" w:cs="Arial"/>
                <w:color w:val="000000"/>
                <w:sz w:val="16"/>
                <w:szCs w:val="16"/>
              </w:rPr>
            </w:pPr>
          </w:p>
        </w:tc>
        <w:tc>
          <w:tcPr>
            <w:tcW w:w="1134" w:type="dxa"/>
            <w:vMerge/>
            <w:tcBorders>
              <w:top w:val="nil"/>
              <w:left w:val="nil"/>
              <w:bottom w:val="nil"/>
              <w:right w:val="nil"/>
            </w:tcBorders>
            <w:vAlign w:val="center"/>
            <w:hideMark/>
          </w:tcPr>
          <w:p w:rsidR="00600719" w:rsidRPr="00F06708" w:rsidRDefault="00600719" w:rsidP="006D578F">
            <w:pPr>
              <w:rPr>
                <w:rFonts w:ascii="Arial" w:hAnsi="Arial" w:cs="Arial"/>
                <w:color w:val="000000"/>
                <w:sz w:val="16"/>
                <w:szCs w:val="16"/>
              </w:rPr>
            </w:pPr>
          </w:p>
        </w:tc>
        <w:tc>
          <w:tcPr>
            <w:tcW w:w="851" w:type="dxa"/>
            <w:vMerge/>
            <w:tcBorders>
              <w:top w:val="nil"/>
              <w:left w:val="nil"/>
              <w:bottom w:val="nil"/>
              <w:right w:val="nil"/>
            </w:tcBorders>
            <w:vAlign w:val="center"/>
            <w:hideMark/>
          </w:tcPr>
          <w:p w:rsidR="00600719" w:rsidRPr="00F06708" w:rsidRDefault="00600719" w:rsidP="006D578F">
            <w:pPr>
              <w:rPr>
                <w:rFonts w:ascii="Arial" w:hAnsi="Arial" w:cs="Arial"/>
                <w:color w:val="000000"/>
                <w:sz w:val="16"/>
                <w:szCs w:val="16"/>
              </w:rPr>
            </w:pPr>
          </w:p>
        </w:tc>
        <w:tc>
          <w:tcPr>
            <w:tcW w:w="992" w:type="dxa"/>
            <w:vMerge/>
            <w:tcBorders>
              <w:top w:val="nil"/>
              <w:left w:val="nil"/>
              <w:bottom w:val="nil"/>
              <w:right w:val="nil"/>
            </w:tcBorders>
            <w:vAlign w:val="center"/>
            <w:hideMark/>
          </w:tcPr>
          <w:p w:rsidR="00600719" w:rsidRPr="00F06708" w:rsidRDefault="00600719" w:rsidP="006D578F">
            <w:pPr>
              <w:rPr>
                <w:rFonts w:ascii="Arial" w:hAnsi="Arial" w:cs="Arial"/>
                <w:color w:val="000000"/>
                <w:sz w:val="16"/>
                <w:szCs w:val="16"/>
              </w:rPr>
            </w:pPr>
          </w:p>
        </w:tc>
        <w:tc>
          <w:tcPr>
            <w:tcW w:w="851" w:type="dxa"/>
            <w:vMerge/>
            <w:tcBorders>
              <w:top w:val="nil"/>
              <w:left w:val="nil"/>
              <w:bottom w:val="nil"/>
              <w:right w:val="nil"/>
            </w:tcBorders>
            <w:vAlign w:val="center"/>
            <w:hideMark/>
          </w:tcPr>
          <w:p w:rsidR="00600719" w:rsidRPr="00F06708" w:rsidRDefault="00600719" w:rsidP="006D578F">
            <w:pPr>
              <w:rPr>
                <w:rFonts w:ascii="Arial" w:hAnsi="Arial" w:cs="Arial"/>
                <w:color w:val="000000"/>
                <w:sz w:val="16"/>
                <w:szCs w:val="16"/>
              </w:rPr>
            </w:pPr>
          </w:p>
        </w:tc>
      </w:tr>
      <w:tr w:rsidR="00600719" w:rsidRPr="00F06708" w:rsidTr="006D578F">
        <w:trPr>
          <w:trHeight w:val="227"/>
        </w:trPr>
        <w:tc>
          <w:tcPr>
            <w:tcW w:w="2850" w:type="dxa"/>
            <w:tcBorders>
              <w:top w:val="nil"/>
              <w:left w:val="nil"/>
              <w:bottom w:val="nil"/>
              <w:right w:val="nil"/>
            </w:tcBorders>
            <w:shd w:val="clear" w:color="auto" w:fill="auto"/>
            <w:vAlign w:val="center"/>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Amortyzacja</w:t>
            </w:r>
          </w:p>
        </w:tc>
        <w:tc>
          <w:tcPr>
            <w:tcW w:w="709"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1134"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-2514</w:t>
            </w:r>
          </w:p>
        </w:tc>
        <w:tc>
          <w:tcPr>
            <w:tcW w:w="992"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-666</w:t>
            </w:r>
          </w:p>
        </w:tc>
        <w:tc>
          <w:tcPr>
            <w:tcW w:w="1134"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-6</w:t>
            </w:r>
          </w:p>
        </w:tc>
        <w:tc>
          <w:tcPr>
            <w:tcW w:w="851"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-345</w:t>
            </w:r>
          </w:p>
        </w:tc>
        <w:tc>
          <w:tcPr>
            <w:tcW w:w="992"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851"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-3 531</w:t>
            </w:r>
          </w:p>
        </w:tc>
      </w:tr>
      <w:tr w:rsidR="00600719" w:rsidRPr="00F06708" w:rsidTr="006D578F">
        <w:trPr>
          <w:trHeight w:val="227"/>
        </w:trPr>
        <w:tc>
          <w:tcPr>
            <w:tcW w:w="2850" w:type="dxa"/>
            <w:tcBorders>
              <w:top w:val="nil"/>
              <w:left w:val="nil"/>
              <w:bottom w:val="nil"/>
              <w:right w:val="nil"/>
            </w:tcBorders>
            <w:shd w:val="clear" w:color="auto" w:fill="auto"/>
            <w:vAlign w:val="center"/>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 xml:space="preserve">        w tym amortyzacja środków trwałych w leasingu</w:t>
            </w:r>
          </w:p>
        </w:tc>
        <w:tc>
          <w:tcPr>
            <w:tcW w:w="709"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1134"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-115</w:t>
            </w:r>
          </w:p>
        </w:tc>
        <w:tc>
          <w:tcPr>
            <w:tcW w:w="992"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1134"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851"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992"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851"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-115</w:t>
            </w:r>
          </w:p>
        </w:tc>
      </w:tr>
      <w:tr w:rsidR="00600719" w:rsidRPr="00F06708" w:rsidTr="006D578F">
        <w:trPr>
          <w:trHeight w:val="227"/>
        </w:trPr>
        <w:tc>
          <w:tcPr>
            <w:tcW w:w="2850" w:type="dxa"/>
            <w:tcBorders>
              <w:top w:val="nil"/>
              <w:left w:val="nil"/>
              <w:bottom w:val="nil"/>
              <w:right w:val="nil"/>
            </w:tcBorders>
            <w:shd w:val="clear" w:color="auto" w:fill="auto"/>
            <w:vAlign w:val="center"/>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Zmniejszenie umorzenia</w:t>
            </w:r>
          </w:p>
        </w:tc>
        <w:tc>
          <w:tcPr>
            <w:tcW w:w="709" w:type="dxa"/>
            <w:vMerge w:val="restart"/>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1134" w:type="dxa"/>
            <w:vMerge w:val="restart"/>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992" w:type="dxa"/>
            <w:vMerge w:val="restart"/>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78</w:t>
            </w:r>
          </w:p>
        </w:tc>
        <w:tc>
          <w:tcPr>
            <w:tcW w:w="1134" w:type="dxa"/>
            <w:vMerge w:val="restart"/>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851" w:type="dxa"/>
            <w:vMerge w:val="restart"/>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313</w:t>
            </w:r>
          </w:p>
        </w:tc>
        <w:tc>
          <w:tcPr>
            <w:tcW w:w="992" w:type="dxa"/>
            <w:vMerge w:val="restart"/>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851" w:type="dxa"/>
            <w:vMerge w:val="restart"/>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391</w:t>
            </w:r>
          </w:p>
        </w:tc>
      </w:tr>
      <w:tr w:rsidR="00600719" w:rsidRPr="00F06708" w:rsidTr="006D578F">
        <w:trPr>
          <w:trHeight w:val="227"/>
        </w:trPr>
        <w:tc>
          <w:tcPr>
            <w:tcW w:w="2850" w:type="dxa"/>
            <w:tcBorders>
              <w:top w:val="nil"/>
              <w:left w:val="nil"/>
              <w:bottom w:val="nil"/>
              <w:right w:val="nil"/>
            </w:tcBorders>
            <w:shd w:val="clear" w:color="auto" w:fill="auto"/>
            <w:vAlign w:val="center"/>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z tytułu likwidacji, sprzedaży i inne</w:t>
            </w:r>
          </w:p>
        </w:tc>
        <w:tc>
          <w:tcPr>
            <w:tcW w:w="709" w:type="dxa"/>
            <w:vMerge/>
            <w:tcBorders>
              <w:top w:val="nil"/>
              <w:left w:val="nil"/>
              <w:bottom w:val="nil"/>
              <w:right w:val="nil"/>
            </w:tcBorders>
            <w:vAlign w:val="center"/>
            <w:hideMark/>
          </w:tcPr>
          <w:p w:rsidR="00600719" w:rsidRPr="00F06708" w:rsidRDefault="00600719" w:rsidP="006D578F">
            <w:pPr>
              <w:rPr>
                <w:rFonts w:ascii="Arial" w:hAnsi="Arial" w:cs="Arial"/>
                <w:color w:val="000000"/>
                <w:sz w:val="16"/>
                <w:szCs w:val="16"/>
              </w:rPr>
            </w:pPr>
          </w:p>
        </w:tc>
        <w:tc>
          <w:tcPr>
            <w:tcW w:w="1134" w:type="dxa"/>
            <w:vMerge/>
            <w:tcBorders>
              <w:top w:val="nil"/>
              <w:left w:val="nil"/>
              <w:bottom w:val="nil"/>
              <w:right w:val="nil"/>
            </w:tcBorders>
            <w:vAlign w:val="center"/>
            <w:hideMark/>
          </w:tcPr>
          <w:p w:rsidR="00600719" w:rsidRPr="00F06708" w:rsidRDefault="00600719" w:rsidP="006D578F">
            <w:pPr>
              <w:rPr>
                <w:rFonts w:ascii="Arial" w:hAnsi="Arial" w:cs="Arial"/>
                <w:color w:val="000000"/>
                <w:sz w:val="16"/>
                <w:szCs w:val="16"/>
              </w:rPr>
            </w:pPr>
          </w:p>
        </w:tc>
        <w:tc>
          <w:tcPr>
            <w:tcW w:w="992" w:type="dxa"/>
            <w:vMerge/>
            <w:tcBorders>
              <w:top w:val="nil"/>
              <w:left w:val="nil"/>
              <w:bottom w:val="nil"/>
              <w:right w:val="nil"/>
            </w:tcBorders>
            <w:vAlign w:val="center"/>
            <w:hideMark/>
          </w:tcPr>
          <w:p w:rsidR="00600719" w:rsidRPr="00F06708" w:rsidRDefault="00600719" w:rsidP="006D578F">
            <w:pPr>
              <w:rPr>
                <w:rFonts w:ascii="Arial" w:hAnsi="Arial" w:cs="Arial"/>
                <w:color w:val="000000"/>
                <w:sz w:val="16"/>
                <w:szCs w:val="16"/>
              </w:rPr>
            </w:pPr>
          </w:p>
        </w:tc>
        <w:tc>
          <w:tcPr>
            <w:tcW w:w="1134" w:type="dxa"/>
            <w:vMerge/>
            <w:tcBorders>
              <w:top w:val="nil"/>
              <w:left w:val="nil"/>
              <w:bottom w:val="nil"/>
              <w:right w:val="nil"/>
            </w:tcBorders>
            <w:vAlign w:val="center"/>
            <w:hideMark/>
          </w:tcPr>
          <w:p w:rsidR="00600719" w:rsidRPr="00F06708" w:rsidRDefault="00600719" w:rsidP="006D578F">
            <w:pPr>
              <w:rPr>
                <w:rFonts w:ascii="Arial" w:hAnsi="Arial" w:cs="Arial"/>
                <w:color w:val="000000"/>
                <w:sz w:val="16"/>
                <w:szCs w:val="16"/>
              </w:rPr>
            </w:pPr>
          </w:p>
        </w:tc>
        <w:tc>
          <w:tcPr>
            <w:tcW w:w="851" w:type="dxa"/>
            <w:vMerge/>
            <w:tcBorders>
              <w:top w:val="nil"/>
              <w:left w:val="nil"/>
              <w:bottom w:val="nil"/>
              <w:right w:val="nil"/>
            </w:tcBorders>
            <w:vAlign w:val="center"/>
            <w:hideMark/>
          </w:tcPr>
          <w:p w:rsidR="00600719" w:rsidRPr="00F06708" w:rsidRDefault="00600719" w:rsidP="006D578F">
            <w:pPr>
              <w:rPr>
                <w:rFonts w:ascii="Arial" w:hAnsi="Arial" w:cs="Arial"/>
                <w:color w:val="000000"/>
                <w:sz w:val="16"/>
                <w:szCs w:val="16"/>
              </w:rPr>
            </w:pPr>
          </w:p>
        </w:tc>
        <w:tc>
          <w:tcPr>
            <w:tcW w:w="992" w:type="dxa"/>
            <w:vMerge/>
            <w:tcBorders>
              <w:top w:val="nil"/>
              <w:left w:val="nil"/>
              <w:bottom w:val="nil"/>
              <w:right w:val="nil"/>
            </w:tcBorders>
            <w:vAlign w:val="center"/>
            <w:hideMark/>
          </w:tcPr>
          <w:p w:rsidR="00600719" w:rsidRPr="00F06708" w:rsidRDefault="00600719" w:rsidP="006D578F">
            <w:pPr>
              <w:rPr>
                <w:rFonts w:ascii="Arial" w:hAnsi="Arial" w:cs="Arial"/>
                <w:color w:val="000000"/>
                <w:sz w:val="16"/>
                <w:szCs w:val="16"/>
              </w:rPr>
            </w:pPr>
          </w:p>
        </w:tc>
        <w:tc>
          <w:tcPr>
            <w:tcW w:w="851" w:type="dxa"/>
            <w:vMerge/>
            <w:tcBorders>
              <w:top w:val="nil"/>
              <w:left w:val="nil"/>
              <w:bottom w:val="nil"/>
              <w:right w:val="nil"/>
            </w:tcBorders>
            <w:vAlign w:val="center"/>
            <w:hideMark/>
          </w:tcPr>
          <w:p w:rsidR="00600719" w:rsidRPr="00F06708" w:rsidRDefault="00600719" w:rsidP="006D578F">
            <w:pPr>
              <w:rPr>
                <w:rFonts w:ascii="Arial" w:hAnsi="Arial" w:cs="Arial"/>
                <w:color w:val="000000"/>
                <w:sz w:val="16"/>
                <w:szCs w:val="16"/>
              </w:rPr>
            </w:pPr>
          </w:p>
        </w:tc>
      </w:tr>
      <w:tr w:rsidR="00600719" w:rsidRPr="00F06708" w:rsidTr="006D578F">
        <w:trPr>
          <w:trHeight w:val="227"/>
        </w:trPr>
        <w:tc>
          <w:tcPr>
            <w:tcW w:w="2850" w:type="dxa"/>
            <w:tcBorders>
              <w:top w:val="nil"/>
              <w:left w:val="nil"/>
              <w:bottom w:val="nil"/>
              <w:right w:val="nil"/>
            </w:tcBorders>
            <w:shd w:val="clear" w:color="auto" w:fill="auto"/>
            <w:vAlign w:val="center"/>
            <w:hideMark/>
          </w:tcPr>
          <w:p w:rsidR="00600719" w:rsidRPr="00F06708" w:rsidRDefault="00600719" w:rsidP="006D578F">
            <w:pPr>
              <w:rPr>
                <w:rFonts w:ascii="Arial" w:hAnsi="Arial" w:cs="Arial"/>
                <w:color w:val="000000"/>
                <w:sz w:val="16"/>
                <w:szCs w:val="16"/>
              </w:rPr>
            </w:pPr>
          </w:p>
        </w:tc>
        <w:tc>
          <w:tcPr>
            <w:tcW w:w="709" w:type="dxa"/>
            <w:vMerge/>
            <w:tcBorders>
              <w:top w:val="nil"/>
              <w:left w:val="nil"/>
              <w:bottom w:val="nil"/>
              <w:right w:val="nil"/>
            </w:tcBorders>
            <w:vAlign w:val="center"/>
            <w:hideMark/>
          </w:tcPr>
          <w:p w:rsidR="00600719" w:rsidRPr="00F06708" w:rsidRDefault="00600719" w:rsidP="006D578F">
            <w:pPr>
              <w:rPr>
                <w:rFonts w:ascii="Arial" w:hAnsi="Arial" w:cs="Arial"/>
                <w:color w:val="000000"/>
                <w:sz w:val="16"/>
                <w:szCs w:val="16"/>
              </w:rPr>
            </w:pPr>
          </w:p>
        </w:tc>
        <w:tc>
          <w:tcPr>
            <w:tcW w:w="1134" w:type="dxa"/>
            <w:vMerge/>
            <w:tcBorders>
              <w:top w:val="nil"/>
              <w:left w:val="nil"/>
              <w:bottom w:val="nil"/>
              <w:right w:val="nil"/>
            </w:tcBorders>
            <w:vAlign w:val="center"/>
            <w:hideMark/>
          </w:tcPr>
          <w:p w:rsidR="00600719" w:rsidRPr="00F06708" w:rsidRDefault="00600719" w:rsidP="006D578F">
            <w:pPr>
              <w:rPr>
                <w:rFonts w:ascii="Arial" w:hAnsi="Arial" w:cs="Arial"/>
                <w:color w:val="000000"/>
                <w:sz w:val="16"/>
                <w:szCs w:val="16"/>
              </w:rPr>
            </w:pPr>
          </w:p>
        </w:tc>
        <w:tc>
          <w:tcPr>
            <w:tcW w:w="992" w:type="dxa"/>
            <w:vMerge/>
            <w:tcBorders>
              <w:top w:val="nil"/>
              <w:left w:val="nil"/>
              <w:bottom w:val="nil"/>
              <w:right w:val="nil"/>
            </w:tcBorders>
            <w:vAlign w:val="center"/>
            <w:hideMark/>
          </w:tcPr>
          <w:p w:rsidR="00600719" w:rsidRPr="00F06708" w:rsidRDefault="00600719" w:rsidP="006D578F">
            <w:pPr>
              <w:rPr>
                <w:rFonts w:ascii="Arial" w:hAnsi="Arial" w:cs="Arial"/>
                <w:color w:val="000000"/>
                <w:sz w:val="16"/>
                <w:szCs w:val="16"/>
              </w:rPr>
            </w:pPr>
          </w:p>
        </w:tc>
        <w:tc>
          <w:tcPr>
            <w:tcW w:w="1134" w:type="dxa"/>
            <w:vMerge/>
            <w:tcBorders>
              <w:top w:val="nil"/>
              <w:left w:val="nil"/>
              <w:bottom w:val="nil"/>
              <w:right w:val="nil"/>
            </w:tcBorders>
            <w:vAlign w:val="center"/>
            <w:hideMark/>
          </w:tcPr>
          <w:p w:rsidR="00600719" w:rsidRPr="00F06708" w:rsidRDefault="00600719" w:rsidP="006D578F">
            <w:pPr>
              <w:rPr>
                <w:rFonts w:ascii="Arial" w:hAnsi="Arial" w:cs="Arial"/>
                <w:color w:val="000000"/>
                <w:sz w:val="16"/>
                <w:szCs w:val="16"/>
              </w:rPr>
            </w:pPr>
          </w:p>
        </w:tc>
        <w:tc>
          <w:tcPr>
            <w:tcW w:w="851" w:type="dxa"/>
            <w:vMerge/>
            <w:tcBorders>
              <w:top w:val="nil"/>
              <w:left w:val="nil"/>
              <w:bottom w:val="nil"/>
              <w:right w:val="nil"/>
            </w:tcBorders>
            <w:vAlign w:val="center"/>
            <w:hideMark/>
          </w:tcPr>
          <w:p w:rsidR="00600719" w:rsidRPr="00F06708" w:rsidRDefault="00600719" w:rsidP="006D578F">
            <w:pPr>
              <w:rPr>
                <w:rFonts w:ascii="Arial" w:hAnsi="Arial" w:cs="Arial"/>
                <w:color w:val="000000"/>
                <w:sz w:val="16"/>
                <w:szCs w:val="16"/>
              </w:rPr>
            </w:pPr>
          </w:p>
        </w:tc>
        <w:tc>
          <w:tcPr>
            <w:tcW w:w="992" w:type="dxa"/>
            <w:vMerge/>
            <w:tcBorders>
              <w:top w:val="nil"/>
              <w:left w:val="nil"/>
              <w:bottom w:val="nil"/>
              <w:right w:val="nil"/>
            </w:tcBorders>
            <w:vAlign w:val="center"/>
            <w:hideMark/>
          </w:tcPr>
          <w:p w:rsidR="00600719" w:rsidRPr="00F06708" w:rsidRDefault="00600719" w:rsidP="006D578F">
            <w:pPr>
              <w:rPr>
                <w:rFonts w:ascii="Arial" w:hAnsi="Arial" w:cs="Arial"/>
                <w:color w:val="000000"/>
                <w:sz w:val="16"/>
                <w:szCs w:val="16"/>
              </w:rPr>
            </w:pPr>
          </w:p>
        </w:tc>
        <w:tc>
          <w:tcPr>
            <w:tcW w:w="851" w:type="dxa"/>
            <w:vMerge/>
            <w:tcBorders>
              <w:top w:val="nil"/>
              <w:left w:val="nil"/>
              <w:bottom w:val="nil"/>
              <w:right w:val="nil"/>
            </w:tcBorders>
            <w:vAlign w:val="center"/>
            <w:hideMark/>
          </w:tcPr>
          <w:p w:rsidR="00600719" w:rsidRPr="00F06708" w:rsidRDefault="00600719" w:rsidP="006D578F">
            <w:pPr>
              <w:rPr>
                <w:rFonts w:ascii="Arial" w:hAnsi="Arial" w:cs="Arial"/>
                <w:color w:val="000000"/>
                <w:sz w:val="16"/>
                <w:szCs w:val="16"/>
              </w:rPr>
            </w:pPr>
          </w:p>
        </w:tc>
      </w:tr>
      <w:tr w:rsidR="00600719" w:rsidRPr="00F06708" w:rsidTr="006D578F">
        <w:trPr>
          <w:trHeight w:val="227"/>
        </w:trPr>
        <w:tc>
          <w:tcPr>
            <w:tcW w:w="2850" w:type="dxa"/>
            <w:tcBorders>
              <w:top w:val="nil"/>
              <w:left w:val="nil"/>
              <w:bottom w:val="single" w:sz="8" w:space="0" w:color="auto"/>
              <w:right w:val="nil"/>
            </w:tcBorders>
            <w:shd w:val="clear" w:color="auto" w:fill="auto"/>
            <w:vAlign w:val="center"/>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Zmniejszenie umorzenia z tytułu przeklasyfikowania do aktywów trwałych przeznaczonych do sprzedaży</w:t>
            </w:r>
          </w:p>
        </w:tc>
        <w:tc>
          <w:tcPr>
            <w:tcW w:w="709" w:type="dxa"/>
            <w:tcBorders>
              <w:top w:val="nil"/>
              <w:left w:val="nil"/>
              <w:bottom w:val="single" w:sz="8" w:space="0" w:color="auto"/>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1134" w:type="dxa"/>
            <w:tcBorders>
              <w:top w:val="nil"/>
              <w:left w:val="nil"/>
              <w:bottom w:val="single" w:sz="8" w:space="0" w:color="auto"/>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829</w:t>
            </w:r>
          </w:p>
        </w:tc>
        <w:tc>
          <w:tcPr>
            <w:tcW w:w="992" w:type="dxa"/>
            <w:tcBorders>
              <w:top w:val="nil"/>
              <w:left w:val="nil"/>
              <w:bottom w:val="single" w:sz="8" w:space="0" w:color="auto"/>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1134" w:type="dxa"/>
            <w:tcBorders>
              <w:top w:val="nil"/>
              <w:left w:val="nil"/>
              <w:bottom w:val="single" w:sz="8" w:space="0" w:color="auto"/>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851" w:type="dxa"/>
            <w:tcBorders>
              <w:top w:val="nil"/>
              <w:left w:val="nil"/>
              <w:bottom w:val="single" w:sz="8" w:space="0" w:color="auto"/>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992" w:type="dxa"/>
            <w:tcBorders>
              <w:top w:val="nil"/>
              <w:left w:val="nil"/>
              <w:bottom w:val="single" w:sz="8" w:space="0" w:color="auto"/>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851" w:type="dxa"/>
            <w:tcBorders>
              <w:top w:val="nil"/>
              <w:left w:val="nil"/>
              <w:bottom w:val="single" w:sz="8" w:space="0" w:color="auto"/>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829</w:t>
            </w:r>
          </w:p>
        </w:tc>
      </w:tr>
      <w:tr w:rsidR="00600719" w:rsidRPr="00F06708" w:rsidTr="006D578F">
        <w:trPr>
          <w:trHeight w:val="227"/>
        </w:trPr>
        <w:tc>
          <w:tcPr>
            <w:tcW w:w="2850" w:type="dxa"/>
            <w:tcBorders>
              <w:top w:val="nil"/>
              <w:left w:val="nil"/>
              <w:bottom w:val="nil"/>
              <w:right w:val="nil"/>
            </w:tcBorders>
            <w:shd w:val="clear" w:color="auto" w:fill="auto"/>
            <w:vAlign w:val="center"/>
            <w:hideMark/>
          </w:tcPr>
          <w:p w:rsidR="00600719" w:rsidRPr="00F06708" w:rsidRDefault="00600719" w:rsidP="006D578F">
            <w:pPr>
              <w:rPr>
                <w:rFonts w:ascii="Arial" w:hAnsi="Arial" w:cs="Arial"/>
                <w:b/>
                <w:bCs/>
                <w:color w:val="000000"/>
                <w:sz w:val="16"/>
                <w:szCs w:val="16"/>
              </w:rPr>
            </w:pPr>
            <w:r w:rsidRPr="00F06708">
              <w:rPr>
                <w:rFonts w:ascii="Arial" w:hAnsi="Arial" w:cs="Arial"/>
                <w:b/>
                <w:bCs/>
                <w:color w:val="000000"/>
                <w:sz w:val="16"/>
                <w:szCs w:val="16"/>
              </w:rPr>
              <w:t>Stan na 30 wrzenia 2021 r.</w:t>
            </w:r>
          </w:p>
        </w:tc>
        <w:tc>
          <w:tcPr>
            <w:tcW w:w="709" w:type="dxa"/>
            <w:tcBorders>
              <w:top w:val="nil"/>
              <w:left w:val="nil"/>
              <w:bottom w:val="nil"/>
              <w:right w:val="nil"/>
            </w:tcBorders>
            <w:shd w:val="clear" w:color="auto" w:fill="auto"/>
            <w:noWrap/>
            <w:vAlign w:val="bottom"/>
            <w:hideMark/>
          </w:tcPr>
          <w:p w:rsidR="00600719" w:rsidRPr="00F06708" w:rsidRDefault="00600719" w:rsidP="006D578F">
            <w:pPr>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600719" w:rsidRPr="00F06708" w:rsidRDefault="00600719" w:rsidP="006D578F">
            <w:pPr>
              <w:rPr>
                <w:rFonts w:ascii="Arial" w:hAnsi="Arial" w:cs="Arial"/>
                <w:color w:val="000000"/>
                <w:sz w:val="16"/>
                <w:szCs w:val="16"/>
              </w:rPr>
            </w:pPr>
          </w:p>
        </w:tc>
        <w:tc>
          <w:tcPr>
            <w:tcW w:w="992" w:type="dxa"/>
            <w:tcBorders>
              <w:top w:val="nil"/>
              <w:left w:val="nil"/>
              <w:bottom w:val="nil"/>
              <w:right w:val="nil"/>
            </w:tcBorders>
            <w:shd w:val="clear" w:color="auto" w:fill="auto"/>
            <w:noWrap/>
            <w:vAlign w:val="center"/>
            <w:hideMark/>
          </w:tcPr>
          <w:p w:rsidR="00600719" w:rsidRPr="00F06708" w:rsidRDefault="00600719" w:rsidP="006D578F">
            <w:pPr>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600719" w:rsidRPr="00F06708" w:rsidRDefault="00600719" w:rsidP="006D578F">
            <w:pPr>
              <w:rPr>
                <w:rFonts w:ascii="Arial" w:hAnsi="Arial" w:cs="Arial"/>
                <w:color w:val="000000"/>
                <w:sz w:val="16"/>
                <w:szCs w:val="16"/>
              </w:rPr>
            </w:pPr>
          </w:p>
        </w:tc>
        <w:tc>
          <w:tcPr>
            <w:tcW w:w="851" w:type="dxa"/>
            <w:tcBorders>
              <w:top w:val="nil"/>
              <w:left w:val="nil"/>
              <w:bottom w:val="nil"/>
              <w:right w:val="nil"/>
            </w:tcBorders>
            <w:shd w:val="clear" w:color="auto" w:fill="auto"/>
            <w:noWrap/>
            <w:vAlign w:val="center"/>
            <w:hideMark/>
          </w:tcPr>
          <w:p w:rsidR="00600719" w:rsidRPr="00F06708" w:rsidRDefault="00600719" w:rsidP="006D578F">
            <w:pPr>
              <w:rPr>
                <w:rFonts w:ascii="Arial" w:hAnsi="Arial" w:cs="Arial"/>
                <w:color w:val="000000"/>
                <w:sz w:val="16"/>
                <w:szCs w:val="16"/>
              </w:rPr>
            </w:pPr>
          </w:p>
        </w:tc>
        <w:tc>
          <w:tcPr>
            <w:tcW w:w="992" w:type="dxa"/>
            <w:tcBorders>
              <w:top w:val="nil"/>
              <w:left w:val="nil"/>
              <w:bottom w:val="nil"/>
              <w:right w:val="nil"/>
            </w:tcBorders>
            <w:shd w:val="clear" w:color="auto" w:fill="auto"/>
            <w:noWrap/>
            <w:vAlign w:val="center"/>
            <w:hideMark/>
          </w:tcPr>
          <w:p w:rsidR="00600719" w:rsidRPr="00F06708" w:rsidRDefault="00600719" w:rsidP="006D578F">
            <w:pPr>
              <w:rPr>
                <w:rFonts w:ascii="Arial" w:hAnsi="Arial" w:cs="Arial"/>
                <w:color w:val="000000"/>
                <w:sz w:val="16"/>
                <w:szCs w:val="16"/>
              </w:rPr>
            </w:pPr>
          </w:p>
        </w:tc>
        <w:tc>
          <w:tcPr>
            <w:tcW w:w="851" w:type="dxa"/>
            <w:tcBorders>
              <w:top w:val="nil"/>
              <w:left w:val="nil"/>
              <w:bottom w:val="nil"/>
              <w:right w:val="nil"/>
            </w:tcBorders>
            <w:shd w:val="clear" w:color="auto" w:fill="auto"/>
            <w:noWrap/>
            <w:vAlign w:val="center"/>
            <w:hideMark/>
          </w:tcPr>
          <w:p w:rsidR="00600719" w:rsidRPr="00F06708" w:rsidRDefault="00600719" w:rsidP="006D578F">
            <w:pPr>
              <w:rPr>
                <w:rFonts w:ascii="Arial" w:hAnsi="Arial" w:cs="Arial"/>
                <w:color w:val="000000"/>
                <w:sz w:val="16"/>
                <w:szCs w:val="16"/>
              </w:rPr>
            </w:pPr>
          </w:p>
        </w:tc>
      </w:tr>
      <w:tr w:rsidR="00600719" w:rsidRPr="00F06708" w:rsidTr="006D578F">
        <w:trPr>
          <w:trHeight w:val="227"/>
        </w:trPr>
        <w:tc>
          <w:tcPr>
            <w:tcW w:w="2850" w:type="dxa"/>
            <w:tcBorders>
              <w:top w:val="nil"/>
              <w:left w:val="nil"/>
              <w:bottom w:val="nil"/>
              <w:right w:val="nil"/>
            </w:tcBorders>
            <w:shd w:val="clear" w:color="auto" w:fill="auto"/>
            <w:vAlign w:val="center"/>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Wartość brutto</w:t>
            </w:r>
          </w:p>
        </w:tc>
        <w:tc>
          <w:tcPr>
            <w:tcW w:w="709"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6 843</w:t>
            </w:r>
          </w:p>
        </w:tc>
        <w:tc>
          <w:tcPr>
            <w:tcW w:w="1134"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174 226</w:t>
            </w:r>
          </w:p>
        </w:tc>
        <w:tc>
          <w:tcPr>
            <w:tcW w:w="992"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14 050</w:t>
            </w:r>
          </w:p>
        </w:tc>
        <w:tc>
          <w:tcPr>
            <w:tcW w:w="1134"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943</w:t>
            </w:r>
          </w:p>
        </w:tc>
        <w:tc>
          <w:tcPr>
            <w:tcW w:w="851"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11 057</w:t>
            </w:r>
          </w:p>
        </w:tc>
        <w:tc>
          <w:tcPr>
            <w:tcW w:w="992"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1 426</w:t>
            </w:r>
          </w:p>
        </w:tc>
        <w:tc>
          <w:tcPr>
            <w:tcW w:w="851"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208 545</w:t>
            </w:r>
          </w:p>
        </w:tc>
      </w:tr>
      <w:tr w:rsidR="00600719" w:rsidRPr="00F06708" w:rsidTr="006D578F">
        <w:trPr>
          <w:trHeight w:val="227"/>
        </w:trPr>
        <w:tc>
          <w:tcPr>
            <w:tcW w:w="2850" w:type="dxa"/>
            <w:tcBorders>
              <w:top w:val="nil"/>
              <w:left w:val="nil"/>
              <w:bottom w:val="nil"/>
              <w:right w:val="nil"/>
            </w:tcBorders>
            <w:shd w:val="clear" w:color="auto" w:fill="auto"/>
            <w:vAlign w:val="center"/>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Umorzenie</w:t>
            </w:r>
          </w:p>
        </w:tc>
        <w:tc>
          <w:tcPr>
            <w:tcW w:w="709"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0</w:t>
            </w:r>
          </w:p>
        </w:tc>
        <w:tc>
          <w:tcPr>
            <w:tcW w:w="1134"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-40 258</w:t>
            </w:r>
          </w:p>
        </w:tc>
        <w:tc>
          <w:tcPr>
            <w:tcW w:w="992"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-7 720</w:t>
            </w:r>
          </w:p>
        </w:tc>
        <w:tc>
          <w:tcPr>
            <w:tcW w:w="1134"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-697</w:t>
            </w:r>
          </w:p>
        </w:tc>
        <w:tc>
          <w:tcPr>
            <w:tcW w:w="851"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-9 380</w:t>
            </w:r>
          </w:p>
        </w:tc>
        <w:tc>
          <w:tcPr>
            <w:tcW w:w="992"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0</w:t>
            </w:r>
          </w:p>
        </w:tc>
        <w:tc>
          <w:tcPr>
            <w:tcW w:w="851"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-58 055</w:t>
            </w:r>
          </w:p>
        </w:tc>
      </w:tr>
      <w:tr w:rsidR="00600719" w:rsidRPr="00F06708" w:rsidTr="006D578F">
        <w:trPr>
          <w:trHeight w:val="227"/>
        </w:trPr>
        <w:tc>
          <w:tcPr>
            <w:tcW w:w="2850" w:type="dxa"/>
            <w:tcBorders>
              <w:top w:val="nil"/>
              <w:left w:val="nil"/>
              <w:bottom w:val="single" w:sz="8" w:space="0" w:color="auto"/>
              <w:right w:val="nil"/>
            </w:tcBorders>
            <w:shd w:val="clear" w:color="auto" w:fill="auto"/>
            <w:vAlign w:val="center"/>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 xml:space="preserve">Wartość księgowa netto  środków trwałych </w:t>
            </w:r>
          </w:p>
        </w:tc>
        <w:tc>
          <w:tcPr>
            <w:tcW w:w="709" w:type="dxa"/>
            <w:tcBorders>
              <w:top w:val="nil"/>
              <w:left w:val="nil"/>
              <w:bottom w:val="single" w:sz="8" w:space="0" w:color="auto"/>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6 843</w:t>
            </w:r>
          </w:p>
        </w:tc>
        <w:tc>
          <w:tcPr>
            <w:tcW w:w="1134" w:type="dxa"/>
            <w:tcBorders>
              <w:top w:val="nil"/>
              <w:left w:val="nil"/>
              <w:bottom w:val="single" w:sz="8" w:space="0" w:color="auto"/>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133 968</w:t>
            </w:r>
          </w:p>
        </w:tc>
        <w:tc>
          <w:tcPr>
            <w:tcW w:w="992" w:type="dxa"/>
            <w:tcBorders>
              <w:top w:val="nil"/>
              <w:left w:val="nil"/>
              <w:bottom w:val="single" w:sz="8" w:space="0" w:color="auto"/>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6 330</w:t>
            </w:r>
          </w:p>
        </w:tc>
        <w:tc>
          <w:tcPr>
            <w:tcW w:w="1134" w:type="dxa"/>
            <w:tcBorders>
              <w:top w:val="nil"/>
              <w:left w:val="nil"/>
              <w:bottom w:val="single" w:sz="8" w:space="0" w:color="auto"/>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246</w:t>
            </w:r>
          </w:p>
        </w:tc>
        <w:tc>
          <w:tcPr>
            <w:tcW w:w="851" w:type="dxa"/>
            <w:tcBorders>
              <w:top w:val="nil"/>
              <w:left w:val="nil"/>
              <w:bottom w:val="single" w:sz="8" w:space="0" w:color="auto"/>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1677</w:t>
            </w:r>
          </w:p>
        </w:tc>
        <w:tc>
          <w:tcPr>
            <w:tcW w:w="992" w:type="dxa"/>
            <w:tcBorders>
              <w:top w:val="nil"/>
              <w:left w:val="nil"/>
              <w:bottom w:val="single" w:sz="8" w:space="0" w:color="auto"/>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1 426</w:t>
            </w:r>
          </w:p>
        </w:tc>
        <w:tc>
          <w:tcPr>
            <w:tcW w:w="851" w:type="dxa"/>
            <w:tcBorders>
              <w:top w:val="nil"/>
              <w:left w:val="nil"/>
              <w:bottom w:val="single" w:sz="8" w:space="0" w:color="auto"/>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150 490</w:t>
            </w:r>
          </w:p>
        </w:tc>
      </w:tr>
      <w:tr w:rsidR="00600719" w:rsidRPr="00F06708" w:rsidTr="006D578F">
        <w:trPr>
          <w:trHeight w:val="227"/>
        </w:trPr>
        <w:tc>
          <w:tcPr>
            <w:tcW w:w="2850" w:type="dxa"/>
            <w:tcBorders>
              <w:top w:val="nil"/>
              <w:left w:val="nil"/>
              <w:bottom w:val="nil"/>
              <w:right w:val="nil"/>
            </w:tcBorders>
            <w:shd w:val="clear" w:color="auto" w:fill="auto"/>
            <w:vAlign w:val="center"/>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 xml:space="preserve">      w tym wartość księgowa netto środków trwałych w leasingu</w:t>
            </w:r>
          </w:p>
        </w:tc>
        <w:tc>
          <w:tcPr>
            <w:tcW w:w="709"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6 524</w:t>
            </w:r>
          </w:p>
        </w:tc>
        <w:tc>
          <w:tcPr>
            <w:tcW w:w="1134"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248</w:t>
            </w:r>
          </w:p>
        </w:tc>
        <w:tc>
          <w:tcPr>
            <w:tcW w:w="992" w:type="dxa"/>
            <w:tcBorders>
              <w:top w:val="nil"/>
              <w:left w:val="nil"/>
              <w:bottom w:val="nil"/>
              <w:right w:val="nil"/>
            </w:tcBorders>
            <w:shd w:val="clear" w:color="auto" w:fill="auto"/>
            <w:noWrap/>
            <w:vAlign w:val="center"/>
            <w:hideMark/>
          </w:tcPr>
          <w:p w:rsidR="00600719" w:rsidRPr="00F06708" w:rsidRDefault="00600719" w:rsidP="006D578F">
            <w:pPr>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600719" w:rsidRPr="00F06708" w:rsidRDefault="00600719" w:rsidP="006D578F">
            <w:pPr>
              <w:rPr>
                <w:rFonts w:ascii="Arial" w:hAnsi="Arial" w:cs="Arial"/>
                <w:color w:val="000000"/>
                <w:sz w:val="16"/>
                <w:szCs w:val="16"/>
              </w:rPr>
            </w:pPr>
          </w:p>
        </w:tc>
        <w:tc>
          <w:tcPr>
            <w:tcW w:w="851" w:type="dxa"/>
            <w:tcBorders>
              <w:top w:val="nil"/>
              <w:left w:val="nil"/>
              <w:bottom w:val="nil"/>
              <w:right w:val="nil"/>
            </w:tcBorders>
            <w:shd w:val="clear" w:color="auto" w:fill="auto"/>
            <w:noWrap/>
            <w:vAlign w:val="center"/>
            <w:hideMark/>
          </w:tcPr>
          <w:p w:rsidR="00600719" w:rsidRPr="00F06708" w:rsidRDefault="00600719" w:rsidP="006D578F">
            <w:pPr>
              <w:rPr>
                <w:rFonts w:ascii="Arial" w:hAnsi="Arial" w:cs="Arial"/>
                <w:color w:val="000000"/>
                <w:sz w:val="16"/>
                <w:szCs w:val="16"/>
              </w:rPr>
            </w:pPr>
          </w:p>
        </w:tc>
        <w:tc>
          <w:tcPr>
            <w:tcW w:w="992" w:type="dxa"/>
            <w:tcBorders>
              <w:top w:val="nil"/>
              <w:left w:val="nil"/>
              <w:bottom w:val="nil"/>
              <w:right w:val="nil"/>
            </w:tcBorders>
            <w:shd w:val="clear" w:color="auto" w:fill="auto"/>
            <w:noWrap/>
            <w:vAlign w:val="center"/>
            <w:hideMark/>
          </w:tcPr>
          <w:p w:rsidR="00600719" w:rsidRPr="00F06708" w:rsidRDefault="00600719" w:rsidP="006D578F">
            <w:pPr>
              <w:rPr>
                <w:rFonts w:ascii="Arial" w:hAnsi="Arial" w:cs="Arial"/>
                <w:color w:val="000000"/>
                <w:sz w:val="16"/>
                <w:szCs w:val="16"/>
              </w:rPr>
            </w:pPr>
          </w:p>
        </w:tc>
        <w:tc>
          <w:tcPr>
            <w:tcW w:w="851"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6 772</w:t>
            </w:r>
          </w:p>
        </w:tc>
      </w:tr>
    </w:tbl>
    <w:p w:rsidR="00600719" w:rsidRDefault="00600719" w:rsidP="00600719">
      <w:pPr>
        <w:rPr>
          <w:rFonts w:ascii="Arial" w:hAnsi="Arial" w:cs="Arial"/>
          <w:b/>
          <w:bCs/>
          <w:sz w:val="18"/>
          <w:szCs w:val="18"/>
        </w:rPr>
      </w:pPr>
    </w:p>
    <w:p w:rsidR="00600719" w:rsidRPr="000C16CB" w:rsidRDefault="00600719" w:rsidP="00600719">
      <w:pPr>
        <w:tabs>
          <w:tab w:val="left" w:pos="540"/>
        </w:tabs>
        <w:spacing w:line="260" w:lineRule="exact"/>
        <w:jc w:val="both"/>
        <w:rPr>
          <w:rFonts w:ascii="Arial" w:hAnsi="Arial" w:cs="Arial"/>
          <w:b/>
          <w:bCs/>
          <w:sz w:val="18"/>
          <w:szCs w:val="18"/>
        </w:rPr>
      </w:pPr>
      <w:r w:rsidRPr="000C16CB">
        <w:rPr>
          <w:rFonts w:ascii="Arial" w:hAnsi="Arial" w:cs="Arial"/>
          <w:b/>
          <w:bCs/>
          <w:sz w:val="18"/>
          <w:szCs w:val="18"/>
        </w:rPr>
        <w:lastRenderedPageBreak/>
        <w:t xml:space="preserve">Zmiana wartości rzeczowych aktywów trwałych w okresie od 1 stycznia </w:t>
      </w:r>
      <w:r>
        <w:rPr>
          <w:rFonts w:ascii="Arial" w:hAnsi="Arial" w:cs="Arial"/>
          <w:b/>
          <w:bCs/>
          <w:sz w:val="18"/>
          <w:szCs w:val="18"/>
        </w:rPr>
        <w:t>2020</w:t>
      </w:r>
      <w:r w:rsidRPr="000C16CB">
        <w:rPr>
          <w:rFonts w:ascii="Arial" w:hAnsi="Arial" w:cs="Arial"/>
          <w:b/>
          <w:bCs/>
          <w:sz w:val="18"/>
          <w:szCs w:val="18"/>
        </w:rPr>
        <w:t xml:space="preserve"> r. do 30 września </w:t>
      </w:r>
      <w:r>
        <w:rPr>
          <w:rFonts w:ascii="Arial" w:hAnsi="Arial" w:cs="Arial"/>
          <w:b/>
          <w:bCs/>
          <w:sz w:val="18"/>
          <w:szCs w:val="18"/>
        </w:rPr>
        <w:t>2020</w:t>
      </w:r>
      <w:r w:rsidRPr="000C16CB">
        <w:rPr>
          <w:rFonts w:ascii="Arial" w:hAnsi="Arial" w:cs="Arial"/>
          <w:b/>
          <w:bCs/>
          <w:sz w:val="18"/>
          <w:szCs w:val="18"/>
        </w:rPr>
        <w:t xml:space="preserve"> r.</w:t>
      </w:r>
    </w:p>
    <w:p w:rsidR="00600719" w:rsidRDefault="00600719" w:rsidP="00600719">
      <w:pPr>
        <w:tabs>
          <w:tab w:val="left" w:pos="540"/>
        </w:tabs>
        <w:spacing w:line="260" w:lineRule="exact"/>
        <w:jc w:val="both"/>
        <w:rPr>
          <w:rFonts w:ascii="Arial" w:hAnsi="Arial" w:cs="Arial"/>
          <w:b/>
          <w:bCs/>
          <w:sz w:val="18"/>
          <w:szCs w:val="18"/>
        </w:rPr>
      </w:pPr>
    </w:p>
    <w:tbl>
      <w:tblPr>
        <w:tblW w:w="9513" w:type="dxa"/>
        <w:tblInd w:w="55" w:type="dxa"/>
        <w:tblCellMar>
          <w:left w:w="70" w:type="dxa"/>
          <w:right w:w="70" w:type="dxa"/>
        </w:tblCellMar>
        <w:tblLook w:val="04A0" w:firstRow="1" w:lastRow="0" w:firstColumn="1" w:lastColumn="0" w:noHBand="0" w:noVBand="1"/>
      </w:tblPr>
      <w:tblGrid>
        <w:gridCol w:w="2850"/>
        <w:gridCol w:w="819"/>
        <w:gridCol w:w="1024"/>
        <w:gridCol w:w="992"/>
        <w:gridCol w:w="1095"/>
        <w:gridCol w:w="960"/>
        <w:gridCol w:w="960"/>
        <w:gridCol w:w="813"/>
      </w:tblGrid>
      <w:tr w:rsidR="00600719" w:rsidRPr="00F06708" w:rsidTr="006D578F">
        <w:trPr>
          <w:trHeight w:val="283"/>
        </w:trPr>
        <w:tc>
          <w:tcPr>
            <w:tcW w:w="2850" w:type="dxa"/>
            <w:tcBorders>
              <w:top w:val="nil"/>
              <w:left w:val="nil"/>
              <w:bottom w:val="nil"/>
              <w:right w:val="nil"/>
            </w:tcBorders>
            <w:shd w:val="clear" w:color="auto" w:fill="auto"/>
            <w:noWrap/>
            <w:vAlign w:val="bottom"/>
            <w:hideMark/>
          </w:tcPr>
          <w:p w:rsidR="00600719" w:rsidRPr="00F06708" w:rsidRDefault="00600719" w:rsidP="006D578F">
            <w:pPr>
              <w:rPr>
                <w:rFonts w:ascii="Arial" w:hAnsi="Arial" w:cs="Arial"/>
                <w:sz w:val="16"/>
                <w:szCs w:val="16"/>
              </w:rPr>
            </w:pPr>
          </w:p>
        </w:tc>
        <w:tc>
          <w:tcPr>
            <w:tcW w:w="819" w:type="dxa"/>
            <w:tcBorders>
              <w:top w:val="nil"/>
              <w:left w:val="nil"/>
              <w:bottom w:val="nil"/>
              <w:right w:val="nil"/>
            </w:tcBorders>
            <w:shd w:val="clear" w:color="auto" w:fill="auto"/>
            <w:noWrap/>
            <w:vAlign w:val="bottom"/>
            <w:hideMark/>
          </w:tcPr>
          <w:p w:rsidR="00600719" w:rsidRPr="00F06708" w:rsidRDefault="00600719" w:rsidP="006D578F">
            <w:pPr>
              <w:rPr>
                <w:rFonts w:ascii="Arial" w:hAnsi="Arial" w:cs="Arial"/>
                <w:b/>
                <w:sz w:val="16"/>
                <w:szCs w:val="16"/>
              </w:rPr>
            </w:pPr>
            <w:r w:rsidRPr="00F06708">
              <w:rPr>
                <w:rFonts w:ascii="Arial" w:hAnsi="Arial" w:cs="Arial"/>
                <w:b/>
                <w:sz w:val="16"/>
                <w:szCs w:val="16"/>
              </w:rPr>
              <w:t>Grunty</w:t>
            </w:r>
          </w:p>
        </w:tc>
        <w:tc>
          <w:tcPr>
            <w:tcW w:w="1024" w:type="dxa"/>
            <w:tcBorders>
              <w:top w:val="nil"/>
              <w:left w:val="nil"/>
              <w:bottom w:val="nil"/>
              <w:right w:val="nil"/>
            </w:tcBorders>
            <w:shd w:val="clear" w:color="auto" w:fill="auto"/>
            <w:noWrap/>
            <w:vAlign w:val="bottom"/>
            <w:hideMark/>
          </w:tcPr>
          <w:p w:rsidR="00600719" w:rsidRPr="00F06708" w:rsidRDefault="00600719" w:rsidP="006D578F">
            <w:pPr>
              <w:rPr>
                <w:rFonts w:ascii="Arial" w:hAnsi="Arial" w:cs="Arial"/>
                <w:b/>
                <w:sz w:val="16"/>
                <w:szCs w:val="16"/>
              </w:rPr>
            </w:pPr>
            <w:r w:rsidRPr="00F06708">
              <w:rPr>
                <w:rFonts w:ascii="Arial" w:hAnsi="Arial" w:cs="Arial"/>
                <w:b/>
                <w:sz w:val="16"/>
                <w:szCs w:val="16"/>
              </w:rPr>
              <w:t xml:space="preserve"> Budynki</w:t>
            </w:r>
          </w:p>
        </w:tc>
        <w:tc>
          <w:tcPr>
            <w:tcW w:w="992" w:type="dxa"/>
            <w:tcBorders>
              <w:top w:val="nil"/>
              <w:left w:val="nil"/>
              <w:bottom w:val="nil"/>
              <w:right w:val="nil"/>
            </w:tcBorders>
            <w:shd w:val="clear" w:color="auto" w:fill="auto"/>
            <w:noWrap/>
            <w:vAlign w:val="bottom"/>
            <w:hideMark/>
          </w:tcPr>
          <w:p w:rsidR="00600719" w:rsidRPr="00F06708" w:rsidRDefault="00600719" w:rsidP="006D578F">
            <w:pPr>
              <w:rPr>
                <w:rFonts w:ascii="Arial" w:hAnsi="Arial" w:cs="Arial"/>
                <w:b/>
                <w:sz w:val="16"/>
                <w:szCs w:val="16"/>
              </w:rPr>
            </w:pPr>
            <w:r w:rsidRPr="00F06708">
              <w:rPr>
                <w:rFonts w:ascii="Arial" w:hAnsi="Arial" w:cs="Arial"/>
                <w:b/>
                <w:sz w:val="16"/>
                <w:szCs w:val="16"/>
              </w:rPr>
              <w:t>Urządzenia techniczne</w:t>
            </w:r>
          </w:p>
        </w:tc>
        <w:tc>
          <w:tcPr>
            <w:tcW w:w="1095" w:type="dxa"/>
            <w:tcBorders>
              <w:top w:val="nil"/>
              <w:left w:val="nil"/>
              <w:bottom w:val="nil"/>
              <w:right w:val="nil"/>
            </w:tcBorders>
            <w:shd w:val="clear" w:color="auto" w:fill="auto"/>
            <w:noWrap/>
            <w:vAlign w:val="bottom"/>
            <w:hideMark/>
          </w:tcPr>
          <w:p w:rsidR="00600719" w:rsidRPr="00F06708" w:rsidRDefault="00600719" w:rsidP="006D578F">
            <w:pPr>
              <w:rPr>
                <w:rFonts w:ascii="Arial" w:hAnsi="Arial" w:cs="Arial"/>
                <w:b/>
                <w:sz w:val="16"/>
                <w:szCs w:val="16"/>
              </w:rPr>
            </w:pPr>
            <w:r w:rsidRPr="00F06708">
              <w:rPr>
                <w:rFonts w:ascii="Arial" w:hAnsi="Arial" w:cs="Arial"/>
                <w:b/>
                <w:sz w:val="16"/>
                <w:szCs w:val="16"/>
              </w:rPr>
              <w:t>Środki transportu</w:t>
            </w:r>
          </w:p>
        </w:tc>
        <w:tc>
          <w:tcPr>
            <w:tcW w:w="960" w:type="dxa"/>
            <w:tcBorders>
              <w:top w:val="nil"/>
              <w:left w:val="nil"/>
              <w:bottom w:val="nil"/>
              <w:right w:val="nil"/>
            </w:tcBorders>
            <w:shd w:val="clear" w:color="auto" w:fill="auto"/>
            <w:noWrap/>
            <w:vAlign w:val="bottom"/>
            <w:hideMark/>
          </w:tcPr>
          <w:p w:rsidR="00600719" w:rsidRPr="00F06708" w:rsidRDefault="00600719" w:rsidP="006D578F">
            <w:pPr>
              <w:rPr>
                <w:rFonts w:ascii="Arial" w:hAnsi="Arial" w:cs="Arial"/>
                <w:b/>
                <w:sz w:val="16"/>
                <w:szCs w:val="16"/>
              </w:rPr>
            </w:pPr>
            <w:r w:rsidRPr="00F06708">
              <w:rPr>
                <w:rFonts w:ascii="Arial" w:hAnsi="Arial" w:cs="Arial"/>
                <w:b/>
                <w:sz w:val="16"/>
                <w:szCs w:val="16"/>
              </w:rPr>
              <w:t xml:space="preserve">Inne środki </w:t>
            </w:r>
          </w:p>
        </w:tc>
        <w:tc>
          <w:tcPr>
            <w:tcW w:w="960" w:type="dxa"/>
            <w:tcBorders>
              <w:top w:val="nil"/>
              <w:left w:val="nil"/>
              <w:bottom w:val="nil"/>
              <w:right w:val="nil"/>
            </w:tcBorders>
            <w:shd w:val="clear" w:color="auto" w:fill="auto"/>
            <w:noWrap/>
            <w:vAlign w:val="bottom"/>
            <w:hideMark/>
          </w:tcPr>
          <w:p w:rsidR="00600719" w:rsidRPr="00F06708" w:rsidRDefault="00600719" w:rsidP="006D578F">
            <w:pPr>
              <w:rPr>
                <w:rFonts w:ascii="Arial" w:hAnsi="Arial" w:cs="Arial"/>
                <w:b/>
                <w:sz w:val="16"/>
                <w:szCs w:val="16"/>
              </w:rPr>
            </w:pPr>
            <w:r w:rsidRPr="00F06708">
              <w:rPr>
                <w:rFonts w:ascii="Arial" w:hAnsi="Arial" w:cs="Arial"/>
                <w:b/>
                <w:sz w:val="16"/>
                <w:szCs w:val="16"/>
              </w:rPr>
              <w:t>Środki trwałe</w:t>
            </w:r>
          </w:p>
        </w:tc>
        <w:tc>
          <w:tcPr>
            <w:tcW w:w="813" w:type="dxa"/>
            <w:tcBorders>
              <w:top w:val="nil"/>
              <w:left w:val="nil"/>
              <w:bottom w:val="nil"/>
              <w:right w:val="nil"/>
            </w:tcBorders>
            <w:shd w:val="clear" w:color="auto" w:fill="auto"/>
            <w:noWrap/>
            <w:vAlign w:val="bottom"/>
            <w:hideMark/>
          </w:tcPr>
          <w:p w:rsidR="00600719" w:rsidRPr="00F06708" w:rsidRDefault="00600719" w:rsidP="006D578F">
            <w:pPr>
              <w:rPr>
                <w:rFonts w:ascii="Arial" w:hAnsi="Arial" w:cs="Arial"/>
                <w:b/>
                <w:sz w:val="16"/>
                <w:szCs w:val="16"/>
              </w:rPr>
            </w:pPr>
            <w:r w:rsidRPr="00F06708">
              <w:rPr>
                <w:rFonts w:ascii="Arial" w:hAnsi="Arial" w:cs="Arial"/>
                <w:b/>
                <w:sz w:val="16"/>
                <w:szCs w:val="16"/>
              </w:rPr>
              <w:t>Ogółem</w:t>
            </w:r>
          </w:p>
        </w:tc>
      </w:tr>
      <w:tr w:rsidR="00600719" w:rsidRPr="00F06708" w:rsidTr="006D578F">
        <w:trPr>
          <w:trHeight w:val="283"/>
        </w:trPr>
        <w:tc>
          <w:tcPr>
            <w:tcW w:w="2850" w:type="dxa"/>
            <w:tcBorders>
              <w:top w:val="nil"/>
              <w:left w:val="nil"/>
              <w:bottom w:val="single" w:sz="4" w:space="0" w:color="auto"/>
              <w:right w:val="nil"/>
            </w:tcBorders>
            <w:shd w:val="clear" w:color="auto" w:fill="auto"/>
            <w:noWrap/>
            <w:vAlign w:val="bottom"/>
            <w:hideMark/>
          </w:tcPr>
          <w:p w:rsidR="00600719" w:rsidRPr="00F06708" w:rsidRDefault="00600719" w:rsidP="006D578F">
            <w:pPr>
              <w:rPr>
                <w:rFonts w:ascii="Arial" w:hAnsi="Arial" w:cs="Arial"/>
                <w:sz w:val="16"/>
                <w:szCs w:val="16"/>
              </w:rPr>
            </w:pPr>
          </w:p>
        </w:tc>
        <w:tc>
          <w:tcPr>
            <w:tcW w:w="819" w:type="dxa"/>
            <w:tcBorders>
              <w:top w:val="nil"/>
              <w:left w:val="nil"/>
              <w:bottom w:val="single" w:sz="4" w:space="0" w:color="auto"/>
              <w:right w:val="nil"/>
            </w:tcBorders>
            <w:shd w:val="clear" w:color="auto" w:fill="auto"/>
            <w:noWrap/>
            <w:vAlign w:val="bottom"/>
            <w:hideMark/>
          </w:tcPr>
          <w:p w:rsidR="00600719" w:rsidRPr="00F06708" w:rsidRDefault="00600719" w:rsidP="006D578F">
            <w:pPr>
              <w:rPr>
                <w:rFonts w:ascii="Arial" w:hAnsi="Arial" w:cs="Arial"/>
                <w:b/>
                <w:sz w:val="16"/>
                <w:szCs w:val="16"/>
              </w:rPr>
            </w:pPr>
          </w:p>
        </w:tc>
        <w:tc>
          <w:tcPr>
            <w:tcW w:w="1024" w:type="dxa"/>
            <w:tcBorders>
              <w:top w:val="nil"/>
              <w:left w:val="nil"/>
              <w:bottom w:val="single" w:sz="4" w:space="0" w:color="auto"/>
              <w:right w:val="nil"/>
            </w:tcBorders>
            <w:shd w:val="clear" w:color="auto" w:fill="auto"/>
            <w:noWrap/>
            <w:vAlign w:val="bottom"/>
            <w:hideMark/>
          </w:tcPr>
          <w:p w:rsidR="00600719" w:rsidRPr="00F06708" w:rsidRDefault="00600719" w:rsidP="006D578F">
            <w:pPr>
              <w:rPr>
                <w:rFonts w:ascii="Arial" w:hAnsi="Arial" w:cs="Arial"/>
                <w:b/>
                <w:sz w:val="16"/>
                <w:szCs w:val="16"/>
              </w:rPr>
            </w:pPr>
            <w:r w:rsidRPr="00F06708">
              <w:rPr>
                <w:rFonts w:ascii="Arial" w:hAnsi="Arial" w:cs="Arial"/>
                <w:b/>
                <w:sz w:val="16"/>
                <w:szCs w:val="16"/>
              </w:rPr>
              <w:t xml:space="preserve"> i budowle</w:t>
            </w:r>
          </w:p>
        </w:tc>
        <w:tc>
          <w:tcPr>
            <w:tcW w:w="2087" w:type="dxa"/>
            <w:gridSpan w:val="2"/>
            <w:tcBorders>
              <w:top w:val="nil"/>
              <w:left w:val="nil"/>
              <w:bottom w:val="single" w:sz="4" w:space="0" w:color="auto"/>
              <w:right w:val="nil"/>
            </w:tcBorders>
            <w:shd w:val="clear" w:color="auto" w:fill="auto"/>
            <w:noWrap/>
            <w:vAlign w:val="bottom"/>
            <w:hideMark/>
          </w:tcPr>
          <w:p w:rsidR="00600719" w:rsidRPr="00F06708" w:rsidRDefault="00600719" w:rsidP="006D578F">
            <w:pPr>
              <w:rPr>
                <w:rFonts w:ascii="Arial" w:hAnsi="Arial" w:cs="Arial"/>
                <w:b/>
                <w:sz w:val="16"/>
                <w:szCs w:val="16"/>
              </w:rPr>
            </w:pPr>
            <w:r w:rsidRPr="00F06708">
              <w:rPr>
                <w:rFonts w:ascii="Arial" w:hAnsi="Arial" w:cs="Arial"/>
                <w:b/>
                <w:sz w:val="16"/>
                <w:szCs w:val="16"/>
              </w:rPr>
              <w:t>i maszyny</w:t>
            </w:r>
          </w:p>
        </w:tc>
        <w:tc>
          <w:tcPr>
            <w:tcW w:w="960" w:type="dxa"/>
            <w:tcBorders>
              <w:top w:val="nil"/>
              <w:left w:val="nil"/>
              <w:bottom w:val="single" w:sz="4" w:space="0" w:color="auto"/>
              <w:right w:val="nil"/>
            </w:tcBorders>
            <w:shd w:val="clear" w:color="auto" w:fill="auto"/>
            <w:noWrap/>
            <w:vAlign w:val="bottom"/>
            <w:hideMark/>
          </w:tcPr>
          <w:p w:rsidR="00600719" w:rsidRPr="00F06708" w:rsidRDefault="00600719" w:rsidP="006D578F">
            <w:pPr>
              <w:rPr>
                <w:rFonts w:ascii="Arial" w:hAnsi="Arial" w:cs="Arial"/>
                <w:b/>
                <w:sz w:val="16"/>
                <w:szCs w:val="16"/>
              </w:rPr>
            </w:pPr>
            <w:r w:rsidRPr="00F06708">
              <w:rPr>
                <w:rFonts w:ascii="Arial" w:hAnsi="Arial" w:cs="Arial"/>
                <w:b/>
                <w:sz w:val="16"/>
                <w:szCs w:val="16"/>
              </w:rPr>
              <w:t>trwałe</w:t>
            </w:r>
          </w:p>
        </w:tc>
        <w:tc>
          <w:tcPr>
            <w:tcW w:w="1773" w:type="dxa"/>
            <w:gridSpan w:val="2"/>
            <w:tcBorders>
              <w:top w:val="nil"/>
              <w:left w:val="nil"/>
              <w:bottom w:val="single" w:sz="4" w:space="0" w:color="auto"/>
              <w:right w:val="nil"/>
            </w:tcBorders>
            <w:shd w:val="clear" w:color="auto" w:fill="auto"/>
            <w:noWrap/>
            <w:vAlign w:val="bottom"/>
            <w:hideMark/>
          </w:tcPr>
          <w:p w:rsidR="00600719" w:rsidRPr="00F06708" w:rsidRDefault="00600719" w:rsidP="006D578F">
            <w:pPr>
              <w:rPr>
                <w:rFonts w:ascii="Arial" w:hAnsi="Arial" w:cs="Arial"/>
                <w:b/>
                <w:sz w:val="16"/>
                <w:szCs w:val="16"/>
              </w:rPr>
            </w:pPr>
            <w:r w:rsidRPr="00F06708">
              <w:rPr>
                <w:rFonts w:ascii="Arial" w:hAnsi="Arial" w:cs="Arial"/>
                <w:b/>
                <w:sz w:val="16"/>
                <w:szCs w:val="16"/>
              </w:rPr>
              <w:t>w budowie</w:t>
            </w:r>
          </w:p>
        </w:tc>
      </w:tr>
      <w:tr w:rsidR="00600719" w:rsidRPr="00F06708" w:rsidTr="006D578F">
        <w:trPr>
          <w:trHeight w:val="283"/>
        </w:trPr>
        <w:tc>
          <w:tcPr>
            <w:tcW w:w="2850" w:type="dxa"/>
            <w:tcBorders>
              <w:top w:val="single" w:sz="4" w:space="0" w:color="auto"/>
              <w:left w:val="nil"/>
              <w:bottom w:val="nil"/>
              <w:right w:val="nil"/>
            </w:tcBorders>
            <w:shd w:val="clear" w:color="auto" w:fill="auto"/>
            <w:noWrap/>
            <w:vAlign w:val="center"/>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Stan na 31 grudnia 2019 r.</w:t>
            </w:r>
          </w:p>
        </w:tc>
        <w:tc>
          <w:tcPr>
            <w:tcW w:w="819" w:type="dxa"/>
            <w:tcBorders>
              <w:top w:val="single" w:sz="4" w:space="0" w:color="auto"/>
              <w:left w:val="nil"/>
              <w:bottom w:val="nil"/>
              <w:right w:val="nil"/>
            </w:tcBorders>
            <w:shd w:val="clear" w:color="auto" w:fill="auto"/>
            <w:noWrap/>
            <w:vAlign w:val="bottom"/>
            <w:hideMark/>
          </w:tcPr>
          <w:p w:rsidR="00600719" w:rsidRPr="00F06708" w:rsidRDefault="00600719" w:rsidP="006D578F">
            <w:pPr>
              <w:rPr>
                <w:rFonts w:ascii="Arial" w:hAnsi="Arial" w:cs="Arial"/>
                <w:color w:val="000000"/>
                <w:sz w:val="16"/>
                <w:szCs w:val="16"/>
              </w:rPr>
            </w:pPr>
          </w:p>
        </w:tc>
        <w:tc>
          <w:tcPr>
            <w:tcW w:w="1024" w:type="dxa"/>
            <w:tcBorders>
              <w:top w:val="single" w:sz="4" w:space="0" w:color="auto"/>
              <w:left w:val="nil"/>
              <w:bottom w:val="nil"/>
              <w:right w:val="nil"/>
            </w:tcBorders>
            <w:shd w:val="clear" w:color="auto" w:fill="auto"/>
            <w:noWrap/>
            <w:vAlign w:val="bottom"/>
            <w:hideMark/>
          </w:tcPr>
          <w:p w:rsidR="00600719" w:rsidRPr="00F06708" w:rsidRDefault="00600719" w:rsidP="006D578F">
            <w:pPr>
              <w:rPr>
                <w:rFonts w:ascii="Arial" w:hAnsi="Arial" w:cs="Arial"/>
                <w:color w:val="000000"/>
                <w:sz w:val="16"/>
                <w:szCs w:val="16"/>
              </w:rPr>
            </w:pPr>
          </w:p>
        </w:tc>
        <w:tc>
          <w:tcPr>
            <w:tcW w:w="992" w:type="dxa"/>
            <w:tcBorders>
              <w:top w:val="single" w:sz="4" w:space="0" w:color="auto"/>
              <w:left w:val="nil"/>
              <w:bottom w:val="nil"/>
              <w:right w:val="nil"/>
            </w:tcBorders>
            <w:shd w:val="clear" w:color="auto" w:fill="auto"/>
            <w:noWrap/>
            <w:vAlign w:val="bottom"/>
            <w:hideMark/>
          </w:tcPr>
          <w:p w:rsidR="00600719" w:rsidRPr="00F06708" w:rsidRDefault="00600719" w:rsidP="006D578F">
            <w:pPr>
              <w:rPr>
                <w:rFonts w:ascii="Arial" w:hAnsi="Arial" w:cs="Arial"/>
                <w:color w:val="000000"/>
                <w:sz w:val="16"/>
                <w:szCs w:val="16"/>
              </w:rPr>
            </w:pPr>
          </w:p>
        </w:tc>
        <w:tc>
          <w:tcPr>
            <w:tcW w:w="1095" w:type="dxa"/>
            <w:tcBorders>
              <w:top w:val="single" w:sz="4" w:space="0" w:color="auto"/>
              <w:left w:val="nil"/>
              <w:bottom w:val="nil"/>
              <w:right w:val="nil"/>
            </w:tcBorders>
            <w:shd w:val="clear" w:color="auto" w:fill="auto"/>
            <w:noWrap/>
            <w:vAlign w:val="bottom"/>
            <w:hideMark/>
          </w:tcPr>
          <w:p w:rsidR="00600719" w:rsidRPr="00F06708" w:rsidRDefault="00600719" w:rsidP="006D578F">
            <w:pPr>
              <w:rPr>
                <w:rFonts w:ascii="Arial" w:hAnsi="Arial" w:cs="Arial"/>
                <w:color w:val="000000"/>
                <w:sz w:val="16"/>
                <w:szCs w:val="16"/>
              </w:rPr>
            </w:pPr>
          </w:p>
        </w:tc>
        <w:tc>
          <w:tcPr>
            <w:tcW w:w="960" w:type="dxa"/>
            <w:tcBorders>
              <w:top w:val="single" w:sz="4" w:space="0" w:color="auto"/>
              <w:left w:val="nil"/>
              <w:bottom w:val="nil"/>
              <w:right w:val="nil"/>
            </w:tcBorders>
            <w:shd w:val="clear" w:color="auto" w:fill="auto"/>
            <w:noWrap/>
            <w:vAlign w:val="bottom"/>
            <w:hideMark/>
          </w:tcPr>
          <w:p w:rsidR="00600719" w:rsidRPr="00F06708" w:rsidRDefault="00600719" w:rsidP="006D578F">
            <w:pPr>
              <w:rPr>
                <w:rFonts w:ascii="Arial" w:hAnsi="Arial" w:cs="Arial"/>
                <w:color w:val="000000"/>
                <w:sz w:val="16"/>
                <w:szCs w:val="16"/>
              </w:rPr>
            </w:pPr>
          </w:p>
        </w:tc>
        <w:tc>
          <w:tcPr>
            <w:tcW w:w="960" w:type="dxa"/>
            <w:tcBorders>
              <w:top w:val="single" w:sz="4" w:space="0" w:color="auto"/>
              <w:left w:val="nil"/>
              <w:bottom w:val="nil"/>
              <w:right w:val="nil"/>
            </w:tcBorders>
            <w:shd w:val="clear" w:color="auto" w:fill="auto"/>
            <w:noWrap/>
            <w:vAlign w:val="bottom"/>
            <w:hideMark/>
          </w:tcPr>
          <w:p w:rsidR="00600719" w:rsidRPr="00F06708" w:rsidRDefault="00600719" w:rsidP="006D578F">
            <w:pPr>
              <w:rPr>
                <w:rFonts w:ascii="Arial" w:hAnsi="Arial" w:cs="Arial"/>
                <w:color w:val="000000"/>
                <w:sz w:val="16"/>
                <w:szCs w:val="16"/>
              </w:rPr>
            </w:pPr>
          </w:p>
        </w:tc>
        <w:tc>
          <w:tcPr>
            <w:tcW w:w="813" w:type="dxa"/>
            <w:tcBorders>
              <w:top w:val="single" w:sz="4" w:space="0" w:color="auto"/>
              <w:left w:val="nil"/>
              <w:bottom w:val="nil"/>
              <w:right w:val="nil"/>
            </w:tcBorders>
            <w:shd w:val="clear" w:color="auto" w:fill="auto"/>
            <w:noWrap/>
            <w:vAlign w:val="bottom"/>
            <w:hideMark/>
          </w:tcPr>
          <w:p w:rsidR="00600719" w:rsidRPr="00F06708" w:rsidRDefault="00600719" w:rsidP="006D578F">
            <w:pPr>
              <w:rPr>
                <w:rFonts w:ascii="Arial" w:hAnsi="Arial" w:cs="Arial"/>
                <w:color w:val="000000"/>
                <w:sz w:val="16"/>
                <w:szCs w:val="16"/>
              </w:rPr>
            </w:pPr>
          </w:p>
        </w:tc>
      </w:tr>
      <w:tr w:rsidR="00600719" w:rsidRPr="00F06708" w:rsidTr="006D578F">
        <w:trPr>
          <w:trHeight w:val="283"/>
        </w:trPr>
        <w:tc>
          <w:tcPr>
            <w:tcW w:w="2850" w:type="dxa"/>
            <w:tcBorders>
              <w:top w:val="nil"/>
              <w:left w:val="nil"/>
              <w:bottom w:val="nil"/>
              <w:right w:val="nil"/>
            </w:tcBorders>
            <w:shd w:val="clear" w:color="auto" w:fill="auto"/>
            <w:noWrap/>
            <w:vAlign w:val="center"/>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Wartość brutto</w:t>
            </w:r>
          </w:p>
        </w:tc>
        <w:tc>
          <w:tcPr>
            <w:tcW w:w="819"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7 083</w:t>
            </w:r>
          </w:p>
        </w:tc>
        <w:tc>
          <w:tcPr>
            <w:tcW w:w="1024"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125 351</w:t>
            </w:r>
          </w:p>
        </w:tc>
        <w:tc>
          <w:tcPr>
            <w:tcW w:w="992"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9 201</w:t>
            </w:r>
          </w:p>
        </w:tc>
        <w:tc>
          <w:tcPr>
            <w:tcW w:w="1095"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926</w:t>
            </w:r>
          </w:p>
        </w:tc>
        <w:tc>
          <w:tcPr>
            <w:tcW w:w="960"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10 490</w:t>
            </w:r>
          </w:p>
        </w:tc>
        <w:tc>
          <w:tcPr>
            <w:tcW w:w="960"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7 625</w:t>
            </w:r>
          </w:p>
        </w:tc>
        <w:tc>
          <w:tcPr>
            <w:tcW w:w="813"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160 677</w:t>
            </w:r>
          </w:p>
        </w:tc>
      </w:tr>
      <w:tr w:rsidR="00600719" w:rsidRPr="00F06708" w:rsidTr="006D578F">
        <w:trPr>
          <w:trHeight w:val="283"/>
        </w:trPr>
        <w:tc>
          <w:tcPr>
            <w:tcW w:w="2850" w:type="dxa"/>
            <w:tcBorders>
              <w:top w:val="nil"/>
              <w:left w:val="nil"/>
              <w:right w:val="nil"/>
            </w:tcBorders>
            <w:shd w:val="clear" w:color="auto" w:fill="auto"/>
            <w:noWrap/>
            <w:vAlign w:val="center"/>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Umorzenie</w:t>
            </w:r>
          </w:p>
        </w:tc>
        <w:tc>
          <w:tcPr>
            <w:tcW w:w="819" w:type="dxa"/>
            <w:tcBorders>
              <w:top w:val="nil"/>
              <w:left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1024" w:type="dxa"/>
            <w:tcBorders>
              <w:top w:val="nil"/>
              <w:left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-36 568</w:t>
            </w:r>
          </w:p>
        </w:tc>
        <w:tc>
          <w:tcPr>
            <w:tcW w:w="992" w:type="dxa"/>
            <w:tcBorders>
              <w:top w:val="nil"/>
              <w:left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-7 067</w:t>
            </w:r>
          </w:p>
        </w:tc>
        <w:tc>
          <w:tcPr>
            <w:tcW w:w="1095" w:type="dxa"/>
            <w:tcBorders>
              <w:top w:val="nil"/>
              <w:left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-673</w:t>
            </w:r>
          </w:p>
        </w:tc>
        <w:tc>
          <w:tcPr>
            <w:tcW w:w="960" w:type="dxa"/>
            <w:tcBorders>
              <w:top w:val="nil"/>
              <w:left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-9 510</w:t>
            </w:r>
          </w:p>
        </w:tc>
        <w:tc>
          <w:tcPr>
            <w:tcW w:w="960" w:type="dxa"/>
            <w:tcBorders>
              <w:top w:val="nil"/>
              <w:left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813" w:type="dxa"/>
            <w:tcBorders>
              <w:top w:val="nil"/>
              <w:left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-53 818</w:t>
            </w:r>
          </w:p>
        </w:tc>
      </w:tr>
      <w:tr w:rsidR="00600719" w:rsidRPr="00F06708" w:rsidTr="006D578F">
        <w:trPr>
          <w:trHeight w:val="283"/>
        </w:trPr>
        <w:tc>
          <w:tcPr>
            <w:tcW w:w="2850" w:type="dxa"/>
            <w:tcBorders>
              <w:top w:val="nil"/>
              <w:left w:val="nil"/>
              <w:bottom w:val="single" w:sz="4" w:space="0" w:color="auto"/>
              <w:right w:val="nil"/>
            </w:tcBorders>
            <w:shd w:val="clear" w:color="auto" w:fill="auto"/>
            <w:noWrap/>
            <w:vAlign w:val="center"/>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 xml:space="preserve">Wartość księgowa netto  środków trwałych </w:t>
            </w:r>
          </w:p>
        </w:tc>
        <w:tc>
          <w:tcPr>
            <w:tcW w:w="819" w:type="dxa"/>
            <w:tcBorders>
              <w:top w:val="nil"/>
              <w:left w:val="nil"/>
              <w:bottom w:val="single" w:sz="4" w:space="0" w:color="auto"/>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7 083</w:t>
            </w:r>
          </w:p>
        </w:tc>
        <w:tc>
          <w:tcPr>
            <w:tcW w:w="1024" w:type="dxa"/>
            <w:tcBorders>
              <w:top w:val="nil"/>
              <w:left w:val="nil"/>
              <w:bottom w:val="single" w:sz="4" w:space="0" w:color="auto"/>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88 784</w:t>
            </w:r>
          </w:p>
        </w:tc>
        <w:tc>
          <w:tcPr>
            <w:tcW w:w="992" w:type="dxa"/>
            <w:tcBorders>
              <w:top w:val="nil"/>
              <w:left w:val="nil"/>
              <w:bottom w:val="single" w:sz="4" w:space="0" w:color="auto"/>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2 134</w:t>
            </w:r>
          </w:p>
        </w:tc>
        <w:tc>
          <w:tcPr>
            <w:tcW w:w="1095" w:type="dxa"/>
            <w:tcBorders>
              <w:top w:val="nil"/>
              <w:left w:val="nil"/>
              <w:bottom w:val="single" w:sz="4" w:space="0" w:color="auto"/>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253</w:t>
            </w:r>
          </w:p>
        </w:tc>
        <w:tc>
          <w:tcPr>
            <w:tcW w:w="960" w:type="dxa"/>
            <w:tcBorders>
              <w:top w:val="nil"/>
              <w:left w:val="nil"/>
              <w:bottom w:val="single" w:sz="4" w:space="0" w:color="auto"/>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980</w:t>
            </w:r>
          </w:p>
        </w:tc>
        <w:tc>
          <w:tcPr>
            <w:tcW w:w="960" w:type="dxa"/>
            <w:tcBorders>
              <w:top w:val="nil"/>
              <w:left w:val="nil"/>
              <w:bottom w:val="single" w:sz="4" w:space="0" w:color="auto"/>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7 625</w:t>
            </w:r>
          </w:p>
        </w:tc>
        <w:tc>
          <w:tcPr>
            <w:tcW w:w="813" w:type="dxa"/>
            <w:tcBorders>
              <w:top w:val="nil"/>
              <w:left w:val="nil"/>
              <w:bottom w:val="single" w:sz="4" w:space="0" w:color="auto"/>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106 859</w:t>
            </w:r>
          </w:p>
        </w:tc>
      </w:tr>
      <w:tr w:rsidR="00600719" w:rsidRPr="00F06708" w:rsidTr="006D578F">
        <w:trPr>
          <w:trHeight w:val="283"/>
        </w:trPr>
        <w:tc>
          <w:tcPr>
            <w:tcW w:w="2850" w:type="dxa"/>
            <w:tcBorders>
              <w:top w:val="single" w:sz="4" w:space="0" w:color="auto"/>
              <w:right w:val="nil"/>
            </w:tcBorders>
            <w:shd w:val="clear" w:color="auto" w:fill="auto"/>
            <w:noWrap/>
            <w:vAlign w:val="center"/>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 xml:space="preserve">      w tym wartość księgowa netto środków trwałych w leasingu</w:t>
            </w:r>
          </w:p>
        </w:tc>
        <w:tc>
          <w:tcPr>
            <w:tcW w:w="819" w:type="dxa"/>
            <w:tcBorders>
              <w:top w:val="single" w:sz="4" w:space="0" w:color="auto"/>
              <w:left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6 764</w:t>
            </w:r>
          </w:p>
        </w:tc>
        <w:tc>
          <w:tcPr>
            <w:tcW w:w="1024" w:type="dxa"/>
            <w:tcBorders>
              <w:top w:val="single" w:sz="4" w:space="0" w:color="auto"/>
              <w:left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649</w:t>
            </w:r>
          </w:p>
        </w:tc>
        <w:tc>
          <w:tcPr>
            <w:tcW w:w="992" w:type="dxa"/>
            <w:tcBorders>
              <w:top w:val="single" w:sz="4" w:space="0" w:color="auto"/>
              <w:left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p>
        </w:tc>
        <w:tc>
          <w:tcPr>
            <w:tcW w:w="1095" w:type="dxa"/>
            <w:tcBorders>
              <w:top w:val="single" w:sz="4" w:space="0" w:color="auto"/>
              <w:left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p>
        </w:tc>
        <w:tc>
          <w:tcPr>
            <w:tcW w:w="960" w:type="dxa"/>
            <w:tcBorders>
              <w:top w:val="single" w:sz="4" w:space="0" w:color="auto"/>
              <w:left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p>
        </w:tc>
        <w:tc>
          <w:tcPr>
            <w:tcW w:w="960" w:type="dxa"/>
            <w:tcBorders>
              <w:top w:val="single" w:sz="4" w:space="0" w:color="auto"/>
              <w:left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p>
        </w:tc>
        <w:tc>
          <w:tcPr>
            <w:tcW w:w="813" w:type="dxa"/>
            <w:tcBorders>
              <w:top w:val="single" w:sz="4" w:space="0" w:color="auto"/>
              <w:lef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7 413</w:t>
            </w:r>
          </w:p>
        </w:tc>
      </w:tr>
      <w:tr w:rsidR="00600719" w:rsidRPr="00F06708" w:rsidTr="006D578F">
        <w:trPr>
          <w:trHeight w:val="283"/>
        </w:trPr>
        <w:tc>
          <w:tcPr>
            <w:tcW w:w="2850" w:type="dxa"/>
            <w:tcBorders>
              <w:left w:val="nil"/>
              <w:bottom w:val="nil"/>
              <w:right w:val="nil"/>
            </w:tcBorders>
            <w:shd w:val="clear" w:color="auto" w:fill="auto"/>
            <w:noWrap/>
            <w:vAlign w:val="center"/>
            <w:hideMark/>
          </w:tcPr>
          <w:p w:rsidR="00600719" w:rsidRPr="00F06708" w:rsidRDefault="00600719" w:rsidP="006D578F">
            <w:pPr>
              <w:rPr>
                <w:rFonts w:ascii="Arial" w:hAnsi="Arial" w:cs="Arial"/>
                <w:b/>
                <w:bCs/>
                <w:color w:val="000000"/>
                <w:sz w:val="16"/>
                <w:szCs w:val="16"/>
              </w:rPr>
            </w:pPr>
          </w:p>
        </w:tc>
        <w:tc>
          <w:tcPr>
            <w:tcW w:w="819" w:type="dxa"/>
            <w:tcBorders>
              <w:left w:val="nil"/>
              <w:bottom w:val="nil"/>
              <w:right w:val="nil"/>
            </w:tcBorders>
            <w:shd w:val="clear" w:color="auto" w:fill="auto"/>
            <w:noWrap/>
            <w:vAlign w:val="center"/>
            <w:hideMark/>
          </w:tcPr>
          <w:p w:rsidR="00600719" w:rsidRPr="00F06708" w:rsidRDefault="00600719" w:rsidP="006D578F">
            <w:pPr>
              <w:jc w:val="right"/>
              <w:rPr>
                <w:rFonts w:ascii="Arial" w:hAnsi="Arial" w:cs="Arial"/>
                <w:b/>
                <w:bCs/>
                <w:color w:val="000000"/>
                <w:sz w:val="16"/>
                <w:szCs w:val="16"/>
              </w:rPr>
            </w:pPr>
          </w:p>
        </w:tc>
        <w:tc>
          <w:tcPr>
            <w:tcW w:w="1024" w:type="dxa"/>
            <w:tcBorders>
              <w:left w:val="nil"/>
              <w:bottom w:val="nil"/>
              <w:right w:val="nil"/>
            </w:tcBorders>
            <w:shd w:val="clear" w:color="auto" w:fill="auto"/>
            <w:noWrap/>
            <w:vAlign w:val="center"/>
            <w:hideMark/>
          </w:tcPr>
          <w:p w:rsidR="00600719" w:rsidRPr="00F06708" w:rsidRDefault="00600719" w:rsidP="006D578F">
            <w:pPr>
              <w:jc w:val="right"/>
              <w:rPr>
                <w:rFonts w:ascii="Arial" w:hAnsi="Arial" w:cs="Arial"/>
                <w:b/>
                <w:bCs/>
                <w:color w:val="000000"/>
                <w:sz w:val="16"/>
                <w:szCs w:val="16"/>
              </w:rPr>
            </w:pPr>
          </w:p>
        </w:tc>
        <w:tc>
          <w:tcPr>
            <w:tcW w:w="992" w:type="dxa"/>
            <w:tcBorders>
              <w:left w:val="nil"/>
              <w:bottom w:val="nil"/>
              <w:right w:val="nil"/>
            </w:tcBorders>
            <w:shd w:val="clear" w:color="auto" w:fill="auto"/>
            <w:noWrap/>
            <w:vAlign w:val="center"/>
            <w:hideMark/>
          </w:tcPr>
          <w:p w:rsidR="00600719" w:rsidRPr="00F06708" w:rsidRDefault="00600719" w:rsidP="006D578F">
            <w:pPr>
              <w:jc w:val="right"/>
              <w:rPr>
                <w:rFonts w:ascii="Arial" w:hAnsi="Arial" w:cs="Arial"/>
                <w:b/>
                <w:bCs/>
                <w:color w:val="000000"/>
                <w:sz w:val="16"/>
                <w:szCs w:val="16"/>
              </w:rPr>
            </w:pPr>
          </w:p>
        </w:tc>
        <w:tc>
          <w:tcPr>
            <w:tcW w:w="1095" w:type="dxa"/>
            <w:tcBorders>
              <w:left w:val="nil"/>
              <w:bottom w:val="nil"/>
              <w:right w:val="nil"/>
            </w:tcBorders>
            <w:shd w:val="clear" w:color="auto" w:fill="auto"/>
            <w:noWrap/>
            <w:vAlign w:val="center"/>
            <w:hideMark/>
          </w:tcPr>
          <w:p w:rsidR="00600719" w:rsidRPr="00F06708" w:rsidRDefault="00600719" w:rsidP="006D578F">
            <w:pPr>
              <w:jc w:val="right"/>
              <w:rPr>
                <w:rFonts w:ascii="Arial" w:hAnsi="Arial" w:cs="Arial"/>
                <w:b/>
                <w:bCs/>
                <w:color w:val="000000"/>
                <w:sz w:val="16"/>
                <w:szCs w:val="16"/>
              </w:rPr>
            </w:pPr>
          </w:p>
        </w:tc>
        <w:tc>
          <w:tcPr>
            <w:tcW w:w="960" w:type="dxa"/>
            <w:tcBorders>
              <w:left w:val="nil"/>
              <w:bottom w:val="nil"/>
              <w:right w:val="nil"/>
            </w:tcBorders>
            <w:shd w:val="clear" w:color="auto" w:fill="auto"/>
            <w:noWrap/>
            <w:vAlign w:val="center"/>
            <w:hideMark/>
          </w:tcPr>
          <w:p w:rsidR="00600719" w:rsidRPr="00F06708" w:rsidRDefault="00600719" w:rsidP="006D578F">
            <w:pPr>
              <w:jc w:val="right"/>
              <w:rPr>
                <w:rFonts w:ascii="Arial" w:hAnsi="Arial" w:cs="Arial"/>
                <w:b/>
                <w:bCs/>
                <w:color w:val="000000"/>
                <w:sz w:val="16"/>
                <w:szCs w:val="16"/>
              </w:rPr>
            </w:pPr>
          </w:p>
        </w:tc>
        <w:tc>
          <w:tcPr>
            <w:tcW w:w="960" w:type="dxa"/>
            <w:tcBorders>
              <w:left w:val="nil"/>
              <w:bottom w:val="nil"/>
              <w:right w:val="nil"/>
            </w:tcBorders>
            <w:shd w:val="clear" w:color="auto" w:fill="auto"/>
            <w:noWrap/>
            <w:vAlign w:val="center"/>
            <w:hideMark/>
          </w:tcPr>
          <w:p w:rsidR="00600719" w:rsidRPr="00F06708" w:rsidRDefault="00600719" w:rsidP="006D578F">
            <w:pPr>
              <w:jc w:val="right"/>
              <w:rPr>
                <w:rFonts w:ascii="Arial" w:hAnsi="Arial" w:cs="Arial"/>
                <w:b/>
                <w:bCs/>
                <w:color w:val="000000"/>
                <w:sz w:val="16"/>
                <w:szCs w:val="16"/>
              </w:rPr>
            </w:pPr>
          </w:p>
        </w:tc>
        <w:tc>
          <w:tcPr>
            <w:tcW w:w="813" w:type="dxa"/>
            <w:tcBorders>
              <w:left w:val="nil"/>
              <w:bottom w:val="nil"/>
              <w:right w:val="nil"/>
            </w:tcBorders>
            <w:shd w:val="clear" w:color="auto" w:fill="auto"/>
            <w:noWrap/>
            <w:vAlign w:val="center"/>
            <w:hideMark/>
          </w:tcPr>
          <w:p w:rsidR="00600719" w:rsidRPr="00F06708" w:rsidRDefault="00600719" w:rsidP="006D578F">
            <w:pPr>
              <w:jc w:val="right"/>
              <w:rPr>
                <w:rFonts w:ascii="Arial" w:hAnsi="Arial" w:cs="Arial"/>
                <w:b/>
                <w:bCs/>
                <w:color w:val="000000"/>
                <w:sz w:val="16"/>
                <w:szCs w:val="16"/>
              </w:rPr>
            </w:pPr>
          </w:p>
        </w:tc>
      </w:tr>
      <w:tr w:rsidR="00600719" w:rsidRPr="00F06708" w:rsidTr="006D578F">
        <w:trPr>
          <w:trHeight w:val="283"/>
        </w:trPr>
        <w:tc>
          <w:tcPr>
            <w:tcW w:w="2850" w:type="dxa"/>
            <w:tcBorders>
              <w:top w:val="nil"/>
              <w:left w:val="nil"/>
              <w:bottom w:val="nil"/>
              <w:right w:val="nil"/>
            </w:tcBorders>
            <w:shd w:val="clear" w:color="auto" w:fill="auto"/>
            <w:noWrap/>
            <w:vAlign w:val="center"/>
            <w:hideMark/>
          </w:tcPr>
          <w:p w:rsidR="00600719" w:rsidRPr="00F06708" w:rsidRDefault="00600719" w:rsidP="006D578F">
            <w:pPr>
              <w:rPr>
                <w:rFonts w:ascii="Arial" w:hAnsi="Arial" w:cs="Arial"/>
                <w:b/>
                <w:bCs/>
                <w:color w:val="000000"/>
                <w:sz w:val="16"/>
                <w:szCs w:val="16"/>
              </w:rPr>
            </w:pPr>
            <w:r w:rsidRPr="00F06708">
              <w:rPr>
                <w:rFonts w:ascii="Arial" w:hAnsi="Arial" w:cs="Arial"/>
                <w:b/>
                <w:bCs/>
                <w:color w:val="000000"/>
                <w:sz w:val="16"/>
                <w:szCs w:val="16"/>
              </w:rPr>
              <w:t>Zmiany w III kwartałach 2020 r.</w:t>
            </w:r>
          </w:p>
        </w:tc>
        <w:tc>
          <w:tcPr>
            <w:tcW w:w="819"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p>
        </w:tc>
        <w:tc>
          <w:tcPr>
            <w:tcW w:w="1024"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p>
        </w:tc>
        <w:tc>
          <w:tcPr>
            <w:tcW w:w="1095"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p>
        </w:tc>
        <w:tc>
          <w:tcPr>
            <w:tcW w:w="813"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p>
        </w:tc>
      </w:tr>
      <w:tr w:rsidR="00600719" w:rsidRPr="00F06708" w:rsidTr="006D578F">
        <w:trPr>
          <w:trHeight w:val="283"/>
        </w:trPr>
        <w:tc>
          <w:tcPr>
            <w:tcW w:w="2850" w:type="dxa"/>
            <w:tcBorders>
              <w:top w:val="nil"/>
              <w:left w:val="nil"/>
              <w:bottom w:val="nil"/>
              <w:right w:val="nil"/>
            </w:tcBorders>
            <w:shd w:val="clear" w:color="auto" w:fill="auto"/>
            <w:noWrap/>
            <w:vAlign w:val="center"/>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Rozliczenie środków trwałych</w:t>
            </w:r>
          </w:p>
        </w:tc>
        <w:tc>
          <w:tcPr>
            <w:tcW w:w="819"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1024"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790</w:t>
            </w:r>
          </w:p>
        </w:tc>
        <w:tc>
          <w:tcPr>
            <w:tcW w:w="992"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43</w:t>
            </w:r>
          </w:p>
        </w:tc>
        <w:tc>
          <w:tcPr>
            <w:tcW w:w="1095"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960"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960"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-833</w:t>
            </w:r>
          </w:p>
        </w:tc>
        <w:tc>
          <w:tcPr>
            <w:tcW w:w="813"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r>
      <w:tr w:rsidR="00600719" w:rsidRPr="00F06708" w:rsidTr="006D578F">
        <w:trPr>
          <w:trHeight w:val="283"/>
        </w:trPr>
        <w:tc>
          <w:tcPr>
            <w:tcW w:w="2850" w:type="dxa"/>
            <w:tcBorders>
              <w:top w:val="nil"/>
              <w:left w:val="nil"/>
              <w:bottom w:val="nil"/>
              <w:right w:val="nil"/>
            </w:tcBorders>
            <w:shd w:val="clear" w:color="auto" w:fill="auto"/>
            <w:noWrap/>
            <w:vAlign w:val="center"/>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 xml:space="preserve"> w budowie</w:t>
            </w:r>
          </w:p>
        </w:tc>
        <w:tc>
          <w:tcPr>
            <w:tcW w:w="819"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p>
        </w:tc>
        <w:tc>
          <w:tcPr>
            <w:tcW w:w="1024"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p>
        </w:tc>
        <w:tc>
          <w:tcPr>
            <w:tcW w:w="1095"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p>
        </w:tc>
        <w:tc>
          <w:tcPr>
            <w:tcW w:w="813"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p>
        </w:tc>
      </w:tr>
      <w:tr w:rsidR="00600719" w:rsidRPr="00F06708" w:rsidTr="006D578F">
        <w:trPr>
          <w:trHeight w:val="283"/>
        </w:trPr>
        <w:tc>
          <w:tcPr>
            <w:tcW w:w="2850" w:type="dxa"/>
            <w:tcBorders>
              <w:top w:val="nil"/>
              <w:left w:val="nil"/>
              <w:bottom w:val="nil"/>
              <w:right w:val="nil"/>
            </w:tcBorders>
            <w:shd w:val="clear" w:color="auto" w:fill="auto"/>
            <w:noWrap/>
            <w:vAlign w:val="center"/>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Zakup bezpośredni</w:t>
            </w:r>
          </w:p>
        </w:tc>
        <w:tc>
          <w:tcPr>
            <w:tcW w:w="819"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1024"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992"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37</w:t>
            </w:r>
          </w:p>
        </w:tc>
        <w:tc>
          <w:tcPr>
            <w:tcW w:w="1095"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960"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67</w:t>
            </w:r>
          </w:p>
        </w:tc>
        <w:tc>
          <w:tcPr>
            <w:tcW w:w="960"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36 463</w:t>
            </w:r>
          </w:p>
        </w:tc>
        <w:tc>
          <w:tcPr>
            <w:tcW w:w="813"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36 567</w:t>
            </w:r>
          </w:p>
        </w:tc>
      </w:tr>
      <w:tr w:rsidR="00600719" w:rsidRPr="00F06708" w:rsidTr="006D578F">
        <w:trPr>
          <w:trHeight w:val="283"/>
        </w:trPr>
        <w:tc>
          <w:tcPr>
            <w:tcW w:w="2850" w:type="dxa"/>
            <w:tcBorders>
              <w:top w:val="nil"/>
              <w:left w:val="nil"/>
              <w:bottom w:val="nil"/>
              <w:right w:val="nil"/>
            </w:tcBorders>
            <w:shd w:val="clear" w:color="auto" w:fill="auto"/>
            <w:noWrap/>
            <w:vAlign w:val="center"/>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Zbycie</w:t>
            </w:r>
          </w:p>
        </w:tc>
        <w:tc>
          <w:tcPr>
            <w:tcW w:w="819"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1024"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992"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0</w:t>
            </w:r>
          </w:p>
        </w:tc>
        <w:tc>
          <w:tcPr>
            <w:tcW w:w="1095"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960"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960"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813"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r>
      <w:tr w:rsidR="00600719" w:rsidRPr="00F06708" w:rsidTr="006D578F">
        <w:trPr>
          <w:trHeight w:val="283"/>
        </w:trPr>
        <w:tc>
          <w:tcPr>
            <w:tcW w:w="2850" w:type="dxa"/>
            <w:tcBorders>
              <w:top w:val="nil"/>
              <w:left w:val="nil"/>
              <w:bottom w:val="nil"/>
              <w:right w:val="nil"/>
            </w:tcBorders>
            <w:shd w:val="clear" w:color="auto" w:fill="auto"/>
            <w:noWrap/>
            <w:vAlign w:val="center"/>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Likwidacja lub spisanie z ewidencji</w:t>
            </w:r>
          </w:p>
        </w:tc>
        <w:tc>
          <w:tcPr>
            <w:tcW w:w="819"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1024"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-1 549</w:t>
            </w:r>
          </w:p>
        </w:tc>
        <w:tc>
          <w:tcPr>
            <w:tcW w:w="992"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-520</w:t>
            </w:r>
          </w:p>
        </w:tc>
        <w:tc>
          <w:tcPr>
            <w:tcW w:w="1095"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-3</w:t>
            </w:r>
          </w:p>
        </w:tc>
        <w:tc>
          <w:tcPr>
            <w:tcW w:w="960"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-425</w:t>
            </w:r>
          </w:p>
        </w:tc>
        <w:tc>
          <w:tcPr>
            <w:tcW w:w="960"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813"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-2 497</w:t>
            </w:r>
          </w:p>
        </w:tc>
      </w:tr>
      <w:tr w:rsidR="00600719" w:rsidRPr="00F06708" w:rsidTr="006D578F">
        <w:trPr>
          <w:trHeight w:val="283"/>
        </w:trPr>
        <w:tc>
          <w:tcPr>
            <w:tcW w:w="2850" w:type="dxa"/>
            <w:tcBorders>
              <w:top w:val="nil"/>
              <w:left w:val="nil"/>
              <w:bottom w:val="nil"/>
              <w:right w:val="nil"/>
            </w:tcBorders>
            <w:shd w:val="clear" w:color="auto" w:fill="auto"/>
            <w:noWrap/>
            <w:vAlign w:val="center"/>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Amortyzacja</w:t>
            </w:r>
          </w:p>
        </w:tc>
        <w:tc>
          <w:tcPr>
            <w:tcW w:w="819"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1024"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-2 015</w:t>
            </w:r>
          </w:p>
        </w:tc>
        <w:tc>
          <w:tcPr>
            <w:tcW w:w="992"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-405</w:t>
            </w:r>
          </w:p>
        </w:tc>
        <w:tc>
          <w:tcPr>
            <w:tcW w:w="1095"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-15</w:t>
            </w:r>
          </w:p>
        </w:tc>
        <w:tc>
          <w:tcPr>
            <w:tcW w:w="960"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-349</w:t>
            </w:r>
          </w:p>
        </w:tc>
        <w:tc>
          <w:tcPr>
            <w:tcW w:w="960"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813"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-2 784</w:t>
            </w:r>
          </w:p>
        </w:tc>
      </w:tr>
      <w:tr w:rsidR="00600719" w:rsidRPr="00F06708" w:rsidTr="006D578F">
        <w:trPr>
          <w:trHeight w:val="283"/>
        </w:trPr>
        <w:tc>
          <w:tcPr>
            <w:tcW w:w="2850" w:type="dxa"/>
            <w:tcBorders>
              <w:top w:val="nil"/>
              <w:left w:val="nil"/>
              <w:bottom w:val="nil"/>
              <w:right w:val="nil"/>
            </w:tcBorders>
            <w:shd w:val="clear" w:color="auto" w:fill="auto"/>
            <w:noWrap/>
            <w:vAlign w:val="center"/>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 xml:space="preserve">        w tym amortyzacja środków trwałych w leasingu</w:t>
            </w:r>
          </w:p>
        </w:tc>
        <w:tc>
          <w:tcPr>
            <w:tcW w:w="819"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1024"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-172</w:t>
            </w:r>
          </w:p>
        </w:tc>
        <w:tc>
          <w:tcPr>
            <w:tcW w:w="992"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1095"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960"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0</w:t>
            </w:r>
          </w:p>
        </w:tc>
        <w:tc>
          <w:tcPr>
            <w:tcW w:w="960"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813"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-172</w:t>
            </w:r>
          </w:p>
        </w:tc>
      </w:tr>
      <w:tr w:rsidR="00600719" w:rsidRPr="00F06708" w:rsidTr="006D578F">
        <w:trPr>
          <w:trHeight w:val="283"/>
        </w:trPr>
        <w:tc>
          <w:tcPr>
            <w:tcW w:w="2850" w:type="dxa"/>
            <w:tcBorders>
              <w:top w:val="nil"/>
              <w:left w:val="nil"/>
              <w:bottom w:val="nil"/>
              <w:right w:val="nil"/>
            </w:tcBorders>
            <w:shd w:val="clear" w:color="auto" w:fill="auto"/>
            <w:noWrap/>
            <w:vAlign w:val="center"/>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Zmniejszenie umorzenia z tytułu likwidacji, sprzedaży i inne</w:t>
            </w:r>
          </w:p>
        </w:tc>
        <w:tc>
          <w:tcPr>
            <w:tcW w:w="819"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1024"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485</w:t>
            </w:r>
          </w:p>
        </w:tc>
        <w:tc>
          <w:tcPr>
            <w:tcW w:w="992"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427</w:t>
            </w:r>
          </w:p>
        </w:tc>
        <w:tc>
          <w:tcPr>
            <w:tcW w:w="1095"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3</w:t>
            </w:r>
          </w:p>
        </w:tc>
        <w:tc>
          <w:tcPr>
            <w:tcW w:w="960"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423</w:t>
            </w:r>
          </w:p>
        </w:tc>
        <w:tc>
          <w:tcPr>
            <w:tcW w:w="960"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813"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1 338</w:t>
            </w:r>
          </w:p>
        </w:tc>
      </w:tr>
      <w:tr w:rsidR="00600719" w:rsidRPr="00F06708" w:rsidTr="006D578F">
        <w:trPr>
          <w:trHeight w:val="283"/>
        </w:trPr>
        <w:tc>
          <w:tcPr>
            <w:tcW w:w="2850" w:type="dxa"/>
            <w:tcBorders>
              <w:top w:val="nil"/>
              <w:left w:val="nil"/>
              <w:bottom w:val="single" w:sz="4" w:space="0" w:color="auto"/>
              <w:right w:val="nil"/>
            </w:tcBorders>
            <w:shd w:val="clear" w:color="auto" w:fill="auto"/>
            <w:noWrap/>
            <w:vAlign w:val="bottom"/>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 </w:t>
            </w:r>
          </w:p>
        </w:tc>
        <w:tc>
          <w:tcPr>
            <w:tcW w:w="819" w:type="dxa"/>
            <w:tcBorders>
              <w:top w:val="nil"/>
              <w:left w:val="nil"/>
              <w:bottom w:val="single" w:sz="4" w:space="0" w:color="auto"/>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 </w:t>
            </w:r>
          </w:p>
        </w:tc>
        <w:tc>
          <w:tcPr>
            <w:tcW w:w="1024" w:type="dxa"/>
            <w:tcBorders>
              <w:top w:val="nil"/>
              <w:left w:val="nil"/>
              <w:bottom w:val="single" w:sz="4" w:space="0" w:color="auto"/>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 </w:t>
            </w:r>
          </w:p>
        </w:tc>
        <w:tc>
          <w:tcPr>
            <w:tcW w:w="992" w:type="dxa"/>
            <w:tcBorders>
              <w:top w:val="nil"/>
              <w:left w:val="nil"/>
              <w:bottom w:val="single" w:sz="4" w:space="0" w:color="auto"/>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 </w:t>
            </w:r>
          </w:p>
        </w:tc>
        <w:tc>
          <w:tcPr>
            <w:tcW w:w="1095" w:type="dxa"/>
            <w:tcBorders>
              <w:top w:val="nil"/>
              <w:left w:val="nil"/>
              <w:bottom w:val="single" w:sz="4" w:space="0" w:color="auto"/>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 </w:t>
            </w:r>
          </w:p>
        </w:tc>
        <w:tc>
          <w:tcPr>
            <w:tcW w:w="960" w:type="dxa"/>
            <w:tcBorders>
              <w:top w:val="nil"/>
              <w:left w:val="nil"/>
              <w:bottom w:val="single" w:sz="4" w:space="0" w:color="auto"/>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 </w:t>
            </w:r>
          </w:p>
        </w:tc>
        <w:tc>
          <w:tcPr>
            <w:tcW w:w="960" w:type="dxa"/>
            <w:tcBorders>
              <w:top w:val="nil"/>
              <w:left w:val="nil"/>
              <w:bottom w:val="single" w:sz="4" w:space="0" w:color="auto"/>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 </w:t>
            </w:r>
          </w:p>
        </w:tc>
        <w:tc>
          <w:tcPr>
            <w:tcW w:w="813" w:type="dxa"/>
            <w:tcBorders>
              <w:top w:val="nil"/>
              <w:left w:val="nil"/>
              <w:bottom w:val="single" w:sz="4" w:space="0" w:color="auto"/>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 </w:t>
            </w:r>
          </w:p>
        </w:tc>
      </w:tr>
      <w:tr w:rsidR="00600719" w:rsidRPr="00F06708" w:rsidTr="006D578F">
        <w:trPr>
          <w:trHeight w:val="283"/>
        </w:trPr>
        <w:tc>
          <w:tcPr>
            <w:tcW w:w="2850" w:type="dxa"/>
            <w:tcBorders>
              <w:top w:val="single" w:sz="4" w:space="0" w:color="auto"/>
              <w:left w:val="nil"/>
              <w:bottom w:val="nil"/>
              <w:right w:val="nil"/>
            </w:tcBorders>
            <w:shd w:val="clear" w:color="auto" w:fill="auto"/>
            <w:noWrap/>
            <w:vAlign w:val="center"/>
            <w:hideMark/>
          </w:tcPr>
          <w:p w:rsidR="00600719" w:rsidRPr="00F06708" w:rsidRDefault="00600719" w:rsidP="006D578F">
            <w:pPr>
              <w:rPr>
                <w:rFonts w:ascii="Arial" w:hAnsi="Arial" w:cs="Arial"/>
                <w:b/>
                <w:bCs/>
                <w:color w:val="000000"/>
                <w:sz w:val="16"/>
                <w:szCs w:val="16"/>
              </w:rPr>
            </w:pPr>
            <w:r w:rsidRPr="00F06708">
              <w:rPr>
                <w:rFonts w:ascii="Arial" w:hAnsi="Arial" w:cs="Arial"/>
                <w:b/>
                <w:bCs/>
                <w:color w:val="000000"/>
                <w:sz w:val="16"/>
                <w:szCs w:val="16"/>
              </w:rPr>
              <w:t>Stan na 30 września 2020 r.</w:t>
            </w:r>
          </w:p>
        </w:tc>
        <w:tc>
          <w:tcPr>
            <w:tcW w:w="819" w:type="dxa"/>
            <w:tcBorders>
              <w:top w:val="single" w:sz="4" w:space="0" w:color="auto"/>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p>
        </w:tc>
        <w:tc>
          <w:tcPr>
            <w:tcW w:w="1024" w:type="dxa"/>
            <w:tcBorders>
              <w:top w:val="single" w:sz="4" w:space="0" w:color="auto"/>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p>
        </w:tc>
        <w:tc>
          <w:tcPr>
            <w:tcW w:w="992" w:type="dxa"/>
            <w:tcBorders>
              <w:top w:val="single" w:sz="4" w:space="0" w:color="auto"/>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p>
        </w:tc>
        <w:tc>
          <w:tcPr>
            <w:tcW w:w="1095" w:type="dxa"/>
            <w:tcBorders>
              <w:top w:val="single" w:sz="4" w:space="0" w:color="auto"/>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p>
        </w:tc>
        <w:tc>
          <w:tcPr>
            <w:tcW w:w="960" w:type="dxa"/>
            <w:tcBorders>
              <w:top w:val="single" w:sz="4" w:space="0" w:color="auto"/>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p>
        </w:tc>
        <w:tc>
          <w:tcPr>
            <w:tcW w:w="960" w:type="dxa"/>
            <w:tcBorders>
              <w:top w:val="single" w:sz="4" w:space="0" w:color="auto"/>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p>
        </w:tc>
        <w:tc>
          <w:tcPr>
            <w:tcW w:w="813" w:type="dxa"/>
            <w:tcBorders>
              <w:top w:val="single" w:sz="4" w:space="0" w:color="auto"/>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p>
        </w:tc>
      </w:tr>
      <w:tr w:rsidR="00600719" w:rsidRPr="00F06708" w:rsidTr="006D578F">
        <w:trPr>
          <w:trHeight w:val="283"/>
        </w:trPr>
        <w:tc>
          <w:tcPr>
            <w:tcW w:w="3669" w:type="dxa"/>
            <w:gridSpan w:val="2"/>
            <w:tcBorders>
              <w:top w:val="nil"/>
              <w:left w:val="nil"/>
              <w:bottom w:val="nil"/>
              <w:right w:val="nil"/>
            </w:tcBorders>
            <w:shd w:val="clear" w:color="auto" w:fill="auto"/>
            <w:noWrap/>
            <w:vAlign w:val="center"/>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Wartość brutto</w:t>
            </w:r>
          </w:p>
        </w:tc>
        <w:tc>
          <w:tcPr>
            <w:tcW w:w="1024"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7 083</w:t>
            </w:r>
          </w:p>
        </w:tc>
        <w:tc>
          <w:tcPr>
            <w:tcW w:w="992"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124 592</w:t>
            </w:r>
          </w:p>
        </w:tc>
        <w:tc>
          <w:tcPr>
            <w:tcW w:w="1095"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8 762</w:t>
            </w:r>
          </w:p>
        </w:tc>
        <w:tc>
          <w:tcPr>
            <w:tcW w:w="960"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923</w:t>
            </w:r>
          </w:p>
        </w:tc>
        <w:tc>
          <w:tcPr>
            <w:tcW w:w="960"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10 132</w:t>
            </w:r>
          </w:p>
        </w:tc>
        <w:tc>
          <w:tcPr>
            <w:tcW w:w="813" w:type="dxa"/>
            <w:tcBorders>
              <w:top w:val="nil"/>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43 254</w:t>
            </w:r>
          </w:p>
        </w:tc>
      </w:tr>
      <w:tr w:rsidR="00600719" w:rsidRPr="00F06708" w:rsidTr="006D578F">
        <w:trPr>
          <w:trHeight w:val="283"/>
        </w:trPr>
        <w:tc>
          <w:tcPr>
            <w:tcW w:w="2850" w:type="dxa"/>
            <w:tcBorders>
              <w:top w:val="nil"/>
              <w:left w:val="nil"/>
              <w:right w:val="nil"/>
            </w:tcBorders>
            <w:shd w:val="clear" w:color="auto" w:fill="auto"/>
            <w:vAlign w:val="center"/>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Umorzenie</w:t>
            </w:r>
          </w:p>
        </w:tc>
        <w:tc>
          <w:tcPr>
            <w:tcW w:w="819" w:type="dxa"/>
            <w:tcBorders>
              <w:top w:val="nil"/>
              <w:left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1024" w:type="dxa"/>
            <w:tcBorders>
              <w:top w:val="nil"/>
              <w:left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-38 097</w:t>
            </w:r>
          </w:p>
        </w:tc>
        <w:tc>
          <w:tcPr>
            <w:tcW w:w="992" w:type="dxa"/>
            <w:tcBorders>
              <w:top w:val="nil"/>
              <w:left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-7 045</w:t>
            </w:r>
          </w:p>
        </w:tc>
        <w:tc>
          <w:tcPr>
            <w:tcW w:w="1095" w:type="dxa"/>
            <w:tcBorders>
              <w:top w:val="nil"/>
              <w:left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-686</w:t>
            </w:r>
          </w:p>
        </w:tc>
        <w:tc>
          <w:tcPr>
            <w:tcW w:w="960" w:type="dxa"/>
            <w:tcBorders>
              <w:top w:val="nil"/>
              <w:left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-9 436</w:t>
            </w:r>
          </w:p>
        </w:tc>
        <w:tc>
          <w:tcPr>
            <w:tcW w:w="960" w:type="dxa"/>
            <w:tcBorders>
              <w:top w:val="nil"/>
              <w:left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w:t>
            </w:r>
          </w:p>
        </w:tc>
        <w:tc>
          <w:tcPr>
            <w:tcW w:w="813" w:type="dxa"/>
            <w:tcBorders>
              <w:top w:val="nil"/>
              <w:left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-55 263</w:t>
            </w:r>
          </w:p>
        </w:tc>
      </w:tr>
      <w:tr w:rsidR="00600719" w:rsidRPr="00F06708" w:rsidTr="006D578F">
        <w:trPr>
          <w:trHeight w:val="283"/>
        </w:trPr>
        <w:tc>
          <w:tcPr>
            <w:tcW w:w="2850" w:type="dxa"/>
            <w:tcBorders>
              <w:top w:val="nil"/>
              <w:left w:val="nil"/>
              <w:bottom w:val="single" w:sz="4" w:space="0" w:color="auto"/>
              <w:right w:val="nil"/>
            </w:tcBorders>
            <w:shd w:val="clear" w:color="auto" w:fill="auto"/>
            <w:noWrap/>
            <w:vAlign w:val="center"/>
            <w:hideMark/>
          </w:tcPr>
          <w:p w:rsidR="00600719" w:rsidRPr="00F06708" w:rsidRDefault="00600719" w:rsidP="006D578F">
            <w:pPr>
              <w:rPr>
                <w:rFonts w:ascii="Arial" w:hAnsi="Arial" w:cs="Arial"/>
                <w:b/>
                <w:color w:val="000000"/>
                <w:sz w:val="16"/>
                <w:szCs w:val="16"/>
              </w:rPr>
            </w:pPr>
            <w:r w:rsidRPr="00F06708">
              <w:rPr>
                <w:rFonts w:ascii="Arial" w:hAnsi="Arial" w:cs="Arial"/>
                <w:b/>
                <w:color w:val="000000"/>
                <w:sz w:val="16"/>
                <w:szCs w:val="16"/>
              </w:rPr>
              <w:t xml:space="preserve">Wartość księgowa netto  środków trwałych </w:t>
            </w:r>
          </w:p>
        </w:tc>
        <w:tc>
          <w:tcPr>
            <w:tcW w:w="819" w:type="dxa"/>
            <w:tcBorders>
              <w:top w:val="nil"/>
              <w:left w:val="nil"/>
              <w:bottom w:val="single" w:sz="4" w:space="0" w:color="auto"/>
              <w:right w:val="nil"/>
            </w:tcBorders>
            <w:shd w:val="clear" w:color="auto" w:fill="auto"/>
            <w:noWrap/>
            <w:vAlign w:val="center"/>
            <w:hideMark/>
          </w:tcPr>
          <w:p w:rsidR="00600719" w:rsidRPr="00F06708" w:rsidRDefault="00600719" w:rsidP="006D578F">
            <w:pPr>
              <w:jc w:val="right"/>
              <w:rPr>
                <w:rFonts w:ascii="Arial" w:hAnsi="Arial" w:cs="Arial"/>
                <w:b/>
                <w:color w:val="000000"/>
                <w:sz w:val="16"/>
                <w:szCs w:val="16"/>
              </w:rPr>
            </w:pPr>
            <w:r w:rsidRPr="00F06708">
              <w:rPr>
                <w:rFonts w:ascii="Arial" w:hAnsi="Arial" w:cs="Arial"/>
                <w:b/>
                <w:color w:val="000000"/>
                <w:sz w:val="16"/>
                <w:szCs w:val="16"/>
              </w:rPr>
              <w:t>7 083</w:t>
            </w:r>
          </w:p>
        </w:tc>
        <w:tc>
          <w:tcPr>
            <w:tcW w:w="1024" w:type="dxa"/>
            <w:tcBorders>
              <w:top w:val="nil"/>
              <w:left w:val="nil"/>
              <w:bottom w:val="single" w:sz="4" w:space="0" w:color="auto"/>
              <w:right w:val="nil"/>
            </w:tcBorders>
            <w:shd w:val="clear" w:color="auto" w:fill="auto"/>
            <w:noWrap/>
            <w:vAlign w:val="center"/>
            <w:hideMark/>
          </w:tcPr>
          <w:p w:rsidR="00600719" w:rsidRPr="00F06708" w:rsidRDefault="00600719" w:rsidP="006D578F">
            <w:pPr>
              <w:jc w:val="right"/>
              <w:rPr>
                <w:rFonts w:ascii="Arial" w:hAnsi="Arial" w:cs="Arial"/>
                <w:b/>
                <w:color w:val="000000"/>
                <w:sz w:val="16"/>
                <w:szCs w:val="16"/>
              </w:rPr>
            </w:pPr>
            <w:r w:rsidRPr="00F06708">
              <w:rPr>
                <w:rFonts w:ascii="Arial" w:hAnsi="Arial" w:cs="Arial"/>
                <w:b/>
                <w:color w:val="000000"/>
                <w:sz w:val="16"/>
                <w:szCs w:val="16"/>
              </w:rPr>
              <w:t>86 495</w:t>
            </w:r>
          </w:p>
        </w:tc>
        <w:tc>
          <w:tcPr>
            <w:tcW w:w="992" w:type="dxa"/>
            <w:tcBorders>
              <w:top w:val="nil"/>
              <w:left w:val="nil"/>
              <w:bottom w:val="single" w:sz="4" w:space="0" w:color="auto"/>
              <w:right w:val="nil"/>
            </w:tcBorders>
            <w:shd w:val="clear" w:color="auto" w:fill="auto"/>
            <w:noWrap/>
            <w:vAlign w:val="center"/>
            <w:hideMark/>
          </w:tcPr>
          <w:p w:rsidR="00600719" w:rsidRPr="00F06708" w:rsidRDefault="00600719" w:rsidP="006D578F">
            <w:pPr>
              <w:jc w:val="right"/>
              <w:rPr>
                <w:rFonts w:ascii="Arial" w:hAnsi="Arial" w:cs="Arial"/>
                <w:b/>
                <w:color w:val="000000"/>
                <w:sz w:val="16"/>
                <w:szCs w:val="16"/>
              </w:rPr>
            </w:pPr>
            <w:r w:rsidRPr="00F06708">
              <w:rPr>
                <w:rFonts w:ascii="Arial" w:hAnsi="Arial" w:cs="Arial"/>
                <w:b/>
                <w:color w:val="000000"/>
                <w:sz w:val="16"/>
                <w:szCs w:val="16"/>
              </w:rPr>
              <w:t>1 717</w:t>
            </w:r>
          </w:p>
        </w:tc>
        <w:tc>
          <w:tcPr>
            <w:tcW w:w="1095" w:type="dxa"/>
            <w:tcBorders>
              <w:top w:val="nil"/>
              <w:left w:val="nil"/>
              <w:bottom w:val="single" w:sz="4" w:space="0" w:color="auto"/>
              <w:right w:val="nil"/>
            </w:tcBorders>
            <w:shd w:val="clear" w:color="auto" w:fill="auto"/>
            <w:noWrap/>
            <w:vAlign w:val="center"/>
            <w:hideMark/>
          </w:tcPr>
          <w:p w:rsidR="00600719" w:rsidRPr="00F06708" w:rsidRDefault="00600719" w:rsidP="006D578F">
            <w:pPr>
              <w:jc w:val="right"/>
              <w:rPr>
                <w:rFonts w:ascii="Arial" w:hAnsi="Arial" w:cs="Arial"/>
                <w:b/>
                <w:color w:val="000000"/>
                <w:sz w:val="16"/>
                <w:szCs w:val="16"/>
              </w:rPr>
            </w:pPr>
            <w:r w:rsidRPr="00F06708">
              <w:rPr>
                <w:rFonts w:ascii="Arial" w:hAnsi="Arial" w:cs="Arial"/>
                <w:b/>
                <w:color w:val="000000"/>
                <w:sz w:val="16"/>
                <w:szCs w:val="16"/>
              </w:rPr>
              <w:t>238</w:t>
            </w:r>
          </w:p>
        </w:tc>
        <w:tc>
          <w:tcPr>
            <w:tcW w:w="960" w:type="dxa"/>
            <w:tcBorders>
              <w:top w:val="nil"/>
              <w:left w:val="nil"/>
              <w:bottom w:val="single" w:sz="4" w:space="0" w:color="auto"/>
              <w:right w:val="nil"/>
            </w:tcBorders>
            <w:shd w:val="clear" w:color="auto" w:fill="auto"/>
            <w:noWrap/>
            <w:vAlign w:val="center"/>
            <w:hideMark/>
          </w:tcPr>
          <w:p w:rsidR="00600719" w:rsidRPr="00F06708" w:rsidRDefault="00600719" w:rsidP="006D578F">
            <w:pPr>
              <w:jc w:val="right"/>
              <w:rPr>
                <w:rFonts w:ascii="Arial" w:hAnsi="Arial" w:cs="Arial"/>
                <w:b/>
                <w:color w:val="000000"/>
                <w:sz w:val="16"/>
                <w:szCs w:val="16"/>
              </w:rPr>
            </w:pPr>
            <w:r w:rsidRPr="00F06708">
              <w:rPr>
                <w:rFonts w:ascii="Arial" w:hAnsi="Arial" w:cs="Arial"/>
                <w:b/>
                <w:color w:val="000000"/>
                <w:sz w:val="16"/>
                <w:szCs w:val="16"/>
              </w:rPr>
              <w:t>696</w:t>
            </w:r>
          </w:p>
        </w:tc>
        <w:tc>
          <w:tcPr>
            <w:tcW w:w="960" w:type="dxa"/>
            <w:tcBorders>
              <w:top w:val="nil"/>
              <w:left w:val="nil"/>
              <w:bottom w:val="single" w:sz="4" w:space="0" w:color="auto"/>
              <w:right w:val="nil"/>
            </w:tcBorders>
            <w:shd w:val="clear" w:color="auto" w:fill="auto"/>
            <w:noWrap/>
            <w:vAlign w:val="center"/>
            <w:hideMark/>
          </w:tcPr>
          <w:p w:rsidR="00600719" w:rsidRPr="00F06708" w:rsidRDefault="00600719" w:rsidP="006D578F">
            <w:pPr>
              <w:jc w:val="right"/>
              <w:rPr>
                <w:rFonts w:ascii="Arial" w:hAnsi="Arial" w:cs="Arial"/>
                <w:b/>
                <w:color w:val="000000"/>
                <w:sz w:val="16"/>
                <w:szCs w:val="16"/>
              </w:rPr>
            </w:pPr>
            <w:r w:rsidRPr="00F06708">
              <w:rPr>
                <w:rFonts w:ascii="Arial" w:hAnsi="Arial" w:cs="Arial"/>
                <w:b/>
                <w:color w:val="000000"/>
                <w:sz w:val="16"/>
                <w:szCs w:val="16"/>
              </w:rPr>
              <w:t>43 254</w:t>
            </w:r>
          </w:p>
        </w:tc>
        <w:tc>
          <w:tcPr>
            <w:tcW w:w="813" w:type="dxa"/>
            <w:tcBorders>
              <w:top w:val="nil"/>
              <w:left w:val="nil"/>
              <w:bottom w:val="single" w:sz="4" w:space="0" w:color="auto"/>
              <w:right w:val="nil"/>
            </w:tcBorders>
            <w:shd w:val="clear" w:color="auto" w:fill="auto"/>
            <w:noWrap/>
            <w:vAlign w:val="center"/>
            <w:hideMark/>
          </w:tcPr>
          <w:p w:rsidR="00600719" w:rsidRPr="00F06708" w:rsidRDefault="00600719" w:rsidP="006D578F">
            <w:pPr>
              <w:jc w:val="right"/>
              <w:rPr>
                <w:rFonts w:ascii="Arial" w:hAnsi="Arial" w:cs="Arial"/>
                <w:b/>
                <w:color w:val="000000"/>
                <w:sz w:val="16"/>
                <w:szCs w:val="16"/>
              </w:rPr>
            </w:pPr>
            <w:r w:rsidRPr="00F06708">
              <w:rPr>
                <w:rFonts w:ascii="Arial" w:hAnsi="Arial" w:cs="Arial"/>
                <w:b/>
                <w:color w:val="000000"/>
                <w:sz w:val="16"/>
                <w:szCs w:val="16"/>
              </w:rPr>
              <w:t>139 484</w:t>
            </w:r>
          </w:p>
        </w:tc>
      </w:tr>
      <w:tr w:rsidR="00600719" w:rsidRPr="00F06708" w:rsidTr="006D578F">
        <w:trPr>
          <w:trHeight w:val="283"/>
        </w:trPr>
        <w:tc>
          <w:tcPr>
            <w:tcW w:w="2850" w:type="dxa"/>
            <w:tcBorders>
              <w:top w:val="single" w:sz="4" w:space="0" w:color="auto"/>
              <w:left w:val="nil"/>
              <w:bottom w:val="nil"/>
              <w:right w:val="nil"/>
            </w:tcBorders>
            <w:shd w:val="clear" w:color="auto" w:fill="auto"/>
            <w:noWrap/>
            <w:vAlign w:val="center"/>
            <w:hideMark/>
          </w:tcPr>
          <w:p w:rsidR="00600719" w:rsidRPr="00F06708" w:rsidRDefault="00600719" w:rsidP="006D578F">
            <w:pPr>
              <w:rPr>
                <w:rFonts w:ascii="Arial" w:hAnsi="Arial" w:cs="Arial"/>
                <w:color w:val="000000"/>
                <w:sz w:val="16"/>
                <w:szCs w:val="16"/>
              </w:rPr>
            </w:pPr>
            <w:r w:rsidRPr="00F06708">
              <w:rPr>
                <w:rFonts w:ascii="Arial" w:hAnsi="Arial" w:cs="Arial"/>
                <w:color w:val="000000"/>
                <w:sz w:val="16"/>
                <w:szCs w:val="16"/>
              </w:rPr>
              <w:t xml:space="preserve">      w tym wartość księgowa netto środków trwałych w leasingu</w:t>
            </w:r>
          </w:p>
        </w:tc>
        <w:tc>
          <w:tcPr>
            <w:tcW w:w="819" w:type="dxa"/>
            <w:tcBorders>
              <w:top w:val="single" w:sz="4" w:space="0" w:color="auto"/>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6 764</w:t>
            </w:r>
          </w:p>
        </w:tc>
        <w:tc>
          <w:tcPr>
            <w:tcW w:w="1024" w:type="dxa"/>
            <w:tcBorders>
              <w:top w:val="single" w:sz="4" w:space="0" w:color="auto"/>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477</w:t>
            </w:r>
          </w:p>
        </w:tc>
        <w:tc>
          <w:tcPr>
            <w:tcW w:w="992" w:type="dxa"/>
            <w:tcBorders>
              <w:top w:val="single" w:sz="4" w:space="0" w:color="auto"/>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p>
        </w:tc>
        <w:tc>
          <w:tcPr>
            <w:tcW w:w="1095" w:type="dxa"/>
            <w:tcBorders>
              <w:top w:val="single" w:sz="4" w:space="0" w:color="auto"/>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p>
        </w:tc>
        <w:tc>
          <w:tcPr>
            <w:tcW w:w="960" w:type="dxa"/>
            <w:tcBorders>
              <w:top w:val="single" w:sz="4" w:space="0" w:color="auto"/>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p>
        </w:tc>
        <w:tc>
          <w:tcPr>
            <w:tcW w:w="960" w:type="dxa"/>
            <w:tcBorders>
              <w:top w:val="single" w:sz="4" w:space="0" w:color="auto"/>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p>
        </w:tc>
        <w:tc>
          <w:tcPr>
            <w:tcW w:w="813" w:type="dxa"/>
            <w:tcBorders>
              <w:top w:val="single" w:sz="4" w:space="0" w:color="auto"/>
              <w:left w:val="nil"/>
              <w:bottom w:val="nil"/>
              <w:right w:val="nil"/>
            </w:tcBorders>
            <w:shd w:val="clear" w:color="auto" w:fill="auto"/>
            <w:noWrap/>
            <w:vAlign w:val="center"/>
            <w:hideMark/>
          </w:tcPr>
          <w:p w:rsidR="00600719" w:rsidRPr="00F06708" w:rsidRDefault="00600719" w:rsidP="006D578F">
            <w:pPr>
              <w:jc w:val="right"/>
              <w:rPr>
                <w:rFonts w:ascii="Arial" w:hAnsi="Arial" w:cs="Arial"/>
                <w:color w:val="000000"/>
                <w:sz w:val="16"/>
                <w:szCs w:val="16"/>
              </w:rPr>
            </w:pPr>
            <w:r w:rsidRPr="00F06708">
              <w:rPr>
                <w:rFonts w:ascii="Arial" w:hAnsi="Arial" w:cs="Arial"/>
                <w:color w:val="000000"/>
                <w:sz w:val="16"/>
                <w:szCs w:val="16"/>
              </w:rPr>
              <w:t>7 241</w:t>
            </w:r>
          </w:p>
        </w:tc>
      </w:tr>
    </w:tbl>
    <w:p w:rsidR="00600719" w:rsidRPr="000C16CB" w:rsidRDefault="00600719" w:rsidP="00600719">
      <w:pPr>
        <w:tabs>
          <w:tab w:val="left" w:pos="540"/>
        </w:tabs>
        <w:spacing w:line="260" w:lineRule="exact"/>
        <w:jc w:val="both"/>
        <w:rPr>
          <w:rFonts w:ascii="Arial" w:hAnsi="Arial" w:cs="Arial"/>
          <w:b/>
          <w:bCs/>
          <w:sz w:val="18"/>
          <w:szCs w:val="18"/>
        </w:rPr>
      </w:pPr>
    </w:p>
    <w:p w:rsidR="00600719" w:rsidRPr="00E7638B" w:rsidRDefault="00600719" w:rsidP="00600719">
      <w:pPr>
        <w:tabs>
          <w:tab w:val="left" w:pos="540"/>
        </w:tabs>
        <w:spacing w:line="260" w:lineRule="exact"/>
        <w:jc w:val="both"/>
        <w:rPr>
          <w:rFonts w:ascii="Arial" w:hAnsi="Arial" w:cs="Arial"/>
          <w:b/>
          <w:bCs/>
          <w:sz w:val="18"/>
          <w:szCs w:val="18"/>
        </w:rPr>
      </w:pPr>
    </w:p>
    <w:p w:rsidR="00600719" w:rsidRDefault="00600719" w:rsidP="00600719">
      <w:pPr>
        <w:rPr>
          <w:rFonts w:ascii="Arial" w:hAnsi="Arial" w:cs="Arial"/>
          <w:b/>
          <w:bCs/>
          <w:sz w:val="18"/>
          <w:szCs w:val="18"/>
        </w:rPr>
      </w:pPr>
      <w:r>
        <w:rPr>
          <w:rFonts w:ascii="Arial" w:hAnsi="Arial" w:cs="Arial"/>
          <w:b/>
          <w:bCs/>
          <w:sz w:val="18"/>
          <w:szCs w:val="18"/>
        </w:rPr>
        <w:br w:type="page"/>
      </w:r>
    </w:p>
    <w:p w:rsidR="00600719" w:rsidRPr="00E7638B" w:rsidRDefault="00600719" w:rsidP="00600719">
      <w:pPr>
        <w:tabs>
          <w:tab w:val="left" w:pos="540"/>
        </w:tabs>
        <w:spacing w:line="260" w:lineRule="exact"/>
        <w:jc w:val="both"/>
        <w:rPr>
          <w:rFonts w:ascii="Arial" w:hAnsi="Arial" w:cs="Arial"/>
          <w:b/>
          <w:bCs/>
          <w:sz w:val="18"/>
          <w:szCs w:val="18"/>
        </w:rPr>
      </w:pPr>
      <w:r w:rsidRPr="00E7638B">
        <w:rPr>
          <w:rFonts w:ascii="Arial" w:hAnsi="Arial" w:cs="Arial"/>
          <w:b/>
          <w:bCs/>
          <w:sz w:val="18"/>
          <w:szCs w:val="18"/>
        </w:rPr>
        <w:lastRenderedPageBreak/>
        <w:t>XV. Poczynione zobowiązania na rzecz dokonania zakupu rzeczowych aktywów trwałych.</w:t>
      </w:r>
    </w:p>
    <w:p w:rsidR="00600719" w:rsidRPr="00E7638B" w:rsidRDefault="00600719" w:rsidP="00600719">
      <w:pPr>
        <w:jc w:val="both"/>
        <w:rPr>
          <w:rFonts w:ascii="Arial" w:hAnsi="Arial" w:cs="Arial"/>
          <w:bCs/>
          <w:sz w:val="18"/>
          <w:szCs w:val="18"/>
        </w:rPr>
      </w:pPr>
    </w:p>
    <w:p w:rsidR="00600719" w:rsidRPr="00E9583B" w:rsidRDefault="00600719" w:rsidP="00600719">
      <w:pPr>
        <w:spacing w:line="260" w:lineRule="exact"/>
        <w:jc w:val="both"/>
        <w:rPr>
          <w:rFonts w:ascii="Arial" w:hAnsi="Arial" w:cs="Arial"/>
          <w:sz w:val="18"/>
          <w:szCs w:val="18"/>
        </w:rPr>
      </w:pPr>
      <w:r w:rsidRPr="00E9583B">
        <w:rPr>
          <w:rFonts w:ascii="Arial" w:hAnsi="Arial" w:cs="Arial"/>
          <w:sz w:val="18"/>
          <w:szCs w:val="18"/>
        </w:rPr>
        <w:t xml:space="preserve">Dnia 17.07.2019 r. podpisana została umowa na roboty budowlane związane z rozbudową, przebudową </w:t>
      </w:r>
      <w:r w:rsidRPr="00E9583B">
        <w:rPr>
          <w:rFonts w:ascii="Arial" w:hAnsi="Arial" w:cs="Arial"/>
          <w:sz w:val="18"/>
          <w:szCs w:val="18"/>
        </w:rPr>
        <w:br/>
        <w:t xml:space="preserve">i nadbudową zespołu sanatoryjno-uzdrowiskowego „Interferie Argentyt” z firmą ADAMIETZ Sp. z o. o. z siedzibą w Strzelcach Opolskich, ul. Braci </w:t>
      </w:r>
      <w:proofErr w:type="spellStart"/>
      <w:r w:rsidRPr="00E9583B">
        <w:rPr>
          <w:rFonts w:ascii="Arial" w:hAnsi="Arial" w:cs="Arial"/>
          <w:sz w:val="18"/>
          <w:szCs w:val="18"/>
        </w:rPr>
        <w:t>Prankel</w:t>
      </w:r>
      <w:proofErr w:type="spellEnd"/>
      <w:r w:rsidRPr="00E9583B">
        <w:rPr>
          <w:rFonts w:ascii="Arial" w:hAnsi="Arial" w:cs="Arial"/>
          <w:sz w:val="18"/>
          <w:szCs w:val="18"/>
        </w:rPr>
        <w:t xml:space="preserve"> 1, 47-100 Strzelce Opolskie („Generalny Wykonawca”).</w:t>
      </w:r>
    </w:p>
    <w:p w:rsidR="00600719" w:rsidRPr="00E9583B" w:rsidRDefault="00600719" w:rsidP="00600719">
      <w:pPr>
        <w:spacing w:line="260" w:lineRule="exact"/>
        <w:jc w:val="both"/>
        <w:rPr>
          <w:rFonts w:ascii="Arial" w:hAnsi="Arial" w:cs="Arial"/>
          <w:sz w:val="18"/>
          <w:szCs w:val="18"/>
        </w:rPr>
      </w:pPr>
      <w:r w:rsidRPr="00E9583B">
        <w:rPr>
          <w:rFonts w:ascii="Arial" w:hAnsi="Arial" w:cs="Arial"/>
          <w:sz w:val="18"/>
          <w:szCs w:val="18"/>
        </w:rPr>
        <w:t>Za kompleksową realizację przedmiotu kontraktu określono wynagrodzenie ryczałtowe w kwocie netto 45.400 tys. zł. netto + podatek VAT.</w:t>
      </w:r>
    </w:p>
    <w:p w:rsidR="00600719" w:rsidRPr="00E9583B" w:rsidRDefault="00600719" w:rsidP="00600719">
      <w:pPr>
        <w:spacing w:line="260" w:lineRule="exact"/>
        <w:jc w:val="both"/>
        <w:rPr>
          <w:rFonts w:ascii="Arial" w:hAnsi="Arial" w:cs="Arial"/>
          <w:sz w:val="18"/>
          <w:szCs w:val="18"/>
        </w:rPr>
      </w:pPr>
      <w:r w:rsidRPr="00E9583B">
        <w:rPr>
          <w:rFonts w:ascii="Arial" w:hAnsi="Arial" w:cs="Arial"/>
          <w:sz w:val="18"/>
          <w:szCs w:val="18"/>
        </w:rPr>
        <w:t>Aneksem nr 1 do umowy zmieniono wynagrodzenie Generalnego Wykonawcy na kwotę 44 216 tys. zł. netto +podatek VAT.</w:t>
      </w:r>
    </w:p>
    <w:p w:rsidR="00600719" w:rsidRPr="00E9583B" w:rsidRDefault="00600719" w:rsidP="00600719">
      <w:pPr>
        <w:spacing w:line="260" w:lineRule="exact"/>
        <w:jc w:val="both"/>
        <w:rPr>
          <w:rFonts w:ascii="Arial" w:hAnsi="Arial" w:cs="Arial"/>
          <w:sz w:val="18"/>
          <w:szCs w:val="18"/>
        </w:rPr>
      </w:pPr>
      <w:r w:rsidRPr="00E9583B">
        <w:rPr>
          <w:rFonts w:ascii="Arial" w:hAnsi="Arial" w:cs="Arial"/>
          <w:sz w:val="18"/>
          <w:szCs w:val="18"/>
        </w:rPr>
        <w:t>Aneksem nr 2 zostało zmienione wynagrodzenie Generalnego Wykonawcy na kwotę 47 042 tys. zł + podatek VAT</w:t>
      </w:r>
    </w:p>
    <w:p w:rsidR="00600719" w:rsidRPr="00E9583B" w:rsidRDefault="00600719" w:rsidP="00600719">
      <w:pPr>
        <w:spacing w:line="260" w:lineRule="exact"/>
        <w:jc w:val="both"/>
        <w:rPr>
          <w:rFonts w:ascii="Arial" w:hAnsi="Arial" w:cs="Arial"/>
          <w:sz w:val="18"/>
          <w:szCs w:val="18"/>
        </w:rPr>
      </w:pPr>
      <w:r w:rsidRPr="00E9583B">
        <w:rPr>
          <w:rFonts w:ascii="Arial" w:hAnsi="Arial" w:cs="Arial"/>
          <w:sz w:val="18"/>
          <w:szCs w:val="18"/>
        </w:rPr>
        <w:t>Aneksem nr 3 zostało zmienione wynagrodzenie Generalnego Wykonawcy na kwotę 47 335 tys. zł +podatek VAT</w:t>
      </w:r>
    </w:p>
    <w:p w:rsidR="00600719" w:rsidRPr="00E9583B" w:rsidRDefault="00600719" w:rsidP="00600719">
      <w:pPr>
        <w:spacing w:line="260" w:lineRule="exact"/>
        <w:jc w:val="both"/>
        <w:rPr>
          <w:rFonts w:ascii="Arial" w:hAnsi="Arial" w:cs="Arial"/>
          <w:sz w:val="18"/>
          <w:szCs w:val="18"/>
        </w:rPr>
      </w:pPr>
    </w:p>
    <w:p w:rsidR="00600719" w:rsidRPr="00E9583B" w:rsidRDefault="00600719" w:rsidP="00600719">
      <w:pPr>
        <w:spacing w:line="260" w:lineRule="exact"/>
        <w:jc w:val="both"/>
        <w:rPr>
          <w:rFonts w:ascii="Arial" w:hAnsi="Arial" w:cs="Arial"/>
          <w:sz w:val="18"/>
          <w:szCs w:val="18"/>
        </w:rPr>
      </w:pPr>
      <w:r w:rsidRPr="00E9583B">
        <w:rPr>
          <w:rFonts w:ascii="Arial" w:hAnsi="Arial" w:cs="Arial"/>
          <w:sz w:val="18"/>
          <w:szCs w:val="18"/>
        </w:rPr>
        <w:t xml:space="preserve">Inwestycja </w:t>
      </w:r>
      <w:r w:rsidR="00B75383" w:rsidRPr="00E9583B">
        <w:rPr>
          <w:rFonts w:ascii="Arial" w:hAnsi="Arial" w:cs="Arial"/>
          <w:sz w:val="18"/>
          <w:szCs w:val="18"/>
        </w:rPr>
        <w:t>była</w:t>
      </w:r>
      <w:r w:rsidRPr="00E9583B">
        <w:rPr>
          <w:rFonts w:ascii="Arial" w:hAnsi="Arial" w:cs="Arial"/>
          <w:sz w:val="18"/>
          <w:szCs w:val="18"/>
        </w:rPr>
        <w:t xml:space="preserve"> realizowana zgodnie z dokumentacją projektową opracowaną przez R2 Lesław Rubik z siedzibą we Wrocławiu przy ul. Marszałka Piłsudskiego 23, 50-044 Wrocław.</w:t>
      </w:r>
    </w:p>
    <w:p w:rsidR="00600719" w:rsidRPr="00E9583B" w:rsidRDefault="00600719" w:rsidP="00600719">
      <w:pPr>
        <w:spacing w:line="260" w:lineRule="exact"/>
        <w:jc w:val="both"/>
        <w:rPr>
          <w:rFonts w:ascii="Arial" w:hAnsi="Arial" w:cs="Arial"/>
          <w:sz w:val="18"/>
          <w:szCs w:val="18"/>
        </w:rPr>
      </w:pPr>
      <w:r w:rsidRPr="00E9583B">
        <w:rPr>
          <w:rFonts w:ascii="Arial" w:hAnsi="Arial" w:cs="Arial"/>
          <w:sz w:val="18"/>
          <w:szCs w:val="18"/>
        </w:rPr>
        <w:t xml:space="preserve">Łączne wynagrodzenie Projektanta wynosi 2 293 tys. </w:t>
      </w:r>
      <w:proofErr w:type="spellStart"/>
      <w:r w:rsidRPr="00E9583B">
        <w:rPr>
          <w:rFonts w:ascii="Arial" w:hAnsi="Arial" w:cs="Arial"/>
          <w:sz w:val="18"/>
          <w:szCs w:val="18"/>
        </w:rPr>
        <w:t>zl</w:t>
      </w:r>
      <w:proofErr w:type="spellEnd"/>
      <w:r w:rsidRPr="00E9583B">
        <w:rPr>
          <w:rFonts w:ascii="Arial" w:hAnsi="Arial" w:cs="Arial"/>
          <w:sz w:val="18"/>
          <w:szCs w:val="18"/>
        </w:rPr>
        <w:t>.</w:t>
      </w:r>
    </w:p>
    <w:p w:rsidR="00600719" w:rsidRPr="00E9583B" w:rsidRDefault="00600719" w:rsidP="00600719">
      <w:pPr>
        <w:spacing w:line="260" w:lineRule="exact"/>
        <w:jc w:val="both"/>
        <w:rPr>
          <w:rFonts w:ascii="Arial" w:hAnsi="Arial" w:cs="Arial"/>
          <w:sz w:val="18"/>
          <w:szCs w:val="18"/>
        </w:rPr>
      </w:pPr>
    </w:p>
    <w:p w:rsidR="00600719" w:rsidRPr="00E9583B" w:rsidRDefault="00600719" w:rsidP="00600719">
      <w:pPr>
        <w:spacing w:line="260" w:lineRule="exact"/>
        <w:jc w:val="both"/>
        <w:rPr>
          <w:rFonts w:ascii="Arial" w:hAnsi="Arial" w:cs="Arial"/>
          <w:sz w:val="18"/>
          <w:szCs w:val="18"/>
        </w:rPr>
      </w:pPr>
      <w:r w:rsidRPr="00E9583B">
        <w:rPr>
          <w:rFonts w:ascii="Arial" w:hAnsi="Arial" w:cs="Arial"/>
          <w:sz w:val="18"/>
          <w:szCs w:val="18"/>
        </w:rPr>
        <w:t xml:space="preserve">Dnia 30 września 2020 r zawarty został aneks nr 3 do umowy z MIASTOPROJEKT WROCŁAW Sp. z o.o. </w:t>
      </w:r>
      <w:r w:rsidRPr="00E9583B">
        <w:rPr>
          <w:rFonts w:ascii="Arial" w:hAnsi="Arial" w:cs="Arial"/>
          <w:sz w:val="18"/>
          <w:szCs w:val="18"/>
        </w:rPr>
        <w:br/>
        <w:t>z siedzibą we Wrocławiu przy ul. Snopkowej 2B, 52-225 Wrocław. Przedmiotem umowy jest pełnienie przez Wykonawcę funkcji inwestora zastępczego. Zgodnie z brzmieniem aneksu nr 3 łączne wynagrodzenie ryczałtowe netto za wykonanie całego przedmiotu umowy określono na kwotę 875 tys. złotych.</w:t>
      </w:r>
    </w:p>
    <w:p w:rsidR="00600719" w:rsidRPr="00E9583B" w:rsidRDefault="00600719" w:rsidP="00600719">
      <w:pPr>
        <w:spacing w:line="260" w:lineRule="exact"/>
        <w:jc w:val="both"/>
        <w:rPr>
          <w:rFonts w:ascii="Arial" w:hAnsi="Arial" w:cs="Arial"/>
          <w:sz w:val="18"/>
          <w:szCs w:val="18"/>
        </w:rPr>
      </w:pPr>
    </w:p>
    <w:p w:rsidR="00600719" w:rsidRPr="00E9583B" w:rsidRDefault="00600719" w:rsidP="00600719">
      <w:pPr>
        <w:spacing w:line="260" w:lineRule="exact"/>
        <w:jc w:val="both"/>
        <w:rPr>
          <w:rFonts w:ascii="Arial" w:hAnsi="Arial" w:cs="Arial"/>
          <w:sz w:val="18"/>
          <w:szCs w:val="18"/>
        </w:rPr>
      </w:pPr>
      <w:r w:rsidRPr="00E9583B">
        <w:rPr>
          <w:rFonts w:ascii="Arial" w:hAnsi="Arial" w:cs="Arial"/>
          <w:sz w:val="18"/>
          <w:szCs w:val="18"/>
        </w:rPr>
        <w:t xml:space="preserve">Spółka zawarła umowy na modernizację wszystkich pokoi za łączną cenę 1 770 tys. zł. netto +podatek VAT. Zakończono budowę przyległego parkingu  za cenę 1 146 tys. zł. netto +podatek VAT. </w:t>
      </w:r>
    </w:p>
    <w:p w:rsidR="00600719" w:rsidRPr="00E9583B" w:rsidRDefault="00600719" w:rsidP="00600719">
      <w:pPr>
        <w:spacing w:line="260" w:lineRule="exact"/>
        <w:jc w:val="both"/>
        <w:rPr>
          <w:rFonts w:ascii="Arial" w:hAnsi="Arial" w:cs="Arial"/>
          <w:sz w:val="18"/>
          <w:szCs w:val="18"/>
        </w:rPr>
      </w:pPr>
    </w:p>
    <w:p w:rsidR="00600719" w:rsidRPr="00E9583B" w:rsidRDefault="00600719" w:rsidP="00600719">
      <w:pPr>
        <w:spacing w:line="260" w:lineRule="exact"/>
        <w:jc w:val="both"/>
        <w:rPr>
          <w:rFonts w:ascii="Arial" w:hAnsi="Arial" w:cs="Arial"/>
          <w:sz w:val="18"/>
          <w:szCs w:val="18"/>
        </w:rPr>
      </w:pPr>
      <w:r w:rsidRPr="00E9583B">
        <w:rPr>
          <w:rFonts w:ascii="Arial" w:hAnsi="Arial" w:cs="Arial"/>
          <w:sz w:val="18"/>
          <w:szCs w:val="18"/>
        </w:rPr>
        <w:t>Dodatkowo Spółka zawarła umowy na dostawy wyposażenia technologii kuchni, pokoi i stref ogólnych, urządzeń do bazy zabiegowej oraz inne  usługi i dostawy związane z  rozbudową SU Argentyt w Dąbkach na łączną kwotę 3 000 tys. zł + podatek VAT.</w:t>
      </w:r>
    </w:p>
    <w:p w:rsidR="00600719" w:rsidRPr="00E9583B" w:rsidRDefault="00600719" w:rsidP="00600719">
      <w:pPr>
        <w:spacing w:line="260" w:lineRule="exact"/>
        <w:jc w:val="both"/>
        <w:rPr>
          <w:rFonts w:ascii="Arial" w:hAnsi="Arial" w:cs="Arial"/>
          <w:sz w:val="18"/>
          <w:szCs w:val="18"/>
        </w:rPr>
      </w:pPr>
    </w:p>
    <w:p w:rsidR="00600719" w:rsidRPr="00E9583B" w:rsidRDefault="00600719" w:rsidP="00600719">
      <w:pPr>
        <w:spacing w:line="260" w:lineRule="exact"/>
        <w:jc w:val="both"/>
        <w:rPr>
          <w:rFonts w:ascii="Arial" w:hAnsi="Arial" w:cs="Arial"/>
          <w:sz w:val="18"/>
          <w:szCs w:val="18"/>
        </w:rPr>
      </w:pPr>
      <w:r w:rsidRPr="00E9583B">
        <w:rPr>
          <w:rFonts w:ascii="Arial" w:hAnsi="Arial" w:cs="Arial"/>
          <w:sz w:val="18"/>
          <w:szCs w:val="18"/>
        </w:rPr>
        <w:t>Budżet inwestycji wynosi</w:t>
      </w:r>
      <w:r w:rsidR="00C37BC4" w:rsidRPr="00E9583B">
        <w:rPr>
          <w:rFonts w:ascii="Arial" w:hAnsi="Arial" w:cs="Arial"/>
          <w:sz w:val="18"/>
          <w:szCs w:val="18"/>
        </w:rPr>
        <w:t>ł</w:t>
      </w:r>
      <w:r w:rsidRPr="00E9583B">
        <w:rPr>
          <w:rFonts w:ascii="Arial" w:hAnsi="Arial" w:cs="Arial"/>
          <w:sz w:val="18"/>
          <w:szCs w:val="18"/>
        </w:rPr>
        <w:t xml:space="preserve"> 59 649 tys. zł.</w:t>
      </w:r>
    </w:p>
    <w:p w:rsidR="00600719" w:rsidRPr="00E9583B" w:rsidRDefault="00600719" w:rsidP="00600719">
      <w:pPr>
        <w:spacing w:line="260" w:lineRule="exact"/>
        <w:jc w:val="both"/>
        <w:rPr>
          <w:rFonts w:ascii="Arial" w:hAnsi="Arial" w:cs="Arial"/>
          <w:sz w:val="18"/>
          <w:szCs w:val="18"/>
        </w:rPr>
      </w:pPr>
    </w:p>
    <w:p w:rsidR="00600719" w:rsidRPr="00E9583B" w:rsidRDefault="00600719" w:rsidP="00600719">
      <w:pPr>
        <w:spacing w:line="260" w:lineRule="exact"/>
        <w:jc w:val="both"/>
        <w:rPr>
          <w:rFonts w:ascii="Arial" w:hAnsi="Arial" w:cs="Arial"/>
          <w:sz w:val="18"/>
          <w:szCs w:val="18"/>
        </w:rPr>
      </w:pPr>
      <w:r w:rsidRPr="00E9583B">
        <w:rPr>
          <w:rFonts w:ascii="Arial" w:hAnsi="Arial" w:cs="Arial"/>
          <w:sz w:val="18"/>
          <w:szCs w:val="18"/>
        </w:rPr>
        <w:t xml:space="preserve">Generalny Wykonawca nie dotrzymał umownego terminu zakończenia i rozliczenia inwestycji (31.01.2021 r.). </w:t>
      </w:r>
    </w:p>
    <w:p w:rsidR="00600719" w:rsidRDefault="00600719" w:rsidP="00600719">
      <w:pPr>
        <w:tabs>
          <w:tab w:val="left" w:pos="540"/>
        </w:tabs>
        <w:spacing w:line="260" w:lineRule="exact"/>
        <w:jc w:val="both"/>
        <w:rPr>
          <w:rFonts w:ascii="Arial" w:hAnsi="Arial" w:cs="Arial"/>
          <w:bCs/>
          <w:sz w:val="18"/>
          <w:szCs w:val="18"/>
        </w:rPr>
      </w:pPr>
      <w:r w:rsidRPr="00E9583B">
        <w:rPr>
          <w:rFonts w:ascii="Arial" w:hAnsi="Arial" w:cs="Arial"/>
          <w:sz w:val="18"/>
          <w:szCs w:val="18"/>
        </w:rPr>
        <w:t>W dniu 15.07.2021 r. został dokonany odbiór końcowy robót realizowanych przez Generalnego Wykonawcę - ADAMIETZ sp. z o.o.</w:t>
      </w:r>
      <w:r>
        <w:rPr>
          <w:rFonts w:ascii="Arial" w:hAnsi="Arial" w:cs="Arial"/>
          <w:sz w:val="18"/>
          <w:szCs w:val="18"/>
        </w:rPr>
        <w:t xml:space="preserve"> </w:t>
      </w:r>
    </w:p>
    <w:p w:rsidR="00600719" w:rsidRPr="00F31D8E" w:rsidRDefault="00600719" w:rsidP="00600719">
      <w:pPr>
        <w:jc w:val="both"/>
        <w:rPr>
          <w:rFonts w:ascii="Arial" w:hAnsi="Arial" w:cs="Arial"/>
          <w:bCs/>
          <w:sz w:val="18"/>
          <w:szCs w:val="18"/>
        </w:rPr>
      </w:pPr>
    </w:p>
    <w:p w:rsidR="00600719" w:rsidRDefault="00600719" w:rsidP="00600719">
      <w:pPr>
        <w:rPr>
          <w:rFonts w:ascii="Arial" w:hAnsi="Arial" w:cs="Arial"/>
          <w:b/>
          <w:bCs/>
          <w:sz w:val="18"/>
          <w:szCs w:val="18"/>
        </w:rPr>
      </w:pPr>
    </w:p>
    <w:p w:rsidR="00600719" w:rsidRPr="00F31D8E" w:rsidRDefault="00600719" w:rsidP="00600719">
      <w:pPr>
        <w:tabs>
          <w:tab w:val="left" w:pos="540"/>
        </w:tabs>
        <w:spacing w:line="260" w:lineRule="exact"/>
        <w:jc w:val="both"/>
        <w:rPr>
          <w:rFonts w:ascii="Arial" w:hAnsi="Arial" w:cs="Arial"/>
          <w:b/>
          <w:bCs/>
          <w:sz w:val="18"/>
          <w:szCs w:val="18"/>
        </w:rPr>
      </w:pPr>
      <w:r w:rsidRPr="00F31D8E">
        <w:rPr>
          <w:rFonts w:ascii="Arial" w:hAnsi="Arial" w:cs="Arial"/>
          <w:b/>
          <w:bCs/>
          <w:sz w:val="18"/>
          <w:szCs w:val="18"/>
        </w:rPr>
        <w:t>XV</w:t>
      </w:r>
      <w:r>
        <w:rPr>
          <w:rFonts w:ascii="Arial" w:hAnsi="Arial" w:cs="Arial"/>
          <w:b/>
          <w:bCs/>
          <w:sz w:val="18"/>
          <w:szCs w:val="18"/>
        </w:rPr>
        <w:t>I</w:t>
      </w:r>
      <w:r w:rsidRPr="00F31D8E">
        <w:rPr>
          <w:rFonts w:ascii="Arial" w:hAnsi="Arial" w:cs="Arial"/>
          <w:b/>
          <w:bCs/>
          <w:sz w:val="18"/>
          <w:szCs w:val="18"/>
        </w:rPr>
        <w:t xml:space="preserve">. Wskazanie postępowań toczących się przed sądem, organem właściwym dla postępowania arbitrażowego lub organem administracji publicznej. </w:t>
      </w:r>
    </w:p>
    <w:p w:rsidR="00600719" w:rsidRPr="00F31D8E" w:rsidRDefault="00600719" w:rsidP="00600719">
      <w:pPr>
        <w:tabs>
          <w:tab w:val="left" w:pos="540"/>
        </w:tabs>
        <w:spacing w:line="260" w:lineRule="exact"/>
        <w:jc w:val="both"/>
        <w:rPr>
          <w:rFonts w:ascii="Arial" w:hAnsi="Arial" w:cs="Arial"/>
          <w:b/>
          <w:bCs/>
          <w:sz w:val="18"/>
          <w:szCs w:val="18"/>
        </w:rPr>
      </w:pPr>
    </w:p>
    <w:p w:rsidR="00600719" w:rsidRPr="007040BC" w:rsidRDefault="00600719" w:rsidP="00600719">
      <w:pPr>
        <w:tabs>
          <w:tab w:val="left" w:pos="540"/>
        </w:tabs>
        <w:spacing w:line="260" w:lineRule="exact"/>
        <w:jc w:val="both"/>
        <w:rPr>
          <w:rFonts w:ascii="Arial" w:hAnsi="Arial" w:cs="Arial"/>
          <w:bCs/>
          <w:sz w:val="18"/>
          <w:szCs w:val="18"/>
        </w:rPr>
      </w:pPr>
      <w:r>
        <w:rPr>
          <w:rFonts w:ascii="Arial" w:hAnsi="Arial" w:cs="Arial"/>
          <w:bCs/>
          <w:sz w:val="18"/>
          <w:szCs w:val="18"/>
        </w:rPr>
        <w:t>Na dzień 30 września</w:t>
      </w:r>
      <w:r w:rsidRPr="007040BC">
        <w:rPr>
          <w:rFonts w:ascii="Arial" w:hAnsi="Arial" w:cs="Arial"/>
          <w:bCs/>
          <w:sz w:val="18"/>
          <w:szCs w:val="18"/>
        </w:rPr>
        <w:t xml:space="preserve"> </w:t>
      </w:r>
      <w:r>
        <w:rPr>
          <w:rFonts w:ascii="Arial" w:hAnsi="Arial" w:cs="Arial"/>
          <w:bCs/>
          <w:sz w:val="18"/>
          <w:szCs w:val="18"/>
        </w:rPr>
        <w:t>2021</w:t>
      </w:r>
      <w:r w:rsidRPr="007040BC">
        <w:rPr>
          <w:rFonts w:ascii="Arial" w:hAnsi="Arial" w:cs="Arial"/>
          <w:bCs/>
          <w:sz w:val="18"/>
          <w:szCs w:val="18"/>
        </w:rPr>
        <w:t xml:space="preserve"> r. łączna wartość toczących się postępowań przed sądami, organami właściwymi dla postępowań arbitrażowych oraz organami administracji publicznej, dotyczących zobowiązań oraz wierzytelności Spółki nie stanowiła znaczącej kwoty.</w:t>
      </w:r>
    </w:p>
    <w:p w:rsidR="00600719" w:rsidRDefault="00600719" w:rsidP="00600719">
      <w:pPr>
        <w:rPr>
          <w:rFonts w:ascii="Arial" w:hAnsi="Arial" w:cs="Arial"/>
          <w:b/>
          <w:bCs/>
          <w:sz w:val="18"/>
          <w:szCs w:val="18"/>
        </w:rPr>
      </w:pPr>
    </w:p>
    <w:p w:rsidR="00600719" w:rsidRPr="00F31D8E" w:rsidRDefault="00600719" w:rsidP="00600719">
      <w:pPr>
        <w:rPr>
          <w:rFonts w:ascii="Arial" w:hAnsi="Arial" w:cs="Arial"/>
          <w:b/>
          <w:bCs/>
          <w:sz w:val="18"/>
          <w:szCs w:val="18"/>
        </w:rPr>
      </w:pPr>
    </w:p>
    <w:p w:rsidR="00600719" w:rsidRPr="00F31D8E" w:rsidRDefault="00600719" w:rsidP="00600719">
      <w:pPr>
        <w:tabs>
          <w:tab w:val="left" w:pos="540"/>
        </w:tabs>
        <w:spacing w:line="260" w:lineRule="exact"/>
        <w:jc w:val="both"/>
        <w:rPr>
          <w:rFonts w:ascii="Arial" w:hAnsi="Arial" w:cs="Arial"/>
          <w:b/>
          <w:bCs/>
          <w:sz w:val="18"/>
          <w:szCs w:val="18"/>
        </w:rPr>
      </w:pPr>
      <w:r w:rsidRPr="00F31D8E">
        <w:rPr>
          <w:rFonts w:ascii="Arial" w:hAnsi="Arial" w:cs="Arial"/>
          <w:b/>
          <w:bCs/>
          <w:sz w:val="18"/>
          <w:szCs w:val="18"/>
        </w:rPr>
        <w:t>XV</w:t>
      </w:r>
      <w:r>
        <w:rPr>
          <w:rFonts w:ascii="Arial" w:hAnsi="Arial" w:cs="Arial"/>
          <w:b/>
          <w:bCs/>
          <w:sz w:val="18"/>
          <w:szCs w:val="18"/>
        </w:rPr>
        <w:t>I</w:t>
      </w:r>
      <w:r w:rsidRPr="00F31D8E">
        <w:rPr>
          <w:rFonts w:ascii="Arial" w:hAnsi="Arial" w:cs="Arial"/>
          <w:b/>
          <w:bCs/>
          <w:sz w:val="18"/>
          <w:szCs w:val="18"/>
        </w:rPr>
        <w:t>I. Korekty błędów poprzednich okresów.</w:t>
      </w:r>
    </w:p>
    <w:p w:rsidR="00600719" w:rsidRDefault="00600719" w:rsidP="00600719">
      <w:pPr>
        <w:tabs>
          <w:tab w:val="left" w:pos="540"/>
        </w:tabs>
        <w:spacing w:line="260" w:lineRule="exact"/>
        <w:jc w:val="both"/>
        <w:rPr>
          <w:rFonts w:ascii="Arial" w:hAnsi="Arial" w:cs="Arial"/>
          <w:bCs/>
          <w:sz w:val="18"/>
          <w:szCs w:val="18"/>
        </w:rPr>
      </w:pPr>
    </w:p>
    <w:p w:rsidR="00600719" w:rsidRPr="007040BC" w:rsidRDefault="00600719" w:rsidP="00600719">
      <w:pPr>
        <w:tabs>
          <w:tab w:val="left" w:pos="540"/>
        </w:tabs>
        <w:spacing w:line="260" w:lineRule="exact"/>
        <w:jc w:val="both"/>
        <w:rPr>
          <w:rFonts w:ascii="Arial" w:hAnsi="Arial" w:cs="Arial"/>
          <w:bCs/>
          <w:sz w:val="18"/>
          <w:szCs w:val="18"/>
        </w:rPr>
      </w:pPr>
      <w:r>
        <w:rPr>
          <w:rFonts w:ascii="Arial" w:hAnsi="Arial" w:cs="Arial"/>
          <w:bCs/>
          <w:sz w:val="18"/>
          <w:szCs w:val="18"/>
        </w:rPr>
        <w:t>N</w:t>
      </w:r>
      <w:r w:rsidRPr="007040BC">
        <w:rPr>
          <w:rFonts w:ascii="Arial" w:hAnsi="Arial" w:cs="Arial"/>
          <w:bCs/>
          <w:sz w:val="18"/>
          <w:szCs w:val="18"/>
        </w:rPr>
        <w:t>ie wystąpiły korekty błędów poprzednich okresów.</w:t>
      </w:r>
    </w:p>
    <w:p w:rsidR="00600719" w:rsidRDefault="00600719" w:rsidP="00600719">
      <w:pPr>
        <w:rPr>
          <w:rFonts w:ascii="Arial" w:hAnsi="Arial" w:cs="Arial"/>
          <w:b/>
          <w:bCs/>
          <w:sz w:val="18"/>
          <w:szCs w:val="18"/>
        </w:rPr>
      </w:pPr>
    </w:p>
    <w:p w:rsidR="00600719" w:rsidRPr="00F31D8E" w:rsidRDefault="00600719" w:rsidP="00600719">
      <w:pPr>
        <w:tabs>
          <w:tab w:val="left" w:pos="540"/>
        </w:tabs>
        <w:spacing w:line="260" w:lineRule="exact"/>
        <w:jc w:val="both"/>
        <w:rPr>
          <w:rFonts w:ascii="Arial" w:hAnsi="Arial" w:cs="Arial"/>
          <w:b/>
          <w:bCs/>
          <w:sz w:val="18"/>
          <w:szCs w:val="18"/>
        </w:rPr>
      </w:pPr>
      <w:r w:rsidRPr="00F31D8E">
        <w:rPr>
          <w:rFonts w:ascii="Arial" w:hAnsi="Arial" w:cs="Arial"/>
          <w:b/>
          <w:bCs/>
          <w:sz w:val="18"/>
          <w:szCs w:val="18"/>
        </w:rPr>
        <w:t>XVI</w:t>
      </w:r>
      <w:r>
        <w:rPr>
          <w:rFonts w:ascii="Arial" w:hAnsi="Arial" w:cs="Arial"/>
          <w:b/>
          <w:bCs/>
          <w:sz w:val="18"/>
          <w:szCs w:val="18"/>
        </w:rPr>
        <w:t>I</w:t>
      </w:r>
      <w:r w:rsidRPr="00F31D8E">
        <w:rPr>
          <w:rFonts w:ascii="Arial" w:hAnsi="Arial" w:cs="Arial"/>
          <w:b/>
          <w:bCs/>
          <w:sz w:val="18"/>
          <w:szCs w:val="18"/>
        </w:rPr>
        <w:t xml:space="preserve">I. Informacje o udzieleniu przez INTERFERIE S.A. (Emitenta) poręczeń kredytu lub pożyczki lub udzieleniu gwarancji – jednostce stowarzyszonej z Emitentem, jeżeli łączna wartość istniejących poręczeń lub gwarancji stanowi równowartość co najmniej 10% kapitałów własnych Emitenta. </w:t>
      </w:r>
    </w:p>
    <w:p w:rsidR="00600719" w:rsidRPr="00F31D8E" w:rsidRDefault="00600719" w:rsidP="00600719">
      <w:pPr>
        <w:tabs>
          <w:tab w:val="left" w:pos="540"/>
        </w:tabs>
        <w:spacing w:line="260" w:lineRule="exact"/>
        <w:jc w:val="both"/>
        <w:rPr>
          <w:rFonts w:ascii="Arial" w:hAnsi="Arial" w:cs="Arial"/>
          <w:bCs/>
          <w:sz w:val="18"/>
          <w:szCs w:val="18"/>
        </w:rPr>
      </w:pPr>
    </w:p>
    <w:p w:rsidR="00600719" w:rsidRPr="007040BC" w:rsidRDefault="00600719" w:rsidP="00600719">
      <w:pPr>
        <w:spacing w:line="260" w:lineRule="atLeast"/>
        <w:jc w:val="both"/>
        <w:rPr>
          <w:rFonts w:ascii="Arial" w:hAnsi="Arial" w:cs="Arial"/>
          <w:sz w:val="18"/>
          <w:szCs w:val="18"/>
        </w:rPr>
      </w:pPr>
      <w:r w:rsidRPr="007040BC">
        <w:rPr>
          <w:rFonts w:ascii="Arial" w:hAnsi="Arial" w:cs="Arial"/>
          <w:sz w:val="18"/>
          <w:szCs w:val="18"/>
        </w:rPr>
        <w:t xml:space="preserve">Nie udzielono poręczeń: kredytu, pożyczki i gwarancji, które byłyby znaczące. </w:t>
      </w:r>
    </w:p>
    <w:p w:rsidR="00600719" w:rsidRPr="00F31D8E" w:rsidRDefault="00600719" w:rsidP="00600719">
      <w:pPr>
        <w:tabs>
          <w:tab w:val="left" w:pos="540"/>
        </w:tabs>
        <w:spacing w:line="260" w:lineRule="exact"/>
        <w:jc w:val="both"/>
        <w:rPr>
          <w:rFonts w:ascii="Arial" w:hAnsi="Arial" w:cs="Arial"/>
          <w:b/>
          <w:bCs/>
          <w:sz w:val="18"/>
          <w:szCs w:val="18"/>
        </w:rPr>
      </w:pPr>
      <w:r w:rsidRPr="00F31D8E">
        <w:rPr>
          <w:rFonts w:ascii="Arial" w:hAnsi="Arial" w:cs="Arial"/>
          <w:b/>
          <w:bCs/>
          <w:sz w:val="18"/>
          <w:szCs w:val="18"/>
        </w:rPr>
        <w:lastRenderedPageBreak/>
        <w:t>X</w:t>
      </w:r>
      <w:r>
        <w:rPr>
          <w:rFonts w:ascii="Arial" w:hAnsi="Arial" w:cs="Arial"/>
          <w:b/>
          <w:bCs/>
          <w:sz w:val="18"/>
          <w:szCs w:val="18"/>
        </w:rPr>
        <w:t>IX</w:t>
      </w:r>
      <w:r w:rsidRPr="00F31D8E">
        <w:rPr>
          <w:rFonts w:ascii="Arial" w:hAnsi="Arial" w:cs="Arial"/>
          <w:b/>
          <w:bCs/>
          <w:sz w:val="18"/>
          <w:szCs w:val="18"/>
        </w:rPr>
        <w:t xml:space="preserve">. Informacje o zawarciu przez Emitenta lub jednostkę od niego zależną jednej lub wielu transakcji </w:t>
      </w:r>
      <w:r w:rsidRPr="00F31D8E">
        <w:rPr>
          <w:rFonts w:ascii="Arial" w:hAnsi="Arial" w:cs="Arial"/>
          <w:b/>
          <w:bCs/>
          <w:sz w:val="18"/>
          <w:szCs w:val="18"/>
        </w:rPr>
        <w:br/>
        <w:t>z podmiotami powiązanymi, jeżeli pojedynczo lub łącznie są one istotne i zostały zawarte na innych warunkach niż rynkowe.</w:t>
      </w:r>
    </w:p>
    <w:p w:rsidR="00600719" w:rsidRPr="00F31D8E" w:rsidRDefault="00600719" w:rsidP="00600719">
      <w:pPr>
        <w:tabs>
          <w:tab w:val="left" w:pos="540"/>
        </w:tabs>
        <w:spacing w:line="260" w:lineRule="exact"/>
        <w:jc w:val="both"/>
        <w:rPr>
          <w:rFonts w:ascii="Arial" w:hAnsi="Arial" w:cs="Arial"/>
          <w:b/>
          <w:bCs/>
          <w:sz w:val="18"/>
          <w:szCs w:val="18"/>
        </w:rPr>
      </w:pPr>
    </w:p>
    <w:p w:rsidR="00600719" w:rsidRDefault="00600719" w:rsidP="00600719">
      <w:pPr>
        <w:tabs>
          <w:tab w:val="left" w:pos="540"/>
        </w:tabs>
        <w:spacing w:line="260" w:lineRule="exact"/>
        <w:jc w:val="both"/>
        <w:rPr>
          <w:rFonts w:ascii="Arial" w:hAnsi="Arial" w:cs="Arial"/>
          <w:bCs/>
          <w:sz w:val="18"/>
          <w:szCs w:val="18"/>
        </w:rPr>
      </w:pPr>
      <w:r w:rsidRPr="00F31D8E">
        <w:rPr>
          <w:rFonts w:ascii="Arial" w:hAnsi="Arial" w:cs="Arial"/>
          <w:bCs/>
          <w:sz w:val="18"/>
          <w:szCs w:val="18"/>
        </w:rPr>
        <w:t>W okresie od dnia 01.01.</w:t>
      </w:r>
      <w:r>
        <w:rPr>
          <w:rFonts w:ascii="Arial" w:hAnsi="Arial" w:cs="Arial"/>
          <w:bCs/>
          <w:sz w:val="18"/>
          <w:szCs w:val="18"/>
        </w:rPr>
        <w:t>2021</w:t>
      </w:r>
      <w:r w:rsidRPr="00F31D8E">
        <w:rPr>
          <w:rFonts w:ascii="Arial" w:hAnsi="Arial" w:cs="Arial"/>
          <w:bCs/>
          <w:sz w:val="18"/>
          <w:szCs w:val="18"/>
        </w:rPr>
        <w:t xml:space="preserve"> r. do dnia 30.09.</w:t>
      </w:r>
      <w:r>
        <w:rPr>
          <w:rFonts w:ascii="Arial" w:hAnsi="Arial" w:cs="Arial"/>
          <w:bCs/>
          <w:sz w:val="18"/>
          <w:szCs w:val="18"/>
        </w:rPr>
        <w:t>2021</w:t>
      </w:r>
      <w:r w:rsidRPr="00F31D8E">
        <w:rPr>
          <w:rFonts w:ascii="Arial" w:hAnsi="Arial" w:cs="Arial"/>
          <w:bCs/>
          <w:sz w:val="18"/>
          <w:szCs w:val="18"/>
        </w:rPr>
        <w:t xml:space="preserve"> r. INTERFERIE S.A. nie zawarła jednej lub wielu transakcji </w:t>
      </w:r>
      <w:r w:rsidRPr="00F31D8E">
        <w:rPr>
          <w:rFonts w:ascii="Arial" w:hAnsi="Arial" w:cs="Arial"/>
          <w:bCs/>
          <w:sz w:val="18"/>
          <w:szCs w:val="18"/>
        </w:rPr>
        <w:br/>
        <w:t>z podmiotami powiązanymi, na warunkach innych niż rynkowe.</w:t>
      </w:r>
    </w:p>
    <w:p w:rsidR="00600719" w:rsidRPr="00F31D8E" w:rsidRDefault="00600719" w:rsidP="00600719">
      <w:pPr>
        <w:tabs>
          <w:tab w:val="left" w:pos="540"/>
        </w:tabs>
        <w:spacing w:line="260" w:lineRule="exact"/>
        <w:jc w:val="both"/>
        <w:rPr>
          <w:rFonts w:ascii="Arial" w:hAnsi="Arial" w:cs="Arial"/>
          <w:bCs/>
          <w:sz w:val="18"/>
          <w:szCs w:val="18"/>
        </w:rPr>
      </w:pPr>
    </w:p>
    <w:p w:rsidR="00600719" w:rsidRPr="00F31D8E" w:rsidRDefault="00600719" w:rsidP="00600719">
      <w:pPr>
        <w:tabs>
          <w:tab w:val="left" w:pos="540"/>
        </w:tabs>
        <w:spacing w:line="260" w:lineRule="exact"/>
        <w:jc w:val="both"/>
        <w:rPr>
          <w:rFonts w:ascii="Arial" w:hAnsi="Arial" w:cs="Arial"/>
          <w:b/>
          <w:bCs/>
          <w:sz w:val="18"/>
          <w:szCs w:val="18"/>
        </w:rPr>
      </w:pPr>
      <w:r>
        <w:rPr>
          <w:rFonts w:ascii="Arial" w:hAnsi="Arial" w:cs="Arial"/>
          <w:b/>
          <w:bCs/>
          <w:sz w:val="18"/>
          <w:szCs w:val="18"/>
        </w:rPr>
        <w:t>X</w:t>
      </w:r>
      <w:r w:rsidRPr="00F31D8E">
        <w:rPr>
          <w:rFonts w:ascii="Arial" w:hAnsi="Arial" w:cs="Arial"/>
          <w:b/>
          <w:bCs/>
          <w:sz w:val="18"/>
          <w:szCs w:val="18"/>
        </w:rPr>
        <w:t xml:space="preserve">X. Stanowisko Zarządu odnośnie możliwości zrealizowania wcześniej publikowanych prognoz wyników na rok </w:t>
      </w:r>
      <w:r>
        <w:rPr>
          <w:rFonts w:ascii="Arial" w:hAnsi="Arial" w:cs="Arial"/>
          <w:b/>
          <w:bCs/>
          <w:sz w:val="18"/>
          <w:szCs w:val="18"/>
        </w:rPr>
        <w:t>2021</w:t>
      </w:r>
      <w:r w:rsidRPr="00F31D8E">
        <w:rPr>
          <w:rFonts w:ascii="Arial" w:hAnsi="Arial" w:cs="Arial"/>
          <w:b/>
          <w:bCs/>
          <w:sz w:val="18"/>
          <w:szCs w:val="18"/>
        </w:rPr>
        <w:t>, w świetle wyników zaprezentowanych w skonsolidowanym raporcie kwartalnym w stosunku do wyników prognozowanych.</w:t>
      </w:r>
    </w:p>
    <w:p w:rsidR="00600719" w:rsidRDefault="00600719" w:rsidP="00600719">
      <w:pPr>
        <w:tabs>
          <w:tab w:val="left" w:pos="540"/>
        </w:tabs>
        <w:spacing w:line="260" w:lineRule="exact"/>
        <w:jc w:val="both"/>
        <w:rPr>
          <w:rFonts w:ascii="Arial" w:hAnsi="Arial" w:cs="Arial"/>
          <w:bCs/>
          <w:sz w:val="18"/>
          <w:szCs w:val="18"/>
        </w:rPr>
      </w:pPr>
    </w:p>
    <w:p w:rsidR="00600719" w:rsidRPr="00F31D8E" w:rsidRDefault="00600719" w:rsidP="00600719">
      <w:pPr>
        <w:tabs>
          <w:tab w:val="left" w:pos="540"/>
        </w:tabs>
        <w:spacing w:line="260" w:lineRule="exact"/>
        <w:jc w:val="both"/>
        <w:rPr>
          <w:rFonts w:ascii="Arial" w:hAnsi="Arial" w:cs="Arial"/>
          <w:bCs/>
          <w:sz w:val="18"/>
          <w:szCs w:val="18"/>
        </w:rPr>
      </w:pPr>
      <w:r w:rsidRPr="00F31D8E">
        <w:rPr>
          <w:rFonts w:ascii="Arial" w:hAnsi="Arial" w:cs="Arial"/>
          <w:bCs/>
          <w:sz w:val="18"/>
          <w:szCs w:val="18"/>
        </w:rPr>
        <w:t xml:space="preserve">Zarząd INTERFERIE S.A. nie publikował prognoz wyników na </w:t>
      </w:r>
      <w:r>
        <w:rPr>
          <w:rFonts w:ascii="Arial" w:hAnsi="Arial" w:cs="Arial"/>
          <w:bCs/>
          <w:sz w:val="18"/>
          <w:szCs w:val="18"/>
        </w:rPr>
        <w:t>2021</w:t>
      </w:r>
      <w:r w:rsidRPr="00F31D8E">
        <w:rPr>
          <w:rFonts w:ascii="Arial" w:hAnsi="Arial" w:cs="Arial"/>
          <w:bCs/>
          <w:sz w:val="18"/>
          <w:szCs w:val="18"/>
        </w:rPr>
        <w:t xml:space="preserve"> rok.</w:t>
      </w:r>
    </w:p>
    <w:p w:rsidR="00600719" w:rsidRPr="00F31D8E" w:rsidRDefault="00600719" w:rsidP="00600719">
      <w:pPr>
        <w:rPr>
          <w:rFonts w:ascii="Arial" w:hAnsi="Arial" w:cs="Arial"/>
          <w:b/>
          <w:bCs/>
          <w:sz w:val="18"/>
          <w:szCs w:val="18"/>
        </w:rPr>
      </w:pPr>
    </w:p>
    <w:p w:rsidR="00600719" w:rsidRPr="00F31D8E" w:rsidRDefault="00600719" w:rsidP="00600719">
      <w:pPr>
        <w:tabs>
          <w:tab w:val="left" w:pos="540"/>
        </w:tabs>
        <w:spacing w:line="260" w:lineRule="exact"/>
        <w:jc w:val="both"/>
        <w:rPr>
          <w:rFonts w:ascii="Arial" w:hAnsi="Arial" w:cs="Arial"/>
          <w:b/>
          <w:bCs/>
          <w:sz w:val="18"/>
          <w:szCs w:val="18"/>
        </w:rPr>
      </w:pPr>
      <w:r w:rsidRPr="00F31D8E">
        <w:rPr>
          <w:rFonts w:ascii="Arial" w:hAnsi="Arial" w:cs="Arial"/>
          <w:b/>
          <w:bCs/>
          <w:sz w:val="18"/>
          <w:szCs w:val="18"/>
        </w:rPr>
        <w:t>XX</w:t>
      </w:r>
      <w:r>
        <w:rPr>
          <w:rFonts w:ascii="Arial" w:hAnsi="Arial" w:cs="Arial"/>
          <w:b/>
          <w:bCs/>
          <w:sz w:val="18"/>
          <w:szCs w:val="18"/>
        </w:rPr>
        <w:t>I</w:t>
      </w:r>
      <w:r w:rsidRPr="00F31D8E">
        <w:rPr>
          <w:rFonts w:ascii="Arial" w:hAnsi="Arial" w:cs="Arial"/>
          <w:b/>
          <w:bCs/>
          <w:sz w:val="18"/>
          <w:szCs w:val="18"/>
        </w:rPr>
        <w:t>. Akcjonariusze posiadający co najmniej 5% ogólnej liczby głosów na Walnym Zgromadzeniu INTERFERIE S.A. na dzień przekazania raportu, zmiany w strukturze własności znacznych pakietów akcji jednostki dominującej w okresie od przekazania poprzedniego raportu.</w:t>
      </w:r>
    </w:p>
    <w:p w:rsidR="00600719" w:rsidRPr="00F31D8E" w:rsidRDefault="00600719" w:rsidP="00600719">
      <w:pPr>
        <w:tabs>
          <w:tab w:val="left" w:pos="540"/>
        </w:tabs>
        <w:spacing w:line="260" w:lineRule="exact"/>
        <w:jc w:val="both"/>
        <w:rPr>
          <w:rFonts w:ascii="Arial" w:hAnsi="Arial" w:cs="Arial"/>
          <w:bCs/>
          <w:sz w:val="18"/>
          <w:szCs w:val="18"/>
        </w:rPr>
      </w:pPr>
    </w:p>
    <w:p w:rsidR="00600719" w:rsidRPr="00CA0C51" w:rsidRDefault="00600719" w:rsidP="00600719">
      <w:pPr>
        <w:tabs>
          <w:tab w:val="left" w:pos="540"/>
        </w:tabs>
        <w:spacing w:line="260" w:lineRule="exact"/>
        <w:jc w:val="both"/>
        <w:rPr>
          <w:rFonts w:ascii="Arial" w:hAnsi="Arial" w:cs="Arial"/>
          <w:bCs/>
          <w:sz w:val="18"/>
          <w:szCs w:val="18"/>
        </w:rPr>
      </w:pPr>
      <w:r w:rsidRPr="00CA0C51">
        <w:rPr>
          <w:rFonts w:ascii="Arial" w:hAnsi="Arial" w:cs="Arial"/>
          <w:bCs/>
          <w:sz w:val="18"/>
          <w:szCs w:val="18"/>
        </w:rPr>
        <w:t>Zgodnie z zawiadomieniami otrzymanymi przez INTERFERIE S.A. na podstawie art. 147 ustawy Prawo</w:t>
      </w:r>
      <w:r w:rsidRPr="00CA0C51">
        <w:rPr>
          <w:rFonts w:ascii="Arial" w:hAnsi="Arial" w:cs="Arial"/>
          <w:bCs/>
          <w:sz w:val="18"/>
          <w:szCs w:val="18"/>
        </w:rPr>
        <w:br/>
        <w:t xml:space="preserve"> o publicznym obrocie papierami wartościowymi, następujący akcjonariusze posiadają co najmniej 5% ogólnej liczby głosów na Walnym Zgromadzeniu INTERFERIE S.A. na dzień przekazania niniejszego raportu:</w:t>
      </w:r>
    </w:p>
    <w:p w:rsidR="00600719" w:rsidRDefault="00600719" w:rsidP="00600719">
      <w:pPr>
        <w:rPr>
          <w:rFonts w:ascii="Arial" w:hAnsi="Arial" w:cs="Arial"/>
          <w:sz w:val="18"/>
          <w:szCs w:val="18"/>
        </w:rPr>
      </w:pPr>
    </w:p>
    <w:p w:rsidR="00600719" w:rsidRDefault="00600719" w:rsidP="00600719">
      <w:pPr>
        <w:tabs>
          <w:tab w:val="left" w:pos="540"/>
        </w:tabs>
        <w:spacing w:line="260" w:lineRule="exact"/>
        <w:jc w:val="both"/>
        <w:rPr>
          <w:rFonts w:ascii="Arial" w:hAnsi="Arial" w:cs="Arial"/>
          <w:sz w:val="18"/>
          <w:szCs w:val="18"/>
        </w:rPr>
      </w:pPr>
    </w:p>
    <w:tbl>
      <w:tblPr>
        <w:tblW w:w="8178" w:type="dxa"/>
        <w:tblInd w:w="57" w:type="dxa"/>
        <w:tblCellMar>
          <w:left w:w="70" w:type="dxa"/>
          <w:right w:w="70" w:type="dxa"/>
        </w:tblCellMar>
        <w:tblLook w:val="0000" w:firstRow="0" w:lastRow="0" w:firstColumn="0" w:lastColumn="0" w:noHBand="0" w:noVBand="0"/>
      </w:tblPr>
      <w:tblGrid>
        <w:gridCol w:w="2538"/>
        <w:gridCol w:w="1435"/>
        <w:gridCol w:w="2110"/>
        <w:gridCol w:w="2095"/>
      </w:tblGrid>
      <w:tr w:rsidR="00600719" w:rsidRPr="00F06708" w:rsidTr="006D578F">
        <w:trPr>
          <w:trHeight w:val="304"/>
        </w:trPr>
        <w:tc>
          <w:tcPr>
            <w:tcW w:w="2538" w:type="dxa"/>
            <w:tcBorders>
              <w:top w:val="nil"/>
              <w:left w:val="nil"/>
              <w:bottom w:val="single" w:sz="4" w:space="0" w:color="auto"/>
              <w:right w:val="nil"/>
            </w:tcBorders>
            <w:vAlign w:val="center"/>
          </w:tcPr>
          <w:p w:rsidR="00F06708" w:rsidRDefault="00600719" w:rsidP="006D578F">
            <w:pPr>
              <w:jc w:val="center"/>
              <w:rPr>
                <w:rFonts w:ascii="Arial" w:hAnsi="Arial" w:cs="Arial"/>
                <w:b/>
                <w:bCs/>
                <w:sz w:val="16"/>
                <w:szCs w:val="16"/>
              </w:rPr>
            </w:pPr>
            <w:r w:rsidRPr="00F06708">
              <w:rPr>
                <w:rFonts w:ascii="Arial" w:hAnsi="Arial" w:cs="Arial"/>
                <w:b/>
                <w:bCs/>
                <w:sz w:val="16"/>
                <w:szCs w:val="16"/>
              </w:rPr>
              <w:t xml:space="preserve">Struktura akcjonariatu </w:t>
            </w:r>
          </w:p>
          <w:p w:rsidR="00600719" w:rsidRPr="00F06708" w:rsidRDefault="00600719" w:rsidP="006D578F">
            <w:pPr>
              <w:jc w:val="center"/>
              <w:rPr>
                <w:rFonts w:ascii="Arial" w:hAnsi="Arial" w:cs="Arial"/>
                <w:b/>
                <w:bCs/>
                <w:sz w:val="16"/>
                <w:szCs w:val="16"/>
              </w:rPr>
            </w:pPr>
            <w:r w:rsidRPr="00F06708">
              <w:rPr>
                <w:rFonts w:ascii="Arial" w:hAnsi="Arial" w:cs="Arial"/>
                <w:b/>
                <w:bCs/>
                <w:sz w:val="16"/>
                <w:szCs w:val="16"/>
              </w:rPr>
              <w:t>powyżej 5%</w:t>
            </w:r>
          </w:p>
        </w:tc>
        <w:tc>
          <w:tcPr>
            <w:tcW w:w="1435" w:type="dxa"/>
            <w:tcBorders>
              <w:top w:val="nil"/>
              <w:left w:val="nil"/>
              <w:bottom w:val="single" w:sz="4" w:space="0" w:color="auto"/>
              <w:right w:val="nil"/>
            </w:tcBorders>
            <w:vAlign w:val="center"/>
          </w:tcPr>
          <w:p w:rsidR="00600719" w:rsidRPr="00F06708" w:rsidRDefault="00600719" w:rsidP="006D578F">
            <w:pPr>
              <w:jc w:val="center"/>
              <w:rPr>
                <w:rFonts w:ascii="Arial" w:hAnsi="Arial" w:cs="Arial"/>
                <w:b/>
                <w:bCs/>
                <w:sz w:val="16"/>
                <w:szCs w:val="16"/>
              </w:rPr>
            </w:pPr>
            <w:r w:rsidRPr="00F06708">
              <w:rPr>
                <w:rFonts w:ascii="Arial" w:hAnsi="Arial" w:cs="Arial"/>
                <w:b/>
                <w:bCs/>
                <w:sz w:val="16"/>
                <w:szCs w:val="16"/>
              </w:rPr>
              <w:t>Liczba głosów</w:t>
            </w:r>
          </w:p>
        </w:tc>
        <w:tc>
          <w:tcPr>
            <w:tcW w:w="2110" w:type="dxa"/>
            <w:tcBorders>
              <w:top w:val="nil"/>
              <w:left w:val="nil"/>
              <w:bottom w:val="single" w:sz="4" w:space="0" w:color="auto"/>
              <w:right w:val="nil"/>
            </w:tcBorders>
            <w:vAlign w:val="center"/>
          </w:tcPr>
          <w:p w:rsidR="00600719" w:rsidRPr="00F06708" w:rsidRDefault="00600719" w:rsidP="006D578F">
            <w:pPr>
              <w:jc w:val="center"/>
              <w:rPr>
                <w:rFonts w:ascii="Arial" w:hAnsi="Arial" w:cs="Arial"/>
                <w:b/>
                <w:bCs/>
                <w:sz w:val="16"/>
                <w:szCs w:val="16"/>
              </w:rPr>
            </w:pPr>
            <w:r w:rsidRPr="00F06708">
              <w:rPr>
                <w:rFonts w:ascii="Arial" w:hAnsi="Arial" w:cs="Arial"/>
                <w:b/>
                <w:bCs/>
                <w:sz w:val="16"/>
                <w:szCs w:val="16"/>
              </w:rPr>
              <w:t>Akcjonariat według liczby głosów</w:t>
            </w:r>
          </w:p>
        </w:tc>
        <w:tc>
          <w:tcPr>
            <w:tcW w:w="2095" w:type="dxa"/>
            <w:tcBorders>
              <w:top w:val="nil"/>
              <w:left w:val="nil"/>
              <w:bottom w:val="single" w:sz="4" w:space="0" w:color="auto"/>
              <w:right w:val="nil"/>
            </w:tcBorders>
            <w:vAlign w:val="center"/>
          </w:tcPr>
          <w:p w:rsidR="00600719" w:rsidRPr="00F06708" w:rsidRDefault="00600719" w:rsidP="006D578F">
            <w:pPr>
              <w:jc w:val="center"/>
              <w:rPr>
                <w:rFonts w:ascii="Arial" w:hAnsi="Arial" w:cs="Arial"/>
                <w:b/>
                <w:bCs/>
                <w:sz w:val="16"/>
                <w:szCs w:val="16"/>
              </w:rPr>
            </w:pPr>
            <w:r w:rsidRPr="00F06708">
              <w:rPr>
                <w:rFonts w:ascii="Arial" w:hAnsi="Arial" w:cs="Arial"/>
                <w:b/>
                <w:bCs/>
                <w:sz w:val="16"/>
                <w:szCs w:val="16"/>
              </w:rPr>
              <w:t>Akcjonariat według liczby akcji</w:t>
            </w:r>
          </w:p>
        </w:tc>
      </w:tr>
      <w:tr w:rsidR="00600719" w:rsidRPr="00F06708" w:rsidTr="006D578F">
        <w:trPr>
          <w:trHeight w:val="234"/>
        </w:trPr>
        <w:tc>
          <w:tcPr>
            <w:tcW w:w="2538" w:type="dxa"/>
            <w:tcBorders>
              <w:top w:val="nil"/>
              <w:left w:val="nil"/>
              <w:bottom w:val="nil"/>
              <w:right w:val="nil"/>
            </w:tcBorders>
            <w:vAlign w:val="bottom"/>
          </w:tcPr>
          <w:p w:rsidR="00600719" w:rsidRPr="00F06708" w:rsidRDefault="00600719" w:rsidP="006D578F">
            <w:pPr>
              <w:rPr>
                <w:rFonts w:ascii="Arial" w:hAnsi="Arial" w:cs="Arial"/>
                <w:sz w:val="16"/>
                <w:szCs w:val="16"/>
              </w:rPr>
            </w:pPr>
            <w:r w:rsidRPr="00F06708">
              <w:rPr>
                <w:rFonts w:ascii="Arial" w:hAnsi="Arial" w:cs="Arial"/>
                <w:sz w:val="16"/>
                <w:szCs w:val="16"/>
              </w:rPr>
              <w:t>Fundusz Hotele 01 Spółka z o.o. spółka komandytowo-akcyjna</w:t>
            </w:r>
          </w:p>
        </w:tc>
        <w:tc>
          <w:tcPr>
            <w:tcW w:w="1435" w:type="dxa"/>
            <w:tcBorders>
              <w:top w:val="nil"/>
              <w:left w:val="nil"/>
              <w:bottom w:val="nil"/>
              <w:right w:val="nil"/>
            </w:tcBorders>
            <w:vAlign w:val="bottom"/>
          </w:tcPr>
          <w:p w:rsidR="00600719" w:rsidRPr="00F06708" w:rsidRDefault="00600719" w:rsidP="006D578F">
            <w:pPr>
              <w:jc w:val="center"/>
              <w:rPr>
                <w:rFonts w:ascii="Arial" w:hAnsi="Arial" w:cs="Arial"/>
                <w:sz w:val="16"/>
                <w:szCs w:val="16"/>
              </w:rPr>
            </w:pPr>
            <w:r w:rsidRPr="00F06708">
              <w:rPr>
                <w:rFonts w:ascii="Arial" w:hAnsi="Arial" w:cs="Arial"/>
                <w:sz w:val="16"/>
                <w:szCs w:val="16"/>
              </w:rPr>
              <w:t>9 861 625</w:t>
            </w:r>
          </w:p>
        </w:tc>
        <w:tc>
          <w:tcPr>
            <w:tcW w:w="2110" w:type="dxa"/>
            <w:tcBorders>
              <w:top w:val="nil"/>
              <w:left w:val="nil"/>
              <w:bottom w:val="nil"/>
              <w:right w:val="nil"/>
            </w:tcBorders>
            <w:vAlign w:val="bottom"/>
          </w:tcPr>
          <w:p w:rsidR="00600719" w:rsidRPr="00F06708" w:rsidRDefault="00600719" w:rsidP="006D578F">
            <w:pPr>
              <w:jc w:val="center"/>
              <w:rPr>
                <w:rFonts w:ascii="Arial" w:hAnsi="Arial" w:cs="Arial"/>
                <w:sz w:val="16"/>
                <w:szCs w:val="16"/>
              </w:rPr>
            </w:pPr>
            <w:r w:rsidRPr="00F06708">
              <w:rPr>
                <w:rFonts w:ascii="Arial" w:hAnsi="Arial" w:cs="Arial"/>
                <w:sz w:val="16"/>
                <w:szCs w:val="16"/>
              </w:rPr>
              <w:t>67,71%</w:t>
            </w:r>
          </w:p>
        </w:tc>
        <w:tc>
          <w:tcPr>
            <w:tcW w:w="2095" w:type="dxa"/>
            <w:tcBorders>
              <w:top w:val="nil"/>
              <w:left w:val="nil"/>
              <w:bottom w:val="nil"/>
              <w:right w:val="nil"/>
            </w:tcBorders>
            <w:vAlign w:val="bottom"/>
          </w:tcPr>
          <w:p w:rsidR="00600719" w:rsidRPr="00F06708" w:rsidRDefault="00600719" w:rsidP="006D578F">
            <w:pPr>
              <w:jc w:val="center"/>
              <w:rPr>
                <w:rFonts w:ascii="Arial" w:hAnsi="Arial" w:cs="Arial"/>
                <w:sz w:val="16"/>
                <w:szCs w:val="16"/>
              </w:rPr>
            </w:pPr>
            <w:r w:rsidRPr="00F06708">
              <w:rPr>
                <w:rFonts w:ascii="Arial" w:hAnsi="Arial" w:cs="Arial"/>
                <w:sz w:val="16"/>
                <w:szCs w:val="16"/>
              </w:rPr>
              <w:t>67,71%</w:t>
            </w:r>
          </w:p>
        </w:tc>
      </w:tr>
      <w:tr w:rsidR="00600719" w:rsidRPr="00F06708" w:rsidTr="006D578F">
        <w:trPr>
          <w:trHeight w:val="307"/>
        </w:trPr>
        <w:tc>
          <w:tcPr>
            <w:tcW w:w="2538" w:type="dxa"/>
            <w:tcBorders>
              <w:top w:val="nil"/>
              <w:left w:val="nil"/>
              <w:bottom w:val="nil"/>
              <w:right w:val="nil"/>
            </w:tcBorders>
            <w:vAlign w:val="bottom"/>
          </w:tcPr>
          <w:p w:rsidR="00600719" w:rsidRPr="00F06708" w:rsidRDefault="00600719" w:rsidP="006D578F">
            <w:pPr>
              <w:rPr>
                <w:rFonts w:ascii="Arial" w:hAnsi="Arial" w:cs="Arial"/>
                <w:sz w:val="16"/>
                <w:szCs w:val="16"/>
              </w:rPr>
            </w:pPr>
            <w:r w:rsidRPr="00F06708">
              <w:rPr>
                <w:rFonts w:ascii="Arial" w:hAnsi="Arial" w:cs="Arial"/>
                <w:sz w:val="16"/>
                <w:szCs w:val="16"/>
              </w:rPr>
              <w:t>URBEX Sp. z o.o.</w:t>
            </w:r>
          </w:p>
        </w:tc>
        <w:tc>
          <w:tcPr>
            <w:tcW w:w="1435" w:type="dxa"/>
            <w:tcBorders>
              <w:top w:val="nil"/>
              <w:left w:val="nil"/>
              <w:bottom w:val="nil"/>
              <w:right w:val="nil"/>
            </w:tcBorders>
            <w:vAlign w:val="bottom"/>
          </w:tcPr>
          <w:p w:rsidR="00600719" w:rsidRPr="00F06708" w:rsidRDefault="00600719" w:rsidP="006D578F">
            <w:pPr>
              <w:jc w:val="center"/>
              <w:rPr>
                <w:rFonts w:ascii="Arial" w:hAnsi="Arial" w:cs="Arial"/>
                <w:sz w:val="16"/>
                <w:szCs w:val="16"/>
              </w:rPr>
            </w:pPr>
            <w:r w:rsidRPr="00F06708">
              <w:rPr>
                <w:rFonts w:ascii="Arial" w:hAnsi="Arial" w:cs="Arial"/>
                <w:sz w:val="16"/>
                <w:szCs w:val="16"/>
              </w:rPr>
              <w:t>2 197 969</w:t>
            </w:r>
          </w:p>
        </w:tc>
        <w:tc>
          <w:tcPr>
            <w:tcW w:w="2110" w:type="dxa"/>
            <w:tcBorders>
              <w:top w:val="nil"/>
              <w:left w:val="nil"/>
              <w:bottom w:val="nil"/>
              <w:right w:val="nil"/>
            </w:tcBorders>
            <w:vAlign w:val="bottom"/>
          </w:tcPr>
          <w:p w:rsidR="00600719" w:rsidRPr="00F06708" w:rsidRDefault="00600719" w:rsidP="006D578F">
            <w:pPr>
              <w:jc w:val="center"/>
              <w:rPr>
                <w:rFonts w:ascii="Arial" w:hAnsi="Arial" w:cs="Arial"/>
                <w:sz w:val="16"/>
                <w:szCs w:val="16"/>
              </w:rPr>
            </w:pPr>
            <w:r w:rsidRPr="00F06708">
              <w:rPr>
                <w:rFonts w:ascii="Arial" w:hAnsi="Arial" w:cs="Arial"/>
                <w:sz w:val="16"/>
                <w:szCs w:val="16"/>
              </w:rPr>
              <w:t>15,09%</w:t>
            </w:r>
          </w:p>
        </w:tc>
        <w:tc>
          <w:tcPr>
            <w:tcW w:w="2095" w:type="dxa"/>
            <w:tcBorders>
              <w:top w:val="nil"/>
              <w:left w:val="nil"/>
              <w:bottom w:val="nil"/>
              <w:right w:val="nil"/>
            </w:tcBorders>
            <w:vAlign w:val="bottom"/>
          </w:tcPr>
          <w:p w:rsidR="00600719" w:rsidRPr="00F06708" w:rsidRDefault="00600719" w:rsidP="006D578F">
            <w:pPr>
              <w:jc w:val="center"/>
              <w:rPr>
                <w:rFonts w:ascii="Arial" w:hAnsi="Arial" w:cs="Arial"/>
                <w:sz w:val="16"/>
                <w:szCs w:val="16"/>
              </w:rPr>
            </w:pPr>
            <w:r w:rsidRPr="00F06708">
              <w:rPr>
                <w:rFonts w:ascii="Arial" w:hAnsi="Arial" w:cs="Arial"/>
                <w:sz w:val="16"/>
                <w:szCs w:val="16"/>
              </w:rPr>
              <w:t>15,09%</w:t>
            </w:r>
          </w:p>
        </w:tc>
      </w:tr>
      <w:tr w:rsidR="00600719" w:rsidRPr="00F06708" w:rsidTr="006D578F">
        <w:trPr>
          <w:trHeight w:val="211"/>
        </w:trPr>
        <w:tc>
          <w:tcPr>
            <w:tcW w:w="2538" w:type="dxa"/>
            <w:tcBorders>
              <w:top w:val="nil"/>
              <w:left w:val="nil"/>
              <w:bottom w:val="nil"/>
              <w:right w:val="nil"/>
            </w:tcBorders>
            <w:vAlign w:val="bottom"/>
          </w:tcPr>
          <w:p w:rsidR="00600719" w:rsidRPr="00F06708" w:rsidRDefault="00600719" w:rsidP="006D578F">
            <w:pPr>
              <w:rPr>
                <w:rFonts w:ascii="Arial" w:hAnsi="Arial" w:cs="Arial"/>
                <w:sz w:val="16"/>
                <w:szCs w:val="16"/>
              </w:rPr>
            </w:pPr>
            <w:r w:rsidRPr="00F06708">
              <w:rPr>
                <w:rFonts w:ascii="Arial" w:hAnsi="Arial" w:cs="Arial"/>
                <w:sz w:val="16"/>
                <w:szCs w:val="16"/>
              </w:rPr>
              <w:t>pozostali</w:t>
            </w:r>
          </w:p>
        </w:tc>
        <w:tc>
          <w:tcPr>
            <w:tcW w:w="1435" w:type="dxa"/>
            <w:tcBorders>
              <w:top w:val="nil"/>
              <w:left w:val="nil"/>
              <w:bottom w:val="nil"/>
              <w:right w:val="nil"/>
            </w:tcBorders>
            <w:vAlign w:val="bottom"/>
          </w:tcPr>
          <w:p w:rsidR="00600719" w:rsidRPr="00F06708" w:rsidRDefault="00600719" w:rsidP="006D578F">
            <w:pPr>
              <w:jc w:val="center"/>
              <w:rPr>
                <w:rFonts w:ascii="Arial" w:hAnsi="Arial" w:cs="Arial"/>
                <w:sz w:val="16"/>
                <w:szCs w:val="16"/>
              </w:rPr>
            </w:pPr>
            <w:r w:rsidRPr="00F06708">
              <w:rPr>
                <w:rFonts w:ascii="Arial" w:hAnsi="Arial" w:cs="Arial"/>
                <w:sz w:val="16"/>
                <w:szCs w:val="16"/>
              </w:rPr>
              <w:t>2 504 606</w:t>
            </w:r>
          </w:p>
        </w:tc>
        <w:tc>
          <w:tcPr>
            <w:tcW w:w="2110" w:type="dxa"/>
            <w:tcBorders>
              <w:top w:val="nil"/>
              <w:left w:val="nil"/>
              <w:bottom w:val="nil"/>
              <w:right w:val="nil"/>
            </w:tcBorders>
            <w:vAlign w:val="bottom"/>
          </w:tcPr>
          <w:p w:rsidR="00600719" w:rsidRPr="00F06708" w:rsidRDefault="00600719" w:rsidP="006D578F">
            <w:pPr>
              <w:jc w:val="center"/>
              <w:rPr>
                <w:rFonts w:ascii="Arial" w:hAnsi="Arial" w:cs="Arial"/>
                <w:sz w:val="16"/>
                <w:szCs w:val="16"/>
              </w:rPr>
            </w:pPr>
            <w:r w:rsidRPr="00F06708">
              <w:rPr>
                <w:rFonts w:ascii="Arial" w:hAnsi="Arial" w:cs="Arial"/>
                <w:sz w:val="16"/>
                <w:szCs w:val="16"/>
              </w:rPr>
              <w:t>17,20%</w:t>
            </w:r>
          </w:p>
        </w:tc>
        <w:tc>
          <w:tcPr>
            <w:tcW w:w="2095" w:type="dxa"/>
            <w:tcBorders>
              <w:top w:val="nil"/>
              <w:left w:val="nil"/>
              <w:bottom w:val="nil"/>
              <w:right w:val="nil"/>
            </w:tcBorders>
            <w:vAlign w:val="bottom"/>
          </w:tcPr>
          <w:p w:rsidR="00600719" w:rsidRPr="00F06708" w:rsidRDefault="00600719" w:rsidP="006D578F">
            <w:pPr>
              <w:jc w:val="center"/>
              <w:rPr>
                <w:rFonts w:ascii="Arial" w:hAnsi="Arial" w:cs="Arial"/>
                <w:sz w:val="16"/>
                <w:szCs w:val="16"/>
              </w:rPr>
            </w:pPr>
            <w:r w:rsidRPr="00F06708">
              <w:rPr>
                <w:rFonts w:ascii="Arial" w:hAnsi="Arial" w:cs="Arial"/>
                <w:sz w:val="16"/>
                <w:szCs w:val="16"/>
              </w:rPr>
              <w:t>17,20%</w:t>
            </w:r>
          </w:p>
        </w:tc>
      </w:tr>
    </w:tbl>
    <w:p w:rsidR="00600719" w:rsidRPr="00CA0C51" w:rsidRDefault="00600719" w:rsidP="00600719">
      <w:pPr>
        <w:tabs>
          <w:tab w:val="left" w:pos="540"/>
        </w:tabs>
        <w:spacing w:line="260" w:lineRule="exact"/>
        <w:jc w:val="both"/>
        <w:rPr>
          <w:rFonts w:ascii="Arial" w:hAnsi="Arial" w:cs="Arial"/>
          <w:sz w:val="18"/>
          <w:szCs w:val="18"/>
        </w:rPr>
      </w:pPr>
    </w:p>
    <w:p w:rsidR="00600719" w:rsidRDefault="00600719" w:rsidP="00600719">
      <w:pPr>
        <w:rPr>
          <w:rFonts w:ascii="Arial" w:hAnsi="Arial" w:cs="Arial"/>
          <w:sz w:val="18"/>
          <w:szCs w:val="18"/>
        </w:rPr>
      </w:pPr>
    </w:p>
    <w:p w:rsidR="00600719" w:rsidRPr="00CA0C51" w:rsidRDefault="00600719" w:rsidP="00600719">
      <w:pPr>
        <w:tabs>
          <w:tab w:val="left" w:pos="540"/>
        </w:tabs>
        <w:spacing w:line="260" w:lineRule="exact"/>
        <w:jc w:val="both"/>
        <w:rPr>
          <w:rFonts w:ascii="Arial" w:hAnsi="Arial" w:cs="Arial"/>
          <w:sz w:val="18"/>
          <w:szCs w:val="18"/>
        </w:rPr>
      </w:pPr>
      <w:r w:rsidRPr="00CA0C51">
        <w:rPr>
          <w:rFonts w:ascii="Arial" w:hAnsi="Arial" w:cs="Arial"/>
          <w:sz w:val="18"/>
          <w:szCs w:val="18"/>
        </w:rPr>
        <w:t xml:space="preserve">KGHM VI Fundusz Inwestycyjny Zamknięty Aktywów Niepublicznych (dalej: Fundusz) oraz jego spółki zależnej - Fundusz Hotele 01 Spółka z ograniczoną odpowiedzialnością spółka komandytowo- akcyjna z siedzibą we Wrocławiu (dalej: Podmiot Zależny 1) oraz spółki zależnej -Fundusz Hotele 01 Spółka z ograniczoną odpowiedzialnością z siedzibą we Wrocławiu (dalej: Podmiot Zależny 2): </w:t>
      </w:r>
    </w:p>
    <w:p w:rsidR="00600719" w:rsidRPr="00CA0C51" w:rsidRDefault="00600719" w:rsidP="00600719">
      <w:pPr>
        <w:tabs>
          <w:tab w:val="left" w:pos="540"/>
        </w:tabs>
        <w:spacing w:line="260" w:lineRule="exact"/>
        <w:jc w:val="both"/>
        <w:rPr>
          <w:rFonts w:ascii="Arial" w:hAnsi="Arial" w:cs="Arial"/>
          <w:sz w:val="18"/>
          <w:szCs w:val="18"/>
        </w:rPr>
      </w:pPr>
      <w:r w:rsidRPr="00CA0C51">
        <w:rPr>
          <w:rFonts w:ascii="Arial" w:hAnsi="Arial" w:cs="Arial"/>
          <w:sz w:val="18"/>
          <w:szCs w:val="18"/>
        </w:rPr>
        <w:t xml:space="preserve">- za pośrednictwem Podmiotu Zależnego 2, </w:t>
      </w:r>
      <w:r>
        <w:rPr>
          <w:rFonts w:ascii="Arial" w:hAnsi="Arial" w:cs="Arial"/>
          <w:sz w:val="18"/>
          <w:szCs w:val="18"/>
        </w:rPr>
        <w:t>310 500</w:t>
      </w:r>
      <w:r w:rsidRPr="00CA0C51">
        <w:rPr>
          <w:rFonts w:ascii="Arial" w:hAnsi="Arial" w:cs="Arial"/>
          <w:sz w:val="18"/>
          <w:szCs w:val="18"/>
        </w:rPr>
        <w:t xml:space="preserve"> akcji INTERFERIE S.A. stanowiących </w:t>
      </w:r>
      <w:r>
        <w:rPr>
          <w:rFonts w:ascii="Arial" w:hAnsi="Arial" w:cs="Arial"/>
          <w:sz w:val="18"/>
          <w:szCs w:val="18"/>
        </w:rPr>
        <w:t>2,13</w:t>
      </w:r>
      <w:r w:rsidRPr="00CA0C51">
        <w:rPr>
          <w:rFonts w:ascii="Arial" w:hAnsi="Arial" w:cs="Arial"/>
          <w:sz w:val="18"/>
          <w:szCs w:val="18"/>
        </w:rPr>
        <w:t xml:space="preserve"> % w kapitale zakładowym i uprawniających do </w:t>
      </w:r>
      <w:r>
        <w:rPr>
          <w:rFonts w:ascii="Arial" w:hAnsi="Arial" w:cs="Arial"/>
          <w:sz w:val="18"/>
          <w:szCs w:val="18"/>
        </w:rPr>
        <w:t>310 500</w:t>
      </w:r>
      <w:r w:rsidRPr="00CA0C51">
        <w:rPr>
          <w:rFonts w:ascii="Arial" w:hAnsi="Arial" w:cs="Arial"/>
          <w:sz w:val="18"/>
          <w:szCs w:val="18"/>
        </w:rPr>
        <w:t xml:space="preserve"> głosów na Wal</w:t>
      </w:r>
      <w:r>
        <w:rPr>
          <w:rFonts w:ascii="Arial" w:hAnsi="Arial" w:cs="Arial"/>
          <w:sz w:val="18"/>
          <w:szCs w:val="18"/>
        </w:rPr>
        <w:t xml:space="preserve">nym Zgromadzeniu, stanowiących 2,13 </w:t>
      </w:r>
      <w:r w:rsidRPr="00CA0C51">
        <w:rPr>
          <w:rFonts w:ascii="Arial" w:hAnsi="Arial" w:cs="Arial"/>
          <w:sz w:val="18"/>
          <w:szCs w:val="18"/>
        </w:rPr>
        <w:t>% ogólnej liczby głosów oraz</w:t>
      </w:r>
    </w:p>
    <w:p w:rsidR="00600719" w:rsidRPr="00CA0C51" w:rsidRDefault="00600719" w:rsidP="00600719">
      <w:pPr>
        <w:tabs>
          <w:tab w:val="left" w:pos="540"/>
        </w:tabs>
        <w:spacing w:line="260" w:lineRule="exact"/>
        <w:jc w:val="both"/>
        <w:rPr>
          <w:rFonts w:ascii="Arial" w:hAnsi="Arial" w:cs="Arial"/>
          <w:sz w:val="18"/>
          <w:szCs w:val="18"/>
        </w:rPr>
      </w:pPr>
      <w:r w:rsidRPr="00CA0C51">
        <w:rPr>
          <w:rFonts w:ascii="Arial" w:hAnsi="Arial" w:cs="Arial"/>
          <w:sz w:val="18"/>
          <w:szCs w:val="18"/>
        </w:rPr>
        <w:t>- za pośrednictwe</w:t>
      </w:r>
      <w:r>
        <w:rPr>
          <w:rFonts w:ascii="Arial" w:hAnsi="Arial" w:cs="Arial"/>
          <w:sz w:val="18"/>
          <w:szCs w:val="18"/>
        </w:rPr>
        <w:t>m Podmiotu Zależnego 1,</w:t>
      </w:r>
      <w:r w:rsidRPr="00CA0C51">
        <w:rPr>
          <w:rFonts w:ascii="Arial" w:hAnsi="Arial" w:cs="Arial"/>
          <w:sz w:val="18"/>
          <w:szCs w:val="18"/>
        </w:rPr>
        <w:t xml:space="preserve"> </w:t>
      </w:r>
      <w:r w:rsidRPr="007878E8">
        <w:rPr>
          <w:rFonts w:ascii="Arial" w:hAnsi="Arial" w:cs="Arial"/>
          <w:sz w:val="18"/>
          <w:szCs w:val="18"/>
        </w:rPr>
        <w:t>9 842 125</w:t>
      </w:r>
      <w:r w:rsidRPr="00CA0C51">
        <w:rPr>
          <w:rFonts w:ascii="Arial" w:hAnsi="Arial" w:cs="Arial"/>
          <w:sz w:val="18"/>
          <w:szCs w:val="18"/>
        </w:rPr>
        <w:t xml:space="preserve"> akcji zwykłych na okaziciela INTERFERIE S.A., które stanowią 67,</w:t>
      </w:r>
      <w:r>
        <w:rPr>
          <w:rFonts w:ascii="Arial" w:hAnsi="Arial" w:cs="Arial"/>
          <w:sz w:val="18"/>
          <w:szCs w:val="18"/>
        </w:rPr>
        <w:t xml:space="preserve">58 % kapitału zakładowego i dają </w:t>
      </w:r>
      <w:r w:rsidRPr="007878E8">
        <w:rPr>
          <w:rFonts w:ascii="Arial" w:hAnsi="Arial" w:cs="Arial"/>
          <w:sz w:val="18"/>
          <w:szCs w:val="18"/>
        </w:rPr>
        <w:t>9</w:t>
      </w:r>
      <w:r>
        <w:rPr>
          <w:rFonts w:ascii="Arial" w:hAnsi="Arial" w:cs="Arial"/>
          <w:sz w:val="18"/>
          <w:szCs w:val="18"/>
        </w:rPr>
        <w:t> </w:t>
      </w:r>
      <w:r w:rsidRPr="007878E8">
        <w:rPr>
          <w:rFonts w:ascii="Arial" w:hAnsi="Arial" w:cs="Arial"/>
          <w:sz w:val="18"/>
          <w:szCs w:val="18"/>
        </w:rPr>
        <w:t>842</w:t>
      </w:r>
      <w:r>
        <w:rPr>
          <w:rFonts w:ascii="Arial" w:hAnsi="Arial" w:cs="Arial"/>
          <w:sz w:val="18"/>
          <w:szCs w:val="18"/>
        </w:rPr>
        <w:t xml:space="preserve"> </w:t>
      </w:r>
      <w:r w:rsidRPr="007878E8">
        <w:rPr>
          <w:rFonts w:ascii="Arial" w:hAnsi="Arial" w:cs="Arial"/>
          <w:sz w:val="18"/>
          <w:szCs w:val="18"/>
        </w:rPr>
        <w:t>125</w:t>
      </w:r>
      <w:r w:rsidRPr="00CA0C51">
        <w:rPr>
          <w:rFonts w:ascii="Arial" w:hAnsi="Arial" w:cs="Arial"/>
          <w:sz w:val="18"/>
          <w:szCs w:val="18"/>
        </w:rPr>
        <w:t xml:space="preserve"> głosów na Walnym Zgromadzeniu, co stanowi 67,</w:t>
      </w:r>
      <w:r>
        <w:rPr>
          <w:rFonts w:ascii="Arial" w:hAnsi="Arial" w:cs="Arial"/>
          <w:sz w:val="18"/>
          <w:szCs w:val="18"/>
        </w:rPr>
        <w:t>58</w:t>
      </w:r>
      <w:r w:rsidRPr="00CA0C51">
        <w:rPr>
          <w:rFonts w:ascii="Arial" w:hAnsi="Arial" w:cs="Arial"/>
          <w:sz w:val="18"/>
          <w:szCs w:val="18"/>
        </w:rPr>
        <w:t xml:space="preserve"> % </w:t>
      </w:r>
      <w:r>
        <w:rPr>
          <w:rFonts w:ascii="Arial" w:hAnsi="Arial" w:cs="Arial"/>
          <w:sz w:val="18"/>
          <w:szCs w:val="18"/>
        </w:rPr>
        <w:br/>
      </w:r>
      <w:r w:rsidRPr="00CA0C51">
        <w:rPr>
          <w:rFonts w:ascii="Arial" w:hAnsi="Arial" w:cs="Arial"/>
          <w:sz w:val="18"/>
          <w:szCs w:val="18"/>
        </w:rPr>
        <w:t>w ogólnej liczbie głosów.</w:t>
      </w:r>
    </w:p>
    <w:p w:rsidR="00600719" w:rsidRDefault="00600719" w:rsidP="00600719">
      <w:pPr>
        <w:tabs>
          <w:tab w:val="left" w:pos="540"/>
        </w:tabs>
        <w:spacing w:line="260" w:lineRule="exact"/>
        <w:jc w:val="both"/>
        <w:rPr>
          <w:rFonts w:ascii="Arial" w:hAnsi="Arial" w:cs="Arial"/>
          <w:sz w:val="18"/>
          <w:szCs w:val="18"/>
        </w:rPr>
      </w:pPr>
    </w:p>
    <w:p w:rsidR="00600719" w:rsidRPr="00CA0C51" w:rsidRDefault="00600719" w:rsidP="00600719">
      <w:pPr>
        <w:tabs>
          <w:tab w:val="left" w:pos="540"/>
        </w:tabs>
        <w:spacing w:line="260" w:lineRule="exact"/>
        <w:jc w:val="both"/>
        <w:rPr>
          <w:rFonts w:ascii="Arial" w:hAnsi="Arial" w:cs="Arial"/>
          <w:sz w:val="18"/>
          <w:szCs w:val="18"/>
        </w:rPr>
      </w:pPr>
      <w:r w:rsidRPr="00CA0C51">
        <w:rPr>
          <w:rFonts w:ascii="Arial" w:hAnsi="Arial" w:cs="Arial"/>
          <w:sz w:val="18"/>
          <w:szCs w:val="18"/>
        </w:rPr>
        <w:t xml:space="preserve"> Zatem pośrednio, poprzez podmioty zależne, Fundusz posiada łącznie </w:t>
      </w:r>
      <w:r w:rsidRPr="007878E8">
        <w:rPr>
          <w:rFonts w:ascii="Arial" w:hAnsi="Arial" w:cs="Arial"/>
          <w:sz w:val="18"/>
          <w:szCs w:val="18"/>
        </w:rPr>
        <w:t>10 152 625</w:t>
      </w:r>
      <w:r w:rsidRPr="00CA0C51">
        <w:rPr>
          <w:rFonts w:ascii="Arial" w:hAnsi="Arial" w:cs="Arial"/>
          <w:sz w:val="18"/>
          <w:szCs w:val="18"/>
        </w:rPr>
        <w:t xml:space="preserve"> akcji INTERFERIE S.A. stanowiących 69,</w:t>
      </w:r>
      <w:r>
        <w:rPr>
          <w:rFonts w:ascii="Arial" w:hAnsi="Arial" w:cs="Arial"/>
          <w:sz w:val="18"/>
          <w:szCs w:val="18"/>
        </w:rPr>
        <w:t>71</w:t>
      </w:r>
      <w:r w:rsidRPr="00CA0C51">
        <w:rPr>
          <w:rFonts w:ascii="Arial" w:hAnsi="Arial" w:cs="Arial"/>
          <w:sz w:val="18"/>
          <w:szCs w:val="18"/>
        </w:rPr>
        <w:t xml:space="preserve">% w kapitale zakładowym i uprawniających do </w:t>
      </w:r>
      <w:r w:rsidRPr="007878E8">
        <w:rPr>
          <w:rFonts w:ascii="Arial" w:hAnsi="Arial" w:cs="Arial"/>
          <w:sz w:val="18"/>
          <w:szCs w:val="18"/>
        </w:rPr>
        <w:t>10 152 625</w:t>
      </w:r>
      <w:r w:rsidRPr="00CA0C51">
        <w:rPr>
          <w:rFonts w:ascii="Arial" w:hAnsi="Arial" w:cs="Arial"/>
          <w:sz w:val="18"/>
          <w:szCs w:val="18"/>
        </w:rPr>
        <w:t xml:space="preserve"> głosów na Walnym Zgromadzeniu tej spółki, stanowiących 69,</w:t>
      </w:r>
      <w:r>
        <w:rPr>
          <w:rFonts w:ascii="Arial" w:hAnsi="Arial" w:cs="Arial"/>
          <w:sz w:val="18"/>
          <w:szCs w:val="18"/>
        </w:rPr>
        <w:t>71</w:t>
      </w:r>
      <w:r w:rsidRPr="00CA0C51">
        <w:rPr>
          <w:rFonts w:ascii="Arial" w:hAnsi="Arial" w:cs="Arial"/>
          <w:sz w:val="18"/>
          <w:szCs w:val="18"/>
        </w:rPr>
        <w:t>% ogólnej liczby głosów.</w:t>
      </w:r>
    </w:p>
    <w:p w:rsidR="00600719" w:rsidRPr="00661ED4" w:rsidRDefault="00600719" w:rsidP="00600719">
      <w:pPr>
        <w:tabs>
          <w:tab w:val="left" w:pos="540"/>
        </w:tabs>
        <w:spacing w:line="260" w:lineRule="exact"/>
        <w:jc w:val="both"/>
        <w:rPr>
          <w:rFonts w:ascii="Arial" w:hAnsi="Arial" w:cs="Arial"/>
          <w:bCs/>
          <w:sz w:val="18"/>
          <w:szCs w:val="18"/>
        </w:rPr>
      </w:pPr>
    </w:p>
    <w:p w:rsidR="00600719" w:rsidRPr="00661ED4" w:rsidRDefault="00600719" w:rsidP="00600719">
      <w:pPr>
        <w:tabs>
          <w:tab w:val="left" w:pos="540"/>
        </w:tabs>
        <w:spacing w:line="260" w:lineRule="exact"/>
        <w:jc w:val="both"/>
        <w:rPr>
          <w:rFonts w:ascii="Arial" w:hAnsi="Arial" w:cs="Arial"/>
          <w:bCs/>
          <w:sz w:val="18"/>
          <w:szCs w:val="18"/>
        </w:rPr>
      </w:pPr>
      <w:r w:rsidRPr="00661ED4">
        <w:rPr>
          <w:rFonts w:ascii="Arial" w:hAnsi="Arial" w:cs="Arial"/>
          <w:bCs/>
          <w:sz w:val="18"/>
          <w:szCs w:val="18"/>
        </w:rPr>
        <w:t>Kapitał zakładowy Spółki tworzy 14 564 200 akcji, w tym:</w:t>
      </w:r>
    </w:p>
    <w:p w:rsidR="00600719" w:rsidRPr="00661ED4" w:rsidRDefault="00600719" w:rsidP="00600719">
      <w:pPr>
        <w:numPr>
          <w:ilvl w:val="0"/>
          <w:numId w:val="4"/>
        </w:numPr>
        <w:tabs>
          <w:tab w:val="left" w:pos="540"/>
        </w:tabs>
        <w:spacing w:line="260" w:lineRule="exact"/>
        <w:jc w:val="both"/>
        <w:rPr>
          <w:rFonts w:ascii="Arial" w:hAnsi="Arial" w:cs="Arial"/>
          <w:bCs/>
          <w:sz w:val="18"/>
          <w:szCs w:val="18"/>
        </w:rPr>
      </w:pPr>
      <w:r w:rsidRPr="00661ED4">
        <w:rPr>
          <w:rFonts w:ascii="Arial" w:hAnsi="Arial" w:cs="Arial"/>
          <w:bCs/>
          <w:sz w:val="18"/>
          <w:szCs w:val="18"/>
        </w:rPr>
        <w:t>akcje serii A - 9 564 200</w:t>
      </w:r>
    </w:p>
    <w:p w:rsidR="00600719" w:rsidRPr="00661ED4" w:rsidRDefault="00600719" w:rsidP="00600719">
      <w:pPr>
        <w:numPr>
          <w:ilvl w:val="0"/>
          <w:numId w:val="4"/>
        </w:numPr>
        <w:tabs>
          <w:tab w:val="left" w:pos="540"/>
        </w:tabs>
        <w:spacing w:line="260" w:lineRule="exact"/>
        <w:jc w:val="both"/>
        <w:rPr>
          <w:rFonts w:ascii="Arial" w:hAnsi="Arial" w:cs="Arial"/>
          <w:bCs/>
          <w:sz w:val="18"/>
          <w:szCs w:val="18"/>
        </w:rPr>
      </w:pPr>
      <w:r w:rsidRPr="00661ED4">
        <w:rPr>
          <w:rFonts w:ascii="Arial" w:hAnsi="Arial" w:cs="Arial"/>
          <w:bCs/>
          <w:sz w:val="18"/>
          <w:szCs w:val="18"/>
        </w:rPr>
        <w:t>akcje serii B - 5 000 000</w:t>
      </w:r>
    </w:p>
    <w:p w:rsidR="00600719" w:rsidRDefault="00600719" w:rsidP="00600719">
      <w:pPr>
        <w:tabs>
          <w:tab w:val="left" w:pos="540"/>
        </w:tabs>
        <w:spacing w:line="260" w:lineRule="exact"/>
        <w:jc w:val="both"/>
        <w:rPr>
          <w:rFonts w:ascii="Arial" w:hAnsi="Arial" w:cs="Arial"/>
          <w:bCs/>
          <w:sz w:val="18"/>
          <w:szCs w:val="18"/>
        </w:rPr>
      </w:pPr>
      <w:r w:rsidRPr="00661ED4">
        <w:rPr>
          <w:rFonts w:ascii="Arial" w:hAnsi="Arial" w:cs="Arial"/>
          <w:bCs/>
          <w:sz w:val="18"/>
          <w:szCs w:val="18"/>
        </w:rPr>
        <w:t>Wartość nominalna każdej akcji Emitenta wynosi 5 zł. Żadna seria nie jest uprzywilejowana.</w:t>
      </w:r>
    </w:p>
    <w:p w:rsidR="00600719" w:rsidRDefault="00600719" w:rsidP="00600719">
      <w:pPr>
        <w:tabs>
          <w:tab w:val="left" w:pos="540"/>
        </w:tabs>
        <w:spacing w:line="260" w:lineRule="exact"/>
        <w:jc w:val="both"/>
        <w:rPr>
          <w:rFonts w:ascii="Arial" w:hAnsi="Arial" w:cs="Arial"/>
          <w:sz w:val="18"/>
          <w:szCs w:val="18"/>
        </w:rPr>
      </w:pPr>
    </w:p>
    <w:p w:rsidR="00600719" w:rsidRPr="00CA0C51" w:rsidRDefault="00600719" w:rsidP="00600719">
      <w:pPr>
        <w:tabs>
          <w:tab w:val="left" w:pos="540"/>
        </w:tabs>
        <w:spacing w:line="260" w:lineRule="exact"/>
        <w:jc w:val="both"/>
        <w:rPr>
          <w:rFonts w:ascii="Arial" w:hAnsi="Arial" w:cs="Arial"/>
          <w:sz w:val="18"/>
          <w:szCs w:val="18"/>
        </w:rPr>
      </w:pPr>
      <w:r w:rsidRPr="00CA0C51">
        <w:rPr>
          <w:rFonts w:ascii="Arial" w:hAnsi="Arial" w:cs="Arial"/>
          <w:sz w:val="18"/>
          <w:szCs w:val="18"/>
        </w:rPr>
        <w:t xml:space="preserve">W trakcie </w:t>
      </w:r>
      <w:r>
        <w:rPr>
          <w:rFonts w:ascii="Arial" w:hAnsi="Arial" w:cs="Arial"/>
          <w:sz w:val="18"/>
          <w:szCs w:val="18"/>
        </w:rPr>
        <w:t xml:space="preserve">9 m-cy </w:t>
      </w:r>
      <w:r w:rsidRPr="00CA0C51">
        <w:rPr>
          <w:rFonts w:ascii="Arial" w:hAnsi="Arial" w:cs="Arial"/>
          <w:sz w:val="18"/>
          <w:szCs w:val="18"/>
        </w:rPr>
        <w:t>202</w:t>
      </w:r>
      <w:r>
        <w:rPr>
          <w:rFonts w:ascii="Arial" w:hAnsi="Arial" w:cs="Arial"/>
          <w:sz w:val="18"/>
          <w:szCs w:val="18"/>
        </w:rPr>
        <w:t>1</w:t>
      </w:r>
      <w:r w:rsidRPr="00CA0C51">
        <w:rPr>
          <w:rFonts w:ascii="Arial" w:hAnsi="Arial" w:cs="Arial"/>
          <w:sz w:val="18"/>
          <w:szCs w:val="18"/>
        </w:rPr>
        <w:t xml:space="preserve"> roku nie nastąpiła zmiana liczby akcji.</w:t>
      </w:r>
    </w:p>
    <w:p w:rsidR="00600719" w:rsidRPr="00CA0C51" w:rsidRDefault="00600719" w:rsidP="00600719">
      <w:pPr>
        <w:tabs>
          <w:tab w:val="left" w:pos="540"/>
        </w:tabs>
        <w:spacing w:line="260" w:lineRule="exact"/>
        <w:jc w:val="both"/>
        <w:rPr>
          <w:rFonts w:ascii="Arial" w:hAnsi="Arial" w:cs="Arial"/>
          <w:sz w:val="18"/>
          <w:szCs w:val="18"/>
        </w:rPr>
      </w:pPr>
      <w:r w:rsidRPr="00CA0C51">
        <w:rPr>
          <w:rFonts w:ascii="Arial" w:hAnsi="Arial" w:cs="Arial"/>
          <w:sz w:val="18"/>
          <w:szCs w:val="18"/>
        </w:rPr>
        <w:t>Wartość kapitału docelowego jest równa wartości nominalnej akcji obecnie wyemitowanych.</w:t>
      </w:r>
    </w:p>
    <w:p w:rsidR="00600719" w:rsidRPr="00CA0C51" w:rsidRDefault="00600719" w:rsidP="00600719">
      <w:pPr>
        <w:tabs>
          <w:tab w:val="left" w:pos="540"/>
        </w:tabs>
        <w:spacing w:line="260" w:lineRule="exact"/>
        <w:jc w:val="both"/>
        <w:rPr>
          <w:rFonts w:ascii="Arial" w:hAnsi="Arial" w:cs="Arial"/>
          <w:sz w:val="18"/>
          <w:szCs w:val="18"/>
        </w:rPr>
      </w:pPr>
      <w:r w:rsidRPr="00CA0C51">
        <w:rPr>
          <w:rFonts w:ascii="Arial" w:hAnsi="Arial" w:cs="Arial"/>
          <w:sz w:val="18"/>
          <w:szCs w:val="18"/>
        </w:rPr>
        <w:t>W trakcie roku obrotowego nie było zmian w strukturze własności Spółki.</w:t>
      </w:r>
    </w:p>
    <w:p w:rsidR="00600719" w:rsidRDefault="00600719" w:rsidP="00600719">
      <w:pPr>
        <w:tabs>
          <w:tab w:val="left" w:pos="540"/>
        </w:tabs>
        <w:spacing w:line="260" w:lineRule="exact"/>
        <w:jc w:val="both"/>
        <w:rPr>
          <w:rFonts w:ascii="Arial" w:hAnsi="Arial" w:cs="Arial"/>
          <w:bCs/>
          <w:sz w:val="18"/>
          <w:szCs w:val="18"/>
        </w:rPr>
      </w:pPr>
    </w:p>
    <w:p w:rsidR="00600719" w:rsidRPr="00F31D8E" w:rsidRDefault="00600719" w:rsidP="00600719">
      <w:pPr>
        <w:tabs>
          <w:tab w:val="left" w:pos="540"/>
        </w:tabs>
        <w:spacing w:line="260" w:lineRule="exact"/>
        <w:jc w:val="both"/>
        <w:rPr>
          <w:rFonts w:ascii="Arial" w:hAnsi="Arial" w:cs="Arial"/>
          <w:b/>
          <w:bCs/>
          <w:sz w:val="18"/>
          <w:szCs w:val="18"/>
        </w:rPr>
      </w:pPr>
      <w:r w:rsidRPr="00F31D8E">
        <w:rPr>
          <w:rFonts w:ascii="Arial" w:hAnsi="Arial" w:cs="Arial"/>
          <w:b/>
          <w:bCs/>
          <w:sz w:val="18"/>
          <w:szCs w:val="18"/>
        </w:rPr>
        <w:t>XX</w:t>
      </w:r>
      <w:r>
        <w:rPr>
          <w:rFonts w:ascii="Arial" w:hAnsi="Arial" w:cs="Arial"/>
          <w:b/>
          <w:bCs/>
          <w:sz w:val="18"/>
          <w:szCs w:val="18"/>
        </w:rPr>
        <w:t>I</w:t>
      </w:r>
      <w:r w:rsidRPr="00F31D8E">
        <w:rPr>
          <w:rFonts w:ascii="Arial" w:hAnsi="Arial" w:cs="Arial"/>
          <w:b/>
          <w:bCs/>
          <w:sz w:val="18"/>
          <w:szCs w:val="18"/>
        </w:rPr>
        <w:t>I. Zestawienie zmian w stanie posiadania akcji INTERFERIE S.A. lub uprawnień do nich (opcji) przez osoby zarządzające i nadzorujące INTERFERIE S.A., zgodnie z posiadanymi przez INTERFERIE S.A. informacjami, w okresie od przekazania poprzedniego raportu.</w:t>
      </w:r>
    </w:p>
    <w:p w:rsidR="00600719" w:rsidRPr="00F31D8E" w:rsidRDefault="00600719" w:rsidP="00600719">
      <w:pPr>
        <w:tabs>
          <w:tab w:val="left" w:pos="540"/>
        </w:tabs>
        <w:spacing w:line="260" w:lineRule="exact"/>
        <w:jc w:val="both"/>
        <w:rPr>
          <w:rFonts w:ascii="Arial" w:hAnsi="Arial" w:cs="Arial"/>
          <w:bCs/>
          <w:sz w:val="18"/>
          <w:szCs w:val="18"/>
        </w:rPr>
      </w:pPr>
    </w:p>
    <w:p w:rsidR="00600719" w:rsidRPr="00F31D8E" w:rsidRDefault="00600719" w:rsidP="00600719">
      <w:pPr>
        <w:tabs>
          <w:tab w:val="left" w:pos="540"/>
        </w:tabs>
        <w:spacing w:line="260" w:lineRule="exact"/>
        <w:jc w:val="both"/>
        <w:rPr>
          <w:rFonts w:ascii="Arial" w:hAnsi="Arial" w:cs="Arial"/>
          <w:bCs/>
          <w:sz w:val="18"/>
          <w:szCs w:val="18"/>
        </w:rPr>
      </w:pPr>
      <w:r w:rsidRPr="00F31D8E">
        <w:rPr>
          <w:rFonts w:ascii="Arial" w:hAnsi="Arial" w:cs="Arial"/>
          <w:bCs/>
          <w:sz w:val="18"/>
          <w:szCs w:val="18"/>
        </w:rPr>
        <w:t>Zgodnie z posiadanymi przez INTERFERIE S.A. informacjami, osoby zarządzające i nadzorujące INTERFERIE S.A. nie posiadają akcji Spółki.</w:t>
      </w:r>
    </w:p>
    <w:p w:rsidR="00600719" w:rsidRDefault="00600719" w:rsidP="00600719">
      <w:pPr>
        <w:tabs>
          <w:tab w:val="left" w:pos="540"/>
        </w:tabs>
        <w:spacing w:line="260" w:lineRule="exact"/>
        <w:jc w:val="both"/>
        <w:rPr>
          <w:rFonts w:ascii="Arial" w:hAnsi="Arial" w:cs="Arial"/>
          <w:b/>
          <w:bCs/>
          <w:sz w:val="18"/>
          <w:szCs w:val="18"/>
        </w:rPr>
      </w:pPr>
    </w:p>
    <w:p w:rsidR="00600719" w:rsidRPr="00F31D8E" w:rsidRDefault="00600719" w:rsidP="00600719">
      <w:pPr>
        <w:tabs>
          <w:tab w:val="left" w:pos="540"/>
        </w:tabs>
        <w:spacing w:line="260" w:lineRule="exact"/>
        <w:jc w:val="both"/>
        <w:rPr>
          <w:rFonts w:ascii="Arial" w:hAnsi="Arial" w:cs="Arial"/>
          <w:b/>
          <w:bCs/>
          <w:sz w:val="18"/>
          <w:szCs w:val="18"/>
        </w:rPr>
      </w:pPr>
      <w:r w:rsidRPr="00F31D8E">
        <w:rPr>
          <w:rFonts w:ascii="Arial" w:hAnsi="Arial" w:cs="Arial"/>
          <w:b/>
          <w:bCs/>
          <w:sz w:val="18"/>
          <w:szCs w:val="18"/>
        </w:rPr>
        <w:t>XXI</w:t>
      </w:r>
      <w:r>
        <w:rPr>
          <w:rFonts w:ascii="Arial" w:hAnsi="Arial" w:cs="Arial"/>
          <w:b/>
          <w:bCs/>
          <w:sz w:val="18"/>
          <w:szCs w:val="18"/>
        </w:rPr>
        <w:t>I</w:t>
      </w:r>
      <w:r w:rsidRPr="00F31D8E">
        <w:rPr>
          <w:rFonts w:ascii="Arial" w:hAnsi="Arial" w:cs="Arial"/>
          <w:b/>
          <w:bCs/>
          <w:sz w:val="18"/>
          <w:szCs w:val="18"/>
        </w:rPr>
        <w:t>I. Inne informacje, które są istotne dla oceny sytuacji kadrowej, majątkowej, finansowej, wyniku finansowego i ich zmian, oraz informacje, które są istotne dla oceny możliwości realizacji zobowiązań.</w:t>
      </w:r>
    </w:p>
    <w:p w:rsidR="00600719" w:rsidRPr="00F31D8E" w:rsidRDefault="00600719" w:rsidP="00600719">
      <w:pPr>
        <w:tabs>
          <w:tab w:val="left" w:pos="540"/>
        </w:tabs>
        <w:spacing w:line="260" w:lineRule="exact"/>
        <w:jc w:val="both"/>
        <w:rPr>
          <w:rFonts w:ascii="Arial" w:hAnsi="Arial" w:cs="Arial"/>
          <w:bCs/>
          <w:sz w:val="18"/>
          <w:szCs w:val="18"/>
        </w:rPr>
      </w:pPr>
    </w:p>
    <w:p w:rsidR="00600719" w:rsidRPr="003523B4" w:rsidRDefault="00600719" w:rsidP="00600719">
      <w:pPr>
        <w:tabs>
          <w:tab w:val="left" w:pos="540"/>
        </w:tabs>
        <w:spacing w:line="260" w:lineRule="exact"/>
        <w:jc w:val="both"/>
        <w:rPr>
          <w:rFonts w:ascii="Arial" w:hAnsi="Arial" w:cs="Arial"/>
          <w:bCs/>
          <w:sz w:val="18"/>
          <w:szCs w:val="18"/>
        </w:rPr>
      </w:pPr>
      <w:r w:rsidRPr="003523B4">
        <w:rPr>
          <w:rFonts w:ascii="Arial" w:hAnsi="Arial" w:cs="Arial"/>
          <w:bCs/>
          <w:sz w:val="18"/>
          <w:szCs w:val="18"/>
        </w:rPr>
        <w:t xml:space="preserve">Zarząd realizuje </w:t>
      </w:r>
      <w:r w:rsidR="00B75383">
        <w:rPr>
          <w:rFonts w:ascii="Arial" w:hAnsi="Arial" w:cs="Arial"/>
          <w:bCs/>
          <w:sz w:val="18"/>
          <w:szCs w:val="18"/>
        </w:rPr>
        <w:t>założenia</w:t>
      </w:r>
      <w:r w:rsidRPr="003523B4">
        <w:rPr>
          <w:rFonts w:ascii="Arial" w:hAnsi="Arial" w:cs="Arial"/>
          <w:bCs/>
          <w:sz w:val="18"/>
          <w:szCs w:val="18"/>
        </w:rPr>
        <w:t xml:space="preserve"> </w:t>
      </w:r>
      <w:r w:rsidR="00B75383">
        <w:rPr>
          <w:rFonts w:ascii="Arial" w:hAnsi="Arial" w:cs="Arial"/>
          <w:bCs/>
          <w:sz w:val="18"/>
          <w:szCs w:val="18"/>
        </w:rPr>
        <w:t>dotyczące</w:t>
      </w:r>
      <w:r w:rsidRPr="003523B4">
        <w:rPr>
          <w:rFonts w:ascii="Arial" w:hAnsi="Arial" w:cs="Arial"/>
          <w:bCs/>
          <w:sz w:val="18"/>
          <w:szCs w:val="18"/>
        </w:rPr>
        <w:t xml:space="preserve"> rozwoju Spółki w </w:t>
      </w:r>
      <w:r w:rsidR="00B75383">
        <w:rPr>
          <w:rFonts w:ascii="Arial" w:hAnsi="Arial" w:cs="Arial"/>
          <w:bCs/>
          <w:sz w:val="18"/>
          <w:szCs w:val="18"/>
        </w:rPr>
        <w:t>obszarze</w:t>
      </w:r>
      <w:r w:rsidRPr="003523B4">
        <w:rPr>
          <w:rFonts w:ascii="Arial" w:hAnsi="Arial" w:cs="Arial"/>
          <w:bCs/>
          <w:sz w:val="18"/>
          <w:szCs w:val="18"/>
        </w:rPr>
        <w:t xml:space="preserve"> turystyki zdrowotnej</w:t>
      </w:r>
      <w:r w:rsidR="003E325E">
        <w:rPr>
          <w:rFonts w:ascii="Arial" w:hAnsi="Arial" w:cs="Arial"/>
          <w:bCs/>
          <w:sz w:val="18"/>
          <w:szCs w:val="18"/>
        </w:rPr>
        <w:t>,</w:t>
      </w:r>
      <w:r w:rsidRPr="003523B4">
        <w:rPr>
          <w:rFonts w:ascii="Arial" w:hAnsi="Arial" w:cs="Arial"/>
          <w:bCs/>
          <w:sz w:val="18"/>
          <w:szCs w:val="18"/>
        </w:rPr>
        <w:t xml:space="preserve"> </w:t>
      </w:r>
      <w:r w:rsidR="00B75383">
        <w:rPr>
          <w:rFonts w:ascii="Arial" w:hAnsi="Arial" w:cs="Arial"/>
          <w:bCs/>
          <w:sz w:val="18"/>
          <w:szCs w:val="18"/>
        </w:rPr>
        <w:t>poprzez realizowanie zadań inwestycyjnych.</w:t>
      </w:r>
      <w:r w:rsidRPr="003523B4">
        <w:rPr>
          <w:rFonts w:ascii="Arial" w:hAnsi="Arial" w:cs="Arial"/>
          <w:bCs/>
          <w:sz w:val="18"/>
          <w:szCs w:val="18"/>
        </w:rPr>
        <w:t xml:space="preserve"> </w:t>
      </w:r>
      <w:r w:rsidR="00B75383">
        <w:rPr>
          <w:rFonts w:ascii="Arial" w:hAnsi="Arial" w:cs="Arial"/>
          <w:bCs/>
          <w:sz w:val="18"/>
          <w:szCs w:val="18"/>
        </w:rPr>
        <w:t>C</w:t>
      </w:r>
      <w:r w:rsidRPr="003523B4">
        <w:rPr>
          <w:rFonts w:ascii="Arial" w:hAnsi="Arial" w:cs="Arial"/>
          <w:bCs/>
          <w:sz w:val="18"/>
          <w:szCs w:val="18"/>
        </w:rPr>
        <w:t xml:space="preserve">zynnikiem mającym wpływ na przychody Spółki jest sytuacja związana z </w:t>
      </w:r>
      <w:r w:rsidR="00B75383">
        <w:rPr>
          <w:rFonts w:ascii="Arial" w:hAnsi="Arial" w:cs="Arial"/>
          <w:bCs/>
          <w:sz w:val="18"/>
          <w:szCs w:val="18"/>
        </w:rPr>
        <w:t xml:space="preserve">ograniczeniami </w:t>
      </w:r>
      <w:r w:rsidR="00B75383">
        <w:rPr>
          <w:rFonts w:ascii="Arial" w:hAnsi="Arial" w:cs="Arial"/>
          <w:bCs/>
          <w:sz w:val="18"/>
          <w:szCs w:val="18"/>
        </w:rPr>
        <w:br/>
        <w:t>w</w:t>
      </w:r>
      <w:r w:rsidRPr="003523B4">
        <w:rPr>
          <w:rFonts w:ascii="Arial" w:hAnsi="Arial" w:cs="Arial"/>
          <w:bCs/>
          <w:sz w:val="18"/>
          <w:szCs w:val="18"/>
        </w:rPr>
        <w:t xml:space="preserve"> działalności obiektów </w:t>
      </w:r>
      <w:r w:rsidR="003E325E">
        <w:rPr>
          <w:rFonts w:ascii="Arial" w:hAnsi="Arial" w:cs="Arial"/>
          <w:bCs/>
          <w:sz w:val="18"/>
          <w:szCs w:val="18"/>
        </w:rPr>
        <w:t>Emitenta</w:t>
      </w:r>
      <w:r w:rsidRPr="003523B4">
        <w:rPr>
          <w:rFonts w:ascii="Arial" w:hAnsi="Arial" w:cs="Arial"/>
          <w:bCs/>
          <w:sz w:val="18"/>
          <w:szCs w:val="18"/>
        </w:rPr>
        <w:t>, spowodowana Covid-19, opisana w punkcie XXIV.</w:t>
      </w:r>
    </w:p>
    <w:p w:rsidR="00600719" w:rsidRPr="003523B4" w:rsidRDefault="00600719" w:rsidP="003E325E">
      <w:pPr>
        <w:tabs>
          <w:tab w:val="left" w:pos="540"/>
        </w:tabs>
        <w:spacing w:line="260" w:lineRule="exact"/>
        <w:jc w:val="both"/>
        <w:rPr>
          <w:rFonts w:ascii="Arial" w:hAnsi="Arial" w:cs="Arial"/>
          <w:bCs/>
          <w:sz w:val="18"/>
          <w:szCs w:val="18"/>
        </w:rPr>
      </w:pPr>
      <w:r w:rsidRPr="003523B4">
        <w:rPr>
          <w:rFonts w:ascii="Arial" w:hAnsi="Arial" w:cs="Arial"/>
          <w:bCs/>
          <w:sz w:val="18"/>
          <w:szCs w:val="18"/>
        </w:rPr>
        <w:t xml:space="preserve">Kluczowym dla kolejnych kwartałów będzie </w:t>
      </w:r>
      <w:r w:rsidR="003E325E">
        <w:rPr>
          <w:rFonts w:ascii="Arial" w:hAnsi="Arial" w:cs="Arial"/>
          <w:bCs/>
          <w:sz w:val="18"/>
          <w:szCs w:val="18"/>
        </w:rPr>
        <w:t>prawne przywrócenie funkcjonowania obiektów w pełnym zakresie oraz</w:t>
      </w:r>
      <w:r w:rsidRPr="003523B4">
        <w:rPr>
          <w:rFonts w:ascii="Arial" w:hAnsi="Arial" w:cs="Arial"/>
          <w:bCs/>
          <w:sz w:val="18"/>
          <w:szCs w:val="18"/>
        </w:rPr>
        <w:t xml:space="preserve"> planowana inwestycja w obiekcie INTERFERIE w Kołobrzegu.</w:t>
      </w:r>
    </w:p>
    <w:p w:rsidR="00600719" w:rsidRPr="003523B4" w:rsidRDefault="00600719" w:rsidP="00600719">
      <w:pPr>
        <w:tabs>
          <w:tab w:val="left" w:pos="540"/>
        </w:tabs>
        <w:spacing w:line="260" w:lineRule="exact"/>
        <w:jc w:val="both"/>
        <w:rPr>
          <w:rFonts w:ascii="Arial" w:hAnsi="Arial" w:cs="Arial"/>
          <w:sz w:val="18"/>
          <w:szCs w:val="18"/>
        </w:rPr>
      </w:pPr>
    </w:p>
    <w:p w:rsidR="00600719" w:rsidRPr="003523B4" w:rsidRDefault="00600719" w:rsidP="00600719">
      <w:pPr>
        <w:autoSpaceDE w:val="0"/>
        <w:autoSpaceDN w:val="0"/>
        <w:adjustRightInd w:val="0"/>
        <w:jc w:val="both"/>
        <w:rPr>
          <w:rFonts w:ascii="Arial" w:hAnsi="Arial" w:cs="Arial"/>
          <w:sz w:val="18"/>
          <w:szCs w:val="18"/>
        </w:rPr>
      </w:pPr>
      <w:r w:rsidRPr="003523B4">
        <w:rPr>
          <w:rFonts w:ascii="Arial" w:hAnsi="Arial" w:cs="Arial"/>
          <w:sz w:val="18"/>
          <w:szCs w:val="18"/>
        </w:rPr>
        <w:t>Na dzień bilansowy zarząd emitenta przeprowadził procedurę oceny istnienia przesłanek świadczącyc</w:t>
      </w:r>
      <w:r w:rsidR="006D578F">
        <w:rPr>
          <w:rFonts w:ascii="Arial" w:hAnsi="Arial" w:cs="Arial"/>
          <w:sz w:val="18"/>
          <w:szCs w:val="18"/>
        </w:rPr>
        <w:t xml:space="preserve">h </w:t>
      </w:r>
      <w:r w:rsidR="006D578F">
        <w:rPr>
          <w:rFonts w:ascii="Arial" w:hAnsi="Arial" w:cs="Arial"/>
          <w:sz w:val="18"/>
          <w:szCs w:val="18"/>
        </w:rPr>
        <w:br/>
        <w:t>o możliwości utraty wartości</w:t>
      </w:r>
      <w:r w:rsidRPr="003523B4">
        <w:rPr>
          <w:rFonts w:ascii="Arial" w:hAnsi="Arial" w:cs="Arial"/>
          <w:sz w:val="18"/>
          <w:szCs w:val="18"/>
        </w:rPr>
        <w:t xml:space="preserve">. </w:t>
      </w:r>
    </w:p>
    <w:p w:rsidR="00600719" w:rsidRPr="003523B4" w:rsidRDefault="00600719" w:rsidP="00600719">
      <w:pPr>
        <w:autoSpaceDE w:val="0"/>
        <w:autoSpaceDN w:val="0"/>
        <w:adjustRightInd w:val="0"/>
        <w:jc w:val="both"/>
        <w:rPr>
          <w:rFonts w:ascii="Arial" w:hAnsi="Arial" w:cs="Arial"/>
          <w:sz w:val="18"/>
          <w:szCs w:val="18"/>
        </w:rPr>
      </w:pPr>
    </w:p>
    <w:p w:rsidR="00600719" w:rsidRPr="003523B4" w:rsidRDefault="00600719" w:rsidP="00600719">
      <w:pPr>
        <w:autoSpaceDE w:val="0"/>
        <w:autoSpaceDN w:val="0"/>
        <w:adjustRightInd w:val="0"/>
        <w:jc w:val="both"/>
        <w:rPr>
          <w:rFonts w:ascii="Arial" w:hAnsi="Arial" w:cs="Arial"/>
          <w:color w:val="000000"/>
          <w:sz w:val="18"/>
          <w:szCs w:val="18"/>
        </w:rPr>
      </w:pPr>
      <w:r w:rsidRPr="003523B4">
        <w:rPr>
          <w:rFonts w:ascii="Arial" w:hAnsi="Arial" w:cs="Arial"/>
          <w:color w:val="000000"/>
          <w:sz w:val="18"/>
          <w:szCs w:val="18"/>
        </w:rPr>
        <w:t xml:space="preserve">Oceniając istnienie przesłanek świadczących o możliwości utraty wartości któregoś ze składników aktywów, zarząd emitenta dokonał analizy co najmniej następujących przesłanek: </w:t>
      </w:r>
    </w:p>
    <w:p w:rsidR="00600719" w:rsidRPr="003523B4" w:rsidRDefault="00600719" w:rsidP="00600719">
      <w:pPr>
        <w:autoSpaceDE w:val="0"/>
        <w:autoSpaceDN w:val="0"/>
        <w:adjustRightInd w:val="0"/>
        <w:jc w:val="both"/>
        <w:rPr>
          <w:rFonts w:ascii="Arial" w:hAnsi="Arial" w:cs="Arial"/>
          <w:bCs/>
          <w:color w:val="000000"/>
          <w:sz w:val="18"/>
          <w:szCs w:val="18"/>
        </w:rPr>
      </w:pPr>
    </w:p>
    <w:p w:rsidR="00600719" w:rsidRPr="003523B4" w:rsidRDefault="00600719" w:rsidP="00600719">
      <w:pPr>
        <w:autoSpaceDE w:val="0"/>
        <w:autoSpaceDN w:val="0"/>
        <w:adjustRightInd w:val="0"/>
        <w:jc w:val="both"/>
        <w:rPr>
          <w:rFonts w:ascii="Arial" w:hAnsi="Arial" w:cs="Arial"/>
          <w:bCs/>
          <w:color w:val="000000"/>
          <w:sz w:val="18"/>
          <w:szCs w:val="18"/>
        </w:rPr>
      </w:pPr>
      <w:r w:rsidRPr="003523B4">
        <w:rPr>
          <w:rFonts w:ascii="Arial" w:hAnsi="Arial" w:cs="Arial"/>
          <w:bCs/>
          <w:color w:val="000000"/>
          <w:sz w:val="18"/>
          <w:szCs w:val="18"/>
        </w:rPr>
        <w:t>Przesłanki pochodzące z zewnętrznych źródeł informacji:</w:t>
      </w:r>
    </w:p>
    <w:p w:rsidR="00600719" w:rsidRPr="003523B4" w:rsidRDefault="00600719" w:rsidP="00600719">
      <w:pPr>
        <w:autoSpaceDE w:val="0"/>
        <w:autoSpaceDN w:val="0"/>
        <w:adjustRightInd w:val="0"/>
        <w:jc w:val="both"/>
        <w:rPr>
          <w:rFonts w:ascii="Arial" w:hAnsi="Arial" w:cs="Arial"/>
          <w:color w:val="000000"/>
          <w:sz w:val="18"/>
          <w:szCs w:val="18"/>
        </w:rPr>
      </w:pPr>
    </w:p>
    <w:p w:rsidR="00600719" w:rsidRPr="003523B4" w:rsidRDefault="00600719" w:rsidP="00600719">
      <w:pPr>
        <w:pStyle w:val="Akapitzlist"/>
        <w:numPr>
          <w:ilvl w:val="0"/>
          <w:numId w:val="47"/>
        </w:numPr>
        <w:autoSpaceDE w:val="0"/>
        <w:autoSpaceDN w:val="0"/>
        <w:adjustRightInd w:val="0"/>
        <w:spacing w:after="200" w:line="276" w:lineRule="auto"/>
        <w:jc w:val="both"/>
        <w:rPr>
          <w:rFonts w:ascii="Arial" w:hAnsi="Arial" w:cs="Arial"/>
          <w:color w:val="000000"/>
          <w:sz w:val="18"/>
          <w:szCs w:val="18"/>
        </w:rPr>
      </w:pPr>
      <w:r w:rsidRPr="003523B4">
        <w:rPr>
          <w:rFonts w:ascii="Arial" w:hAnsi="Arial" w:cs="Arial"/>
          <w:color w:val="000000"/>
          <w:sz w:val="18"/>
          <w:szCs w:val="18"/>
        </w:rPr>
        <w:t xml:space="preserve">istnieją obserwowalne przesłanki, że wartość rynkowa składnika aktywów spadła w danym okresie znacznie bardziej niż oczekiwano by wraz z upływem czasu lub w związku z normalnym użyciem, </w:t>
      </w:r>
    </w:p>
    <w:p w:rsidR="00600719" w:rsidRPr="003523B4" w:rsidRDefault="00600719" w:rsidP="00600719">
      <w:pPr>
        <w:pStyle w:val="Akapitzlist"/>
        <w:numPr>
          <w:ilvl w:val="0"/>
          <w:numId w:val="47"/>
        </w:numPr>
        <w:autoSpaceDE w:val="0"/>
        <w:autoSpaceDN w:val="0"/>
        <w:adjustRightInd w:val="0"/>
        <w:spacing w:after="200" w:line="276" w:lineRule="auto"/>
        <w:jc w:val="both"/>
        <w:rPr>
          <w:rFonts w:ascii="Arial" w:hAnsi="Arial" w:cs="Arial"/>
          <w:color w:val="000000"/>
          <w:sz w:val="18"/>
          <w:szCs w:val="18"/>
        </w:rPr>
      </w:pPr>
      <w:r w:rsidRPr="003523B4">
        <w:rPr>
          <w:rFonts w:ascii="Arial" w:hAnsi="Arial" w:cs="Arial"/>
          <w:color w:val="000000"/>
          <w:sz w:val="18"/>
          <w:szCs w:val="18"/>
        </w:rPr>
        <w:t xml:space="preserve">w ciągu okresu nastąpiły lub nastąpią w niedalekiej przyszłości znaczące i niekorzystne dla jednostki zmiany o charakterze technologicznym, rynkowym, gospodarczym lub prawnym w otoczeniu, w którym jednostka prowadzi działalność, lub też na rynkach, na które dany składnik aktywów jest przeznaczony, </w:t>
      </w:r>
    </w:p>
    <w:p w:rsidR="00600719" w:rsidRPr="003523B4" w:rsidRDefault="00600719" w:rsidP="00600719">
      <w:pPr>
        <w:pStyle w:val="Akapitzlist"/>
        <w:numPr>
          <w:ilvl w:val="0"/>
          <w:numId w:val="47"/>
        </w:numPr>
        <w:autoSpaceDE w:val="0"/>
        <w:autoSpaceDN w:val="0"/>
        <w:adjustRightInd w:val="0"/>
        <w:spacing w:after="200" w:line="276" w:lineRule="auto"/>
        <w:jc w:val="both"/>
        <w:rPr>
          <w:rFonts w:ascii="Arial" w:hAnsi="Arial" w:cs="Arial"/>
          <w:color w:val="000000"/>
          <w:sz w:val="18"/>
          <w:szCs w:val="18"/>
        </w:rPr>
      </w:pPr>
      <w:r w:rsidRPr="003523B4">
        <w:rPr>
          <w:rFonts w:ascii="Arial" w:hAnsi="Arial" w:cs="Arial"/>
          <w:color w:val="000000"/>
          <w:sz w:val="18"/>
          <w:szCs w:val="18"/>
        </w:rPr>
        <w:t xml:space="preserve">w ciągu okresu nastąpił wzrost rynkowych stóp procentowych lub innych rynkowych stóp zwrotu </w:t>
      </w:r>
      <w:r w:rsidRPr="003523B4">
        <w:rPr>
          <w:rFonts w:ascii="Arial" w:hAnsi="Arial" w:cs="Arial"/>
          <w:color w:val="000000"/>
          <w:sz w:val="18"/>
          <w:szCs w:val="18"/>
        </w:rPr>
        <w:br/>
        <w:t xml:space="preserve">z inwestycji i prawdopodobne jest, że wzrost ten wpłynie na stopę dyskontową stosowaną do wyliczenia wartości użytkowej danego składnika aktywów i istotnie obniży wartość odzyskiwalną składnika aktywów, </w:t>
      </w:r>
    </w:p>
    <w:p w:rsidR="00600719" w:rsidRPr="003523B4" w:rsidRDefault="00600719" w:rsidP="00600719">
      <w:pPr>
        <w:pStyle w:val="Akapitzlist"/>
        <w:numPr>
          <w:ilvl w:val="0"/>
          <w:numId w:val="47"/>
        </w:numPr>
        <w:autoSpaceDE w:val="0"/>
        <w:autoSpaceDN w:val="0"/>
        <w:adjustRightInd w:val="0"/>
        <w:spacing w:after="200" w:line="276" w:lineRule="auto"/>
        <w:jc w:val="both"/>
        <w:rPr>
          <w:rFonts w:ascii="Arial" w:hAnsi="Arial" w:cs="Arial"/>
          <w:color w:val="000000"/>
          <w:sz w:val="18"/>
          <w:szCs w:val="18"/>
        </w:rPr>
      </w:pPr>
      <w:r w:rsidRPr="003523B4">
        <w:rPr>
          <w:rFonts w:ascii="Arial" w:hAnsi="Arial" w:cs="Arial"/>
          <w:color w:val="000000"/>
          <w:sz w:val="18"/>
          <w:szCs w:val="18"/>
        </w:rPr>
        <w:t xml:space="preserve">wartość bilansowa aktywów netto jednostki sporządzającej sprawozdanie finansowe jest wyższa od wartości ich rynkowej kapitalizacji. </w:t>
      </w:r>
    </w:p>
    <w:p w:rsidR="00600719" w:rsidRPr="003523B4" w:rsidRDefault="00600719" w:rsidP="00600719">
      <w:pPr>
        <w:autoSpaceDE w:val="0"/>
        <w:autoSpaceDN w:val="0"/>
        <w:adjustRightInd w:val="0"/>
        <w:jc w:val="both"/>
        <w:rPr>
          <w:rFonts w:ascii="Arial" w:hAnsi="Arial" w:cs="Arial"/>
          <w:bCs/>
          <w:color w:val="000000"/>
          <w:sz w:val="18"/>
          <w:szCs w:val="18"/>
        </w:rPr>
      </w:pPr>
      <w:r w:rsidRPr="003523B4">
        <w:rPr>
          <w:rFonts w:ascii="Arial" w:hAnsi="Arial" w:cs="Arial"/>
          <w:bCs/>
          <w:color w:val="000000"/>
          <w:sz w:val="18"/>
          <w:szCs w:val="18"/>
        </w:rPr>
        <w:t>Przesłanki pochodzące z wewnętrznych źródeł informacji:</w:t>
      </w:r>
    </w:p>
    <w:p w:rsidR="00600719" w:rsidRPr="003523B4" w:rsidRDefault="00600719" w:rsidP="00600719">
      <w:pPr>
        <w:autoSpaceDE w:val="0"/>
        <w:autoSpaceDN w:val="0"/>
        <w:adjustRightInd w:val="0"/>
        <w:jc w:val="both"/>
        <w:rPr>
          <w:rFonts w:ascii="Arial" w:hAnsi="Arial" w:cs="Arial"/>
          <w:color w:val="000000"/>
          <w:sz w:val="18"/>
          <w:szCs w:val="18"/>
        </w:rPr>
      </w:pPr>
    </w:p>
    <w:p w:rsidR="00600719" w:rsidRPr="003523B4" w:rsidRDefault="00600719" w:rsidP="00600719">
      <w:pPr>
        <w:pStyle w:val="Akapitzlist"/>
        <w:numPr>
          <w:ilvl w:val="0"/>
          <w:numId w:val="47"/>
        </w:numPr>
        <w:autoSpaceDE w:val="0"/>
        <w:autoSpaceDN w:val="0"/>
        <w:adjustRightInd w:val="0"/>
        <w:spacing w:after="200" w:line="276" w:lineRule="auto"/>
        <w:jc w:val="both"/>
        <w:rPr>
          <w:rFonts w:ascii="Arial" w:hAnsi="Arial" w:cs="Arial"/>
          <w:color w:val="000000"/>
          <w:sz w:val="18"/>
          <w:szCs w:val="18"/>
        </w:rPr>
      </w:pPr>
      <w:r w:rsidRPr="003523B4">
        <w:rPr>
          <w:rFonts w:ascii="Arial" w:hAnsi="Arial" w:cs="Arial"/>
          <w:color w:val="000000"/>
          <w:sz w:val="18"/>
          <w:szCs w:val="18"/>
        </w:rPr>
        <w:t xml:space="preserve">dostępne są dowody na to, że nastąpiła utrata przydatności danego składnika aktywów lub jego fizyczne uszkodzenie, </w:t>
      </w:r>
    </w:p>
    <w:p w:rsidR="00600719" w:rsidRPr="003523B4" w:rsidRDefault="00600719" w:rsidP="00600719">
      <w:pPr>
        <w:pStyle w:val="Akapitzlist"/>
        <w:numPr>
          <w:ilvl w:val="0"/>
          <w:numId w:val="47"/>
        </w:numPr>
        <w:autoSpaceDE w:val="0"/>
        <w:autoSpaceDN w:val="0"/>
        <w:adjustRightInd w:val="0"/>
        <w:spacing w:after="200" w:line="276" w:lineRule="auto"/>
        <w:jc w:val="both"/>
        <w:rPr>
          <w:rFonts w:ascii="Arial" w:hAnsi="Arial" w:cs="Arial"/>
          <w:color w:val="000000"/>
          <w:sz w:val="18"/>
          <w:szCs w:val="18"/>
        </w:rPr>
      </w:pPr>
      <w:r w:rsidRPr="003523B4">
        <w:rPr>
          <w:rFonts w:ascii="Arial" w:hAnsi="Arial" w:cs="Arial"/>
          <w:color w:val="000000"/>
          <w:sz w:val="18"/>
          <w:szCs w:val="18"/>
        </w:rPr>
        <w:t xml:space="preserve">w ciągu okresu nastąpiły lub też prawdopodobne jest, że w niedalekiej przyszłości nastąpią znaczące </w:t>
      </w:r>
      <w:r w:rsidRPr="003523B4">
        <w:rPr>
          <w:rFonts w:ascii="Arial" w:hAnsi="Arial" w:cs="Arial"/>
          <w:color w:val="000000"/>
          <w:sz w:val="18"/>
          <w:szCs w:val="18"/>
        </w:rPr>
        <w:br/>
        <w:t xml:space="preserve">i niekorzystne dla jednostki zmiany dotyczące zakresu lub sposobu, w jaki dany składnik aktywów jest aktualnie użytkowany, lub, zgodnie z oczekiwaniami, będzie użytkowany. Do takich zmian zalicza się niewykorzystywanie składnika aktywów, plany zaniechania działalności lub restrukturyzacji działalności, do której dany składnik należy, lub plany zbycia tego składnika aktywów przed uprzednio przewidzianym terminem oraz ponowna ocena okresu użytkowania danego składnika aktywów z nieokreślonego na okres określony. </w:t>
      </w:r>
    </w:p>
    <w:p w:rsidR="00600719" w:rsidRPr="003523B4" w:rsidRDefault="00600719" w:rsidP="00600719">
      <w:pPr>
        <w:autoSpaceDE w:val="0"/>
        <w:autoSpaceDN w:val="0"/>
        <w:adjustRightInd w:val="0"/>
        <w:spacing w:after="240"/>
        <w:jc w:val="both"/>
        <w:rPr>
          <w:rFonts w:ascii="Arial" w:hAnsi="Arial" w:cs="Arial"/>
          <w:color w:val="000000"/>
          <w:sz w:val="18"/>
          <w:szCs w:val="18"/>
        </w:rPr>
      </w:pPr>
      <w:r w:rsidRPr="003523B4">
        <w:rPr>
          <w:rFonts w:ascii="Arial" w:hAnsi="Arial" w:cs="Arial"/>
          <w:color w:val="000000"/>
          <w:sz w:val="18"/>
          <w:szCs w:val="18"/>
        </w:rPr>
        <w:t xml:space="preserve">Zarząd uznał, iż do dowodów pochodzących ze sprawozdawczości wewnętrznej wskazujących na to, że mogła nastąpić utrata wartości danego składnika aktywów, zaliczyć można następujące przesłanki: </w:t>
      </w:r>
    </w:p>
    <w:p w:rsidR="00600719" w:rsidRPr="003523B4" w:rsidRDefault="00600719" w:rsidP="00600719">
      <w:pPr>
        <w:pStyle w:val="Akapitzlist"/>
        <w:numPr>
          <w:ilvl w:val="0"/>
          <w:numId w:val="47"/>
        </w:numPr>
        <w:autoSpaceDE w:val="0"/>
        <w:autoSpaceDN w:val="0"/>
        <w:adjustRightInd w:val="0"/>
        <w:spacing w:after="200" w:line="276" w:lineRule="auto"/>
        <w:jc w:val="both"/>
        <w:rPr>
          <w:rFonts w:ascii="Arial" w:hAnsi="Arial" w:cs="Arial"/>
          <w:color w:val="000000"/>
          <w:sz w:val="18"/>
          <w:szCs w:val="18"/>
        </w:rPr>
      </w:pPr>
      <w:r w:rsidRPr="003523B4">
        <w:rPr>
          <w:rFonts w:ascii="Arial" w:hAnsi="Arial" w:cs="Arial"/>
          <w:color w:val="000000"/>
          <w:sz w:val="18"/>
          <w:szCs w:val="18"/>
        </w:rPr>
        <w:t xml:space="preserve">przepływy pieniężne wydatkowane na nabycie danego składnika aktywów lub późniejsze zapotrzebowanie na środki pieniężne przeznaczane na eksploatację lub konserwację tego składnika aktywów są znacznie wyższe niż kwoty pierwotnie przewidziane w budżecie na te cele; </w:t>
      </w:r>
    </w:p>
    <w:p w:rsidR="00600719" w:rsidRPr="003523B4" w:rsidRDefault="00600719" w:rsidP="00600719">
      <w:pPr>
        <w:pStyle w:val="Akapitzlist"/>
        <w:numPr>
          <w:ilvl w:val="0"/>
          <w:numId w:val="47"/>
        </w:numPr>
        <w:autoSpaceDE w:val="0"/>
        <w:autoSpaceDN w:val="0"/>
        <w:adjustRightInd w:val="0"/>
        <w:spacing w:after="200" w:line="276" w:lineRule="auto"/>
        <w:jc w:val="both"/>
        <w:rPr>
          <w:rFonts w:ascii="Arial" w:hAnsi="Arial" w:cs="Arial"/>
          <w:color w:val="000000"/>
          <w:sz w:val="18"/>
          <w:szCs w:val="18"/>
        </w:rPr>
      </w:pPr>
      <w:r w:rsidRPr="003523B4">
        <w:rPr>
          <w:rFonts w:ascii="Arial" w:hAnsi="Arial" w:cs="Arial"/>
          <w:color w:val="000000"/>
          <w:sz w:val="18"/>
          <w:szCs w:val="18"/>
        </w:rPr>
        <w:lastRenderedPageBreak/>
        <w:t xml:space="preserve">wystąpiły straty operacyjne lub wypływy pieniężne netto związane ze składnikiem aktywów, po podsumowaniu wyników bieżącego okresu. </w:t>
      </w:r>
    </w:p>
    <w:p w:rsidR="00600719" w:rsidRPr="003523B4" w:rsidRDefault="00600719" w:rsidP="00600719">
      <w:pPr>
        <w:autoSpaceDE w:val="0"/>
        <w:autoSpaceDN w:val="0"/>
        <w:adjustRightInd w:val="0"/>
        <w:jc w:val="both"/>
        <w:rPr>
          <w:rFonts w:ascii="Arial" w:hAnsi="Arial" w:cs="Arial"/>
          <w:color w:val="000000"/>
          <w:sz w:val="18"/>
          <w:szCs w:val="18"/>
        </w:rPr>
      </w:pPr>
    </w:p>
    <w:p w:rsidR="00600719" w:rsidRPr="003523B4" w:rsidRDefault="00600719" w:rsidP="00600719">
      <w:pPr>
        <w:autoSpaceDE w:val="0"/>
        <w:autoSpaceDN w:val="0"/>
        <w:adjustRightInd w:val="0"/>
        <w:jc w:val="both"/>
        <w:rPr>
          <w:rFonts w:ascii="Arial" w:hAnsi="Arial" w:cs="Arial"/>
          <w:color w:val="000000"/>
          <w:sz w:val="18"/>
          <w:szCs w:val="18"/>
        </w:rPr>
      </w:pPr>
      <w:r w:rsidRPr="003523B4">
        <w:rPr>
          <w:rFonts w:ascii="Arial" w:hAnsi="Arial" w:cs="Arial"/>
          <w:color w:val="000000"/>
          <w:sz w:val="18"/>
          <w:szCs w:val="18"/>
        </w:rPr>
        <w:t xml:space="preserve">Zarząd emitenta zwracał również uwagę na istnienie innych przesłanek wskazujących na to, że mogła nastąpić utrata wartości danego składnika aktywów, co nakładałoby obowiązek ustalenia jego wartości odzyskiwalnej. </w:t>
      </w:r>
    </w:p>
    <w:p w:rsidR="00600719" w:rsidRPr="003523B4" w:rsidRDefault="00600719" w:rsidP="00600719">
      <w:pPr>
        <w:autoSpaceDE w:val="0"/>
        <w:autoSpaceDN w:val="0"/>
        <w:adjustRightInd w:val="0"/>
        <w:jc w:val="both"/>
        <w:rPr>
          <w:rFonts w:ascii="Arial" w:hAnsi="Arial" w:cs="Arial"/>
          <w:color w:val="000000"/>
          <w:sz w:val="18"/>
          <w:szCs w:val="18"/>
        </w:rPr>
      </w:pPr>
    </w:p>
    <w:p w:rsidR="00600719" w:rsidRPr="003523B4" w:rsidRDefault="00600719" w:rsidP="00600719">
      <w:pPr>
        <w:autoSpaceDE w:val="0"/>
        <w:autoSpaceDN w:val="0"/>
        <w:adjustRightInd w:val="0"/>
        <w:jc w:val="both"/>
        <w:rPr>
          <w:rFonts w:ascii="Arial" w:hAnsi="Arial" w:cs="Arial"/>
          <w:color w:val="000000"/>
          <w:sz w:val="18"/>
          <w:szCs w:val="18"/>
        </w:rPr>
      </w:pPr>
      <w:r w:rsidRPr="002D538C">
        <w:rPr>
          <w:rFonts w:ascii="Arial" w:hAnsi="Arial" w:cs="Arial"/>
          <w:color w:val="000000"/>
          <w:sz w:val="18"/>
          <w:szCs w:val="18"/>
        </w:rPr>
        <w:t>30 września  2021 roku cena akcji Spółki wynosiła 4,</w:t>
      </w:r>
      <w:r>
        <w:rPr>
          <w:rFonts w:ascii="Arial" w:hAnsi="Arial" w:cs="Arial"/>
          <w:color w:val="000000"/>
          <w:sz w:val="18"/>
          <w:szCs w:val="18"/>
        </w:rPr>
        <w:t>32</w:t>
      </w:r>
      <w:r w:rsidRPr="002D538C">
        <w:rPr>
          <w:rFonts w:ascii="Arial" w:hAnsi="Arial" w:cs="Arial"/>
          <w:color w:val="000000"/>
          <w:sz w:val="18"/>
          <w:szCs w:val="18"/>
        </w:rPr>
        <w:t xml:space="preserve">00 zł, a liczba akcji wynosi 14,564 tysięcy akcji. </w:t>
      </w:r>
      <w:r w:rsidRPr="003523B4">
        <w:rPr>
          <w:rFonts w:ascii="Arial" w:hAnsi="Arial" w:cs="Arial"/>
          <w:color w:val="000000"/>
          <w:sz w:val="18"/>
          <w:szCs w:val="18"/>
        </w:rPr>
        <w:t>Wycena giełdowa spółki INTERFERIE S.A. w trakcie 2021 r. kształtowała się zatem poniżej wartości bilansowej aktywów netto spółki. W wyniku przeprowadzonych czynności między innymi wystąpienie strat operacyjnych bieżącego okresu (wpływ pandemii COVID-19) oraz niższą rynkową kapitalizację spółki od wa</w:t>
      </w:r>
      <w:r w:rsidR="006D578F">
        <w:rPr>
          <w:rFonts w:ascii="Arial" w:hAnsi="Arial" w:cs="Arial"/>
          <w:color w:val="000000"/>
          <w:sz w:val="18"/>
          <w:szCs w:val="18"/>
        </w:rPr>
        <w:t>rtości bilansowej aktywów netto</w:t>
      </w:r>
      <w:r w:rsidRPr="003523B4">
        <w:rPr>
          <w:rFonts w:ascii="Arial" w:hAnsi="Arial" w:cs="Arial"/>
          <w:color w:val="000000"/>
          <w:sz w:val="18"/>
          <w:szCs w:val="18"/>
        </w:rPr>
        <w:t xml:space="preserve"> Spółka uznała, że zaistniały przesłanki do oszacowania wartości odzyskiwalnej wartości aktywów spółki (wartość bilansowa testowanych aktywów 15</w:t>
      </w:r>
      <w:r>
        <w:rPr>
          <w:rFonts w:ascii="Arial" w:hAnsi="Arial" w:cs="Arial"/>
          <w:color w:val="000000"/>
          <w:sz w:val="18"/>
          <w:szCs w:val="18"/>
        </w:rPr>
        <w:t>3</w:t>
      </w:r>
      <w:r w:rsidRPr="003523B4">
        <w:rPr>
          <w:rFonts w:ascii="Arial" w:hAnsi="Arial" w:cs="Arial"/>
          <w:color w:val="000000"/>
          <w:sz w:val="18"/>
          <w:szCs w:val="18"/>
        </w:rPr>
        <w:t>mln PLN).</w:t>
      </w:r>
    </w:p>
    <w:p w:rsidR="00600719" w:rsidRPr="003523B4" w:rsidRDefault="00600719" w:rsidP="00600719">
      <w:pPr>
        <w:tabs>
          <w:tab w:val="left" w:pos="540"/>
        </w:tabs>
        <w:spacing w:line="260" w:lineRule="exact"/>
        <w:jc w:val="both"/>
        <w:rPr>
          <w:rFonts w:ascii="Arial" w:hAnsi="Arial" w:cs="Arial"/>
          <w:sz w:val="18"/>
          <w:szCs w:val="18"/>
        </w:rPr>
      </w:pPr>
    </w:p>
    <w:p w:rsidR="00600719" w:rsidRPr="003523B4" w:rsidRDefault="00600719" w:rsidP="00600719">
      <w:pPr>
        <w:autoSpaceDE w:val="0"/>
        <w:autoSpaceDN w:val="0"/>
        <w:adjustRightInd w:val="0"/>
        <w:jc w:val="both"/>
        <w:rPr>
          <w:rFonts w:ascii="Arial" w:hAnsi="Arial" w:cs="Arial"/>
          <w:color w:val="000000"/>
          <w:sz w:val="18"/>
          <w:szCs w:val="18"/>
        </w:rPr>
      </w:pPr>
      <w:r w:rsidRPr="003523B4">
        <w:rPr>
          <w:rFonts w:ascii="Arial" w:hAnsi="Arial" w:cs="Arial"/>
          <w:color w:val="000000"/>
          <w:sz w:val="18"/>
          <w:szCs w:val="18"/>
        </w:rPr>
        <w:t xml:space="preserve">Na potrzeby oceny oszacowania wartości odzyskiwalnej emitent wyodrębnił następujące ośrodki wypracowujące środki pieniężne (OWSP): INTERFERIE w Ustroniu Morskim - OSW Cechsztyn, INTERFERIE w Kołobrzegu OSW Chalkozyn, INTERFERIE w Dąbkach Sanatorium Uzdrowiskowe Argentyt, INTERFERIE w Świeradowie Zdroju – Hotel Malachit i INTERFERIE w Szklarskiej Porębie - Hotel Bornit. </w:t>
      </w:r>
    </w:p>
    <w:p w:rsidR="00600719" w:rsidRPr="003523B4" w:rsidRDefault="00600719" w:rsidP="00600719">
      <w:pPr>
        <w:autoSpaceDE w:val="0"/>
        <w:autoSpaceDN w:val="0"/>
        <w:adjustRightInd w:val="0"/>
        <w:jc w:val="both"/>
        <w:rPr>
          <w:rFonts w:ascii="Arial" w:hAnsi="Arial" w:cs="Arial"/>
          <w:color w:val="000000"/>
          <w:sz w:val="18"/>
          <w:szCs w:val="18"/>
        </w:rPr>
      </w:pPr>
      <w:r w:rsidRPr="003523B4">
        <w:rPr>
          <w:rFonts w:ascii="Arial" w:hAnsi="Arial" w:cs="Arial"/>
          <w:color w:val="000000"/>
          <w:sz w:val="18"/>
          <w:szCs w:val="18"/>
        </w:rPr>
        <w:t>INTERFERIE w Głogowie spółka zakwalifikowała na dzień bilansowy zgodnie z MSSF 5 jako aktywa trwałe przeznaczone do sprzedaży.</w:t>
      </w:r>
    </w:p>
    <w:p w:rsidR="00600719" w:rsidRPr="003523B4" w:rsidRDefault="00600719" w:rsidP="00600719">
      <w:pPr>
        <w:autoSpaceDE w:val="0"/>
        <w:autoSpaceDN w:val="0"/>
        <w:adjustRightInd w:val="0"/>
        <w:jc w:val="both"/>
        <w:rPr>
          <w:rFonts w:ascii="Arial" w:hAnsi="Arial" w:cs="Arial"/>
          <w:sz w:val="18"/>
          <w:szCs w:val="18"/>
        </w:rPr>
      </w:pPr>
    </w:p>
    <w:p w:rsidR="00600719" w:rsidRPr="003523B4" w:rsidRDefault="00600719" w:rsidP="00600719">
      <w:pPr>
        <w:autoSpaceDE w:val="0"/>
        <w:autoSpaceDN w:val="0"/>
        <w:adjustRightInd w:val="0"/>
        <w:jc w:val="both"/>
        <w:rPr>
          <w:rFonts w:ascii="Arial" w:hAnsi="Arial" w:cs="Arial"/>
          <w:color w:val="000000"/>
          <w:sz w:val="18"/>
          <w:szCs w:val="18"/>
        </w:rPr>
      </w:pPr>
      <w:r w:rsidRPr="003523B4">
        <w:rPr>
          <w:rFonts w:ascii="Arial" w:hAnsi="Arial" w:cs="Arial"/>
          <w:color w:val="000000"/>
          <w:sz w:val="18"/>
          <w:szCs w:val="18"/>
        </w:rPr>
        <w:t>Dla</w:t>
      </w:r>
      <w:r w:rsidR="006D578F">
        <w:rPr>
          <w:rFonts w:ascii="Arial" w:hAnsi="Arial" w:cs="Arial"/>
          <w:color w:val="000000"/>
          <w:sz w:val="18"/>
          <w:szCs w:val="18"/>
        </w:rPr>
        <w:t xml:space="preserve"> potrzeb oceny utraty wartości </w:t>
      </w:r>
      <w:r w:rsidRPr="003523B4">
        <w:rPr>
          <w:rFonts w:ascii="Arial" w:hAnsi="Arial" w:cs="Arial"/>
          <w:color w:val="000000"/>
          <w:sz w:val="18"/>
          <w:szCs w:val="18"/>
        </w:rPr>
        <w:t xml:space="preserve">wartość odzyskiwalna aktywów została ustalona w kwocie odpowiadającej wartości godziwej pomniejszonej o koszty zbycia lub też w wartości użytkowej (będącą bieżącą, szacunkową wartością przyszłych przepływów pieniężnych, których uzyskania oczekuje się z tytułu dalszego użytkowania ośrodka wypracowującego środki pieniężne) – w zależności od tego która z nich jest wyższa. </w:t>
      </w:r>
    </w:p>
    <w:p w:rsidR="00600719" w:rsidRPr="003523B4" w:rsidRDefault="00600719" w:rsidP="00600719">
      <w:pPr>
        <w:spacing w:line="276" w:lineRule="auto"/>
        <w:rPr>
          <w:rFonts w:ascii="Arial" w:hAnsi="Arial" w:cs="Arial"/>
          <w:color w:val="000000"/>
          <w:sz w:val="18"/>
          <w:szCs w:val="18"/>
        </w:rPr>
      </w:pPr>
    </w:p>
    <w:p w:rsidR="00600719" w:rsidRPr="003523B4" w:rsidRDefault="00600719" w:rsidP="00600719">
      <w:pPr>
        <w:autoSpaceDE w:val="0"/>
        <w:autoSpaceDN w:val="0"/>
        <w:adjustRightInd w:val="0"/>
        <w:jc w:val="both"/>
        <w:rPr>
          <w:rFonts w:ascii="Arial" w:hAnsi="Arial" w:cs="Arial"/>
          <w:color w:val="000000"/>
          <w:sz w:val="18"/>
          <w:szCs w:val="18"/>
        </w:rPr>
      </w:pPr>
      <w:r w:rsidRPr="003523B4">
        <w:rPr>
          <w:rFonts w:ascii="Arial" w:hAnsi="Arial" w:cs="Arial"/>
          <w:color w:val="000000"/>
          <w:sz w:val="18"/>
          <w:szCs w:val="18"/>
        </w:rPr>
        <w:t xml:space="preserve">Wartość odzyskiwalna została ustalona na podstawie sumy przyszłych przepływów pieniężnych wyodrębnionych OWSP zdyskontowanych stopą oszacowaną na podstawie wskaźników stosowanych w branży hotelarskiej </w:t>
      </w:r>
      <w:r w:rsidRPr="003523B4">
        <w:rPr>
          <w:rFonts w:ascii="Arial" w:hAnsi="Arial" w:cs="Arial"/>
          <w:color w:val="000000"/>
          <w:sz w:val="18"/>
          <w:szCs w:val="18"/>
        </w:rPr>
        <w:br/>
        <w:t xml:space="preserve">w obiektach: </w:t>
      </w:r>
    </w:p>
    <w:p w:rsidR="00600719" w:rsidRPr="003523B4" w:rsidRDefault="00600719" w:rsidP="00600719">
      <w:pPr>
        <w:pStyle w:val="Akapitzlist"/>
        <w:numPr>
          <w:ilvl w:val="0"/>
          <w:numId w:val="48"/>
        </w:numPr>
        <w:autoSpaceDE w:val="0"/>
        <w:autoSpaceDN w:val="0"/>
        <w:adjustRightInd w:val="0"/>
        <w:spacing w:after="200" w:line="276" w:lineRule="auto"/>
        <w:jc w:val="both"/>
        <w:rPr>
          <w:rFonts w:ascii="Arial" w:hAnsi="Arial" w:cs="Arial"/>
          <w:color w:val="000000"/>
          <w:sz w:val="18"/>
          <w:szCs w:val="18"/>
        </w:rPr>
      </w:pPr>
      <w:r w:rsidRPr="003523B4">
        <w:rPr>
          <w:rFonts w:ascii="Arial" w:hAnsi="Arial" w:cs="Arial"/>
          <w:color w:val="000000"/>
          <w:sz w:val="18"/>
          <w:szCs w:val="18"/>
        </w:rPr>
        <w:t xml:space="preserve">INTERFERIE w Ustroniu Morskim - OSW Cechsztyn, </w:t>
      </w:r>
    </w:p>
    <w:p w:rsidR="00600719" w:rsidRPr="003523B4" w:rsidRDefault="00600719" w:rsidP="00600719">
      <w:pPr>
        <w:pStyle w:val="Akapitzlist"/>
        <w:numPr>
          <w:ilvl w:val="0"/>
          <w:numId w:val="48"/>
        </w:numPr>
        <w:autoSpaceDE w:val="0"/>
        <w:autoSpaceDN w:val="0"/>
        <w:adjustRightInd w:val="0"/>
        <w:spacing w:after="200" w:line="276" w:lineRule="auto"/>
        <w:jc w:val="both"/>
        <w:rPr>
          <w:rFonts w:ascii="Arial" w:hAnsi="Arial" w:cs="Arial"/>
          <w:color w:val="000000"/>
          <w:sz w:val="18"/>
          <w:szCs w:val="18"/>
        </w:rPr>
      </w:pPr>
      <w:r w:rsidRPr="003523B4">
        <w:rPr>
          <w:rFonts w:ascii="Arial" w:hAnsi="Arial" w:cs="Arial"/>
          <w:color w:val="000000"/>
          <w:sz w:val="18"/>
          <w:szCs w:val="18"/>
        </w:rPr>
        <w:t xml:space="preserve">INTERFERIE w Kołobrzegu OSW Chalkozyn, </w:t>
      </w:r>
    </w:p>
    <w:p w:rsidR="00600719" w:rsidRPr="003523B4" w:rsidRDefault="00600719" w:rsidP="00600719">
      <w:pPr>
        <w:pStyle w:val="Akapitzlist"/>
        <w:numPr>
          <w:ilvl w:val="0"/>
          <w:numId w:val="48"/>
        </w:numPr>
        <w:autoSpaceDE w:val="0"/>
        <w:autoSpaceDN w:val="0"/>
        <w:adjustRightInd w:val="0"/>
        <w:spacing w:after="200" w:line="276" w:lineRule="auto"/>
        <w:jc w:val="both"/>
        <w:rPr>
          <w:rFonts w:ascii="Arial" w:hAnsi="Arial" w:cs="Arial"/>
          <w:color w:val="000000"/>
          <w:sz w:val="18"/>
          <w:szCs w:val="18"/>
        </w:rPr>
      </w:pPr>
      <w:r w:rsidRPr="003523B4">
        <w:rPr>
          <w:rFonts w:ascii="Arial" w:hAnsi="Arial" w:cs="Arial"/>
          <w:color w:val="000000"/>
          <w:sz w:val="18"/>
          <w:szCs w:val="18"/>
        </w:rPr>
        <w:t xml:space="preserve">INTERFERIE w Dąbkach Sanatorium Uzdrowiskowe Argentyt </w:t>
      </w:r>
    </w:p>
    <w:p w:rsidR="00600719" w:rsidRPr="003523B4" w:rsidRDefault="00600719" w:rsidP="00600719">
      <w:pPr>
        <w:autoSpaceDE w:val="0"/>
        <w:autoSpaceDN w:val="0"/>
        <w:adjustRightInd w:val="0"/>
        <w:jc w:val="both"/>
        <w:rPr>
          <w:rFonts w:ascii="Arial" w:hAnsi="Arial" w:cs="Arial"/>
          <w:color w:val="000000"/>
          <w:sz w:val="18"/>
          <w:szCs w:val="18"/>
        </w:rPr>
      </w:pPr>
      <w:r w:rsidRPr="003523B4">
        <w:rPr>
          <w:rFonts w:ascii="Arial" w:hAnsi="Arial" w:cs="Arial"/>
          <w:color w:val="000000"/>
          <w:sz w:val="18"/>
          <w:szCs w:val="18"/>
        </w:rPr>
        <w:t xml:space="preserve">Wartość odzyskiwalna została ustalona na podstawie wartości godziwej pomniejszonej o koszty sprzedaży (na podstawie operatów szacunkowych sporządzonych przez rzeczoznawców majątkowych) w obiektach: </w:t>
      </w:r>
    </w:p>
    <w:p w:rsidR="00600719" w:rsidRPr="003523B4" w:rsidRDefault="00600719" w:rsidP="00600719">
      <w:pPr>
        <w:pStyle w:val="Akapitzlist"/>
        <w:numPr>
          <w:ilvl w:val="0"/>
          <w:numId w:val="48"/>
        </w:numPr>
        <w:autoSpaceDE w:val="0"/>
        <w:autoSpaceDN w:val="0"/>
        <w:adjustRightInd w:val="0"/>
        <w:spacing w:after="200" w:line="276" w:lineRule="auto"/>
        <w:jc w:val="both"/>
        <w:rPr>
          <w:rFonts w:ascii="Arial" w:hAnsi="Arial" w:cs="Arial"/>
          <w:color w:val="000000"/>
          <w:sz w:val="18"/>
          <w:szCs w:val="18"/>
        </w:rPr>
      </w:pPr>
      <w:r w:rsidRPr="003523B4">
        <w:rPr>
          <w:rFonts w:ascii="Arial" w:hAnsi="Arial" w:cs="Arial"/>
          <w:color w:val="000000"/>
          <w:sz w:val="18"/>
          <w:szCs w:val="18"/>
        </w:rPr>
        <w:t>INTERFERIE w Głogowie,</w:t>
      </w:r>
    </w:p>
    <w:p w:rsidR="00600719" w:rsidRPr="003523B4" w:rsidRDefault="00600719" w:rsidP="00600719">
      <w:pPr>
        <w:pStyle w:val="Akapitzlist"/>
        <w:numPr>
          <w:ilvl w:val="0"/>
          <w:numId w:val="48"/>
        </w:numPr>
        <w:autoSpaceDE w:val="0"/>
        <w:autoSpaceDN w:val="0"/>
        <w:adjustRightInd w:val="0"/>
        <w:spacing w:after="200" w:line="276" w:lineRule="auto"/>
        <w:jc w:val="both"/>
        <w:rPr>
          <w:rFonts w:ascii="Arial" w:hAnsi="Arial" w:cs="Arial"/>
          <w:color w:val="000000"/>
          <w:sz w:val="18"/>
          <w:szCs w:val="18"/>
        </w:rPr>
      </w:pPr>
      <w:r w:rsidRPr="003523B4">
        <w:rPr>
          <w:rFonts w:ascii="Arial" w:hAnsi="Arial" w:cs="Arial"/>
          <w:color w:val="000000"/>
          <w:sz w:val="18"/>
          <w:szCs w:val="18"/>
        </w:rPr>
        <w:t>INTERFERIE Hotel Bornit w Szklarskiej Porębie,</w:t>
      </w:r>
    </w:p>
    <w:p w:rsidR="00600719" w:rsidRPr="003523B4" w:rsidRDefault="00600719" w:rsidP="00600719">
      <w:pPr>
        <w:pStyle w:val="Akapitzlist"/>
        <w:numPr>
          <w:ilvl w:val="0"/>
          <w:numId w:val="48"/>
        </w:numPr>
        <w:autoSpaceDE w:val="0"/>
        <w:autoSpaceDN w:val="0"/>
        <w:adjustRightInd w:val="0"/>
        <w:spacing w:after="200" w:line="276" w:lineRule="auto"/>
        <w:jc w:val="both"/>
        <w:rPr>
          <w:rFonts w:ascii="Arial" w:hAnsi="Arial" w:cs="Arial"/>
          <w:color w:val="000000"/>
          <w:sz w:val="18"/>
          <w:szCs w:val="18"/>
        </w:rPr>
      </w:pPr>
      <w:r w:rsidRPr="003523B4">
        <w:rPr>
          <w:rFonts w:ascii="Arial" w:hAnsi="Arial" w:cs="Arial"/>
          <w:color w:val="000000"/>
          <w:sz w:val="18"/>
          <w:szCs w:val="18"/>
        </w:rPr>
        <w:t>INTERFERIE Hotel Malachit w Świeradowie Zdroju.</w:t>
      </w:r>
    </w:p>
    <w:p w:rsidR="00600719" w:rsidRPr="003523B4" w:rsidRDefault="00600719" w:rsidP="00600719">
      <w:pPr>
        <w:autoSpaceDE w:val="0"/>
        <w:autoSpaceDN w:val="0"/>
        <w:adjustRightInd w:val="0"/>
        <w:spacing w:line="276" w:lineRule="auto"/>
        <w:jc w:val="both"/>
        <w:rPr>
          <w:rFonts w:ascii="Arial" w:hAnsi="Arial" w:cs="Arial"/>
          <w:color w:val="000000"/>
          <w:sz w:val="8"/>
          <w:szCs w:val="18"/>
        </w:rPr>
      </w:pPr>
    </w:p>
    <w:p w:rsidR="00600719" w:rsidRPr="003523B4" w:rsidRDefault="00600719" w:rsidP="00600719">
      <w:pPr>
        <w:autoSpaceDE w:val="0"/>
        <w:autoSpaceDN w:val="0"/>
        <w:adjustRightInd w:val="0"/>
        <w:jc w:val="both"/>
        <w:rPr>
          <w:rFonts w:ascii="Arial" w:hAnsi="Arial" w:cs="Arial"/>
          <w:sz w:val="18"/>
          <w:szCs w:val="18"/>
        </w:rPr>
      </w:pPr>
      <w:r w:rsidRPr="003523B4">
        <w:rPr>
          <w:rFonts w:ascii="Arial" w:hAnsi="Arial" w:cs="Arial"/>
          <w:sz w:val="18"/>
          <w:szCs w:val="18"/>
        </w:rPr>
        <w:t>Spółka przeprowadziła testy na utratę wartości przyjmując następujące założenia:</w:t>
      </w:r>
    </w:p>
    <w:p w:rsidR="00600719" w:rsidRPr="003523B4" w:rsidRDefault="00600719" w:rsidP="00600719">
      <w:pPr>
        <w:pStyle w:val="Akapitzlist"/>
        <w:numPr>
          <w:ilvl w:val="0"/>
          <w:numId w:val="49"/>
        </w:numPr>
        <w:autoSpaceDE w:val="0"/>
        <w:autoSpaceDN w:val="0"/>
        <w:adjustRightInd w:val="0"/>
        <w:spacing w:after="200" w:line="276" w:lineRule="auto"/>
        <w:jc w:val="both"/>
        <w:rPr>
          <w:rFonts w:ascii="Arial" w:hAnsi="Arial" w:cs="Arial"/>
          <w:sz w:val="18"/>
          <w:szCs w:val="18"/>
        </w:rPr>
      </w:pPr>
      <w:r w:rsidRPr="003523B4">
        <w:rPr>
          <w:rFonts w:ascii="Arial" w:hAnsi="Arial" w:cs="Arial"/>
          <w:sz w:val="18"/>
          <w:szCs w:val="18"/>
        </w:rPr>
        <w:t xml:space="preserve">Spółka będzie kontynuowała działalność w niezmienionym istotnie zakresie z wykorzystaniem obecnych jednostek eksploatacyjnych za wyjątkiem INTERFERIE w Głogowie przeznaczonym do zbycia. </w:t>
      </w:r>
    </w:p>
    <w:p w:rsidR="00600719" w:rsidRPr="003523B4" w:rsidRDefault="00600719" w:rsidP="00600719">
      <w:pPr>
        <w:pStyle w:val="Akapitzlist"/>
        <w:numPr>
          <w:ilvl w:val="0"/>
          <w:numId w:val="49"/>
        </w:numPr>
        <w:autoSpaceDE w:val="0"/>
        <w:autoSpaceDN w:val="0"/>
        <w:adjustRightInd w:val="0"/>
        <w:spacing w:after="200" w:line="276" w:lineRule="auto"/>
        <w:jc w:val="both"/>
        <w:rPr>
          <w:rFonts w:ascii="Arial" w:hAnsi="Arial" w:cs="Arial"/>
          <w:sz w:val="18"/>
          <w:szCs w:val="18"/>
        </w:rPr>
      </w:pPr>
      <w:r w:rsidRPr="003523B4">
        <w:rPr>
          <w:rFonts w:ascii="Arial" w:hAnsi="Arial" w:cs="Arial"/>
          <w:sz w:val="18"/>
          <w:szCs w:val="18"/>
        </w:rPr>
        <w:t>Przepływy pieniężne przyjęte na podstawie wiarygodnych szacunków Zarządu INTERFERIE S.A. akceptowanych przez Radę Nadzorczą Spółki.</w:t>
      </w:r>
    </w:p>
    <w:p w:rsidR="00600719" w:rsidRPr="003523B4" w:rsidRDefault="00600719" w:rsidP="00600719">
      <w:pPr>
        <w:pStyle w:val="Akapitzlist"/>
        <w:numPr>
          <w:ilvl w:val="0"/>
          <w:numId w:val="49"/>
        </w:numPr>
        <w:autoSpaceDE w:val="0"/>
        <w:autoSpaceDN w:val="0"/>
        <w:adjustRightInd w:val="0"/>
        <w:spacing w:after="200" w:line="276" w:lineRule="auto"/>
        <w:jc w:val="both"/>
        <w:rPr>
          <w:rFonts w:ascii="Arial" w:hAnsi="Arial" w:cs="Arial"/>
          <w:sz w:val="18"/>
          <w:szCs w:val="18"/>
        </w:rPr>
      </w:pPr>
      <w:r w:rsidRPr="003523B4">
        <w:rPr>
          <w:rFonts w:ascii="Arial" w:hAnsi="Arial" w:cs="Arial"/>
          <w:sz w:val="18"/>
          <w:szCs w:val="18"/>
        </w:rPr>
        <w:t>Nakłady inwestycyjne w okresie prognozy przyjęte na podstawie budżetu inwestycyjnego Spółki i planów Zarządu uzgodnionych z Radą Nadzorczą Spółki (na okres 5 lat dla INTERFERIE w Ustroniu Morskim - OWS Cechsztyn, oraz 10 lat dla podlegających inwestycji INTERFERIE w Kołobrzegu – OSW Chalkozyn oraz INTERFERIE w Dąbkach Sanatorium Uzdrowiskowe Argentyt).</w:t>
      </w:r>
    </w:p>
    <w:p w:rsidR="00600719" w:rsidRPr="003523B4" w:rsidRDefault="00600719" w:rsidP="00600719">
      <w:pPr>
        <w:pStyle w:val="Akapitzlist"/>
        <w:numPr>
          <w:ilvl w:val="0"/>
          <w:numId w:val="49"/>
        </w:numPr>
        <w:spacing w:after="200" w:line="276" w:lineRule="auto"/>
        <w:jc w:val="both"/>
        <w:rPr>
          <w:rFonts w:ascii="Arial" w:hAnsi="Arial" w:cs="Arial"/>
          <w:sz w:val="18"/>
          <w:szCs w:val="18"/>
        </w:rPr>
      </w:pPr>
      <w:r w:rsidRPr="003523B4">
        <w:rPr>
          <w:rFonts w:ascii="Arial" w:hAnsi="Arial" w:cs="Arial"/>
          <w:sz w:val="18"/>
          <w:szCs w:val="18"/>
        </w:rPr>
        <w:t xml:space="preserve">Stopa dyskontowa skalkulowana na poziomie 9,12%, netto przy przyjęciu aktualnych parametrów makroekonomicznych oraz branżowych dla Spółki. </w:t>
      </w:r>
    </w:p>
    <w:p w:rsidR="00600719" w:rsidRPr="003523B4" w:rsidRDefault="00600719" w:rsidP="00600719">
      <w:pPr>
        <w:pStyle w:val="Akapitzlist"/>
        <w:numPr>
          <w:ilvl w:val="0"/>
          <w:numId w:val="49"/>
        </w:numPr>
        <w:autoSpaceDE w:val="0"/>
        <w:autoSpaceDN w:val="0"/>
        <w:adjustRightInd w:val="0"/>
        <w:spacing w:after="200" w:line="276" w:lineRule="auto"/>
        <w:jc w:val="both"/>
        <w:rPr>
          <w:rFonts w:ascii="Arial" w:hAnsi="Arial" w:cs="Arial"/>
          <w:sz w:val="18"/>
          <w:szCs w:val="18"/>
        </w:rPr>
      </w:pPr>
      <w:r w:rsidRPr="003523B4">
        <w:rPr>
          <w:rFonts w:ascii="Arial" w:hAnsi="Arial" w:cs="Arial"/>
          <w:sz w:val="18"/>
          <w:szCs w:val="18"/>
        </w:rPr>
        <w:t>Przyjęto koszty doprowadzenia do sprzedaży w łącznej wysokości 3% (w tym: koszty usług prawnych, biura nieruchomości i inne obciążenia związane z transakcją sprzedaży).</w:t>
      </w:r>
    </w:p>
    <w:p w:rsidR="00600719" w:rsidRPr="003523B4" w:rsidRDefault="00600719" w:rsidP="00600719">
      <w:pPr>
        <w:autoSpaceDE w:val="0"/>
        <w:autoSpaceDN w:val="0"/>
        <w:adjustRightInd w:val="0"/>
        <w:jc w:val="both"/>
        <w:rPr>
          <w:rFonts w:ascii="Arial" w:hAnsi="Arial" w:cs="Arial"/>
          <w:sz w:val="18"/>
          <w:szCs w:val="18"/>
        </w:rPr>
      </w:pPr>
      <w:r w:rsidRPr="003523B4">
        <w:rPr>
          <w:rFonts w:ascii="Arial" w:hAnsi="Arial" w:cs="Arial"/>
          <w:sz w:val="18"/>
          <w:szCs w:val="18"/>
        </w:rPr>
        <w:t>W wyniku przeprowadzonego testu na utratę wartości aktywów spółki oszacowana wartość odzyskiwalna aktywów była na poziomie wyższym niż wartość bilansowa aktywów, co zgodnie z MSR 36 par. 8 - nie dało podstaw do dokonania odpisu z tytułu utraty wartości.</w:t>
      </w:r>
    </w:p>
    <w:p w:rsidR="00600719" w:rsidRPr="003523B4" w:rsidRDefault="00600719" w:rsidP="00600719">
      <w:pPr>
        <w:autoSpaceDE w:val="0"/>
        <w:autoSpaceDN w:val="0"/>
        <w:adjustRightInd w:val="0"/>
        <w:jc w:val="both"/>
        <w:rPr>
          <w:rFonts w:ascii="Arial" w:hAnsi="Arial" w:cs="Arial"/>
          <w:sz w:val="18"/>
          <w:szCs w:val="18"/>
        </w:rPr>
      </w:pPr>
    </w:p>
    <w:p w:rsidR="00600719" w:rsidRPr="003523B4" w:rsidRDefault="00600719" w:rsidP="00600719">
      <w:pPr>
        <w:autoSpaceDE w:val="0"/>
        <w:autoSpaceDN w:val="0"/>
        <w:adjustRightInd w:val="0"/>
        <w:jc w:val="both"/>
        <w:rPr>
          <w:rFonts w:ascii="Arial" w:hAnsi="Arial" w:cs="Arial"/>
          <w:sz w:val="18"/>
          <w:szCs w:val="18"/>
        </w:rPr>
      </w:pPr>
      <w:r w:rsidRPr="003523B4">
        <w:rPr>
          <w:rFonts w:ascii="Arial" w:hAnsi="Arial" w:cs="Arial"/>
          <w:sz w:val="18"/>
          <w:szCs w:val="18"/>
        </w:rPr>
        <w:t>W ocenie Zarządu cena akcji Spółki (niska kapitalizacja) wynika m.in. z ich niewielkiej płynności (co jest związane ze stałym akcjonariatem), a także trwającym procesem odbudowy wartości Spółki.</w:t>
      </w:r>
    </w:p>
    <w:p w:rsidR="00600719" w:rsidRPr="00C42EEA" w:rsidRDefault="00600719" w:rsidP="00600719">
      <w:pPr>
        <w:rPr>
          <w:rFonts w:ascii="Arial" w:hAnsi="Arial" w:cs="Arial"/>
          <w:sz w:val="18"/>
          <w:szCs w:val="18"/>
          <w:highlight w:val="yellow"/>
        </w:rPr>
      </w:pPr>
    </w:p>
    <w:p w:rsidR="00600719" w:rsidRPr="00C42EEA" w:rsidRDefault="00600719" w:rsidP="00600719">
      <w:pPr>
        <w:rPr>
          <w:rFonts w:ascii="Arial" w:hAnsi="Arial" w:cs="Arial"/>
          <w:sz w:val="18"/>
          <w:szCs w:val="18"/>
          <w:highlight w:val="yellow"/>
        </w:rPr>
      </w:pPr>
    </w:p>
    <w:p w:rsidR="00600719" w:rsidRPr="0043066A" w:rsidRDefault="00600719" w:rsidP="00600719">
      <w:pPr>
        <w:autoSpaceDE w:val="0"/>
        <w:autoSpaceDN w:val="0"/>
        <w:adjustRightInd w:val="0"/>
        <w:jc w:val="both"/>
        <w:rPr>
          <w:rFonts w:ascii="Arial" w:hAnsi="Arial" w:cs="Arial"/>
          <w:sz w:val="18"/>
          <w:szCs w:val="18"/>
        </w:rPr>
      </w:pPr>
      <w:r w:rsidRPr="0043066A">
        <w:rPr>
          <w:rFonts w:ascii="Arial" w:hAnsi="Arial" w:cs="Arial"/>
          <w:sz w:val="18"/>
          <w:szCs w:val="18"/>
        </w:rPr>
        <w:lastRenderedPageBreak/>
        <w:t>Podsumowanie ustalonych wartości odzyskiwalnych:</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1646"/>
        <w:gridCol w:w="1647"/>
      </w:tblGrid>
      <w:tr w:rsidR="00600719" w:rsidRPr="00F06708" w:rsidTr="006D578F">
        <w:trPr>
          <w:trHeight w:val="552"/>
        </w:trPr>
        <w:tc>
          <w:tcPr>
            <w:tcW w:w="5778" w:type="dxa"/>
          </w:tcPr>
          <w:p w:rsidR="00600719" w:rsidRPr="00F06708" w:rsidRDefault="00600719" w:rsidP="006D578F">
            <w:pPr>
              <w:autoSpaceDE w:val="0"/>
              <w:autoSpaceDN w:val="0"/>
              <w:adjustRightInd w:val="0"/>
              <w:jc w:val="both"/>
              <w:rPr>
                <w:rFonts w:ascii="Arial" w:hAnsi="Arial" w:cs="Arial"/>
                <w:sz w:val="16"/>
                <w:szCs w:val="16"/>
              </w:rPr>
            </w:pPr>
          </w:p>
        </w:tc>
        <w:tc>
          <w:tcPr>
            <w:tcW w:w="1646" w:type="dxa"/>
            <w:vAlign w:val="center"/>
            <w:hideMark/>
          </w:tcPr>
          <w:p w:rsidR="00600719" w:rsidRPr="00F06708" w:rsidRDefault="00600719" w:rsidP="006D578F">
            <w:pPr>
              <w:autoSpaceDE w:val="0"/>
              <w:autoSpaceDN w:val="0"/>
              <w:adjustRightInd w:val="0"/>
              <w:jc w:val="center"/>
              <w:rPr>
                <w:rFonts w:ascii="Arial" w:hAnsi="Arial" w:cs="Arial"/>
                <w:sz w:val="16"/>
                <w:szCs w:val="16"/>
              </w:rPr>
            </w:pPr>
            <w:r w:rsidRPr="00F06708">
              <w:rPr>
                <w:rFonts w:ascii="Arial" w:hAnsi="Arial" w:cs="Arial"/>
                <w:sz w:val="16"/>
                <w:szCs w:val="16"/>
              </w:rPr>
              <w:t>Wartość bilansowa</w:t>
            </w:r>
          </w:p>
        </w:tc>
        <w:tc>
          <w:tcPr>
            <w:tcW w:w="1647" w:type="dxa"/>
            <w:vAlign w:val="center"/>
            <w:hideMark/>
          </w:tcPr>
          <w:p w:rsidR="00600719" w:rsidRPr="00F06708" w:rsidRDefault="00600719" w:rsidP="006D578F">
            <w:pPr>
              <w:autoSpaceDE w:val="0"/>
              <w:autoSpaceDN w:val="0"/>
              <w:adjustRightInd w:val="0"/>
              <w:jc w:val="center"/>
              <w:rPr>
                <w:rFonts w:ascii="Arial" w:hAnsi="Arial" w:cs="Arial"/>
                <w:sz w:val="16"/>
                <w:szCs w:val="16"/>
              </w:rPr>
            </w:pPr>
            <w:r w:rsidRPr="00F06708">
              <w:rPr>
                <w:rFonts w:ascii="Arial" w:hAnsi="Arial" w:cs="Arial"/>
                <w:sz w:val="16"/>
                <w:szCs w:val="16"/>
              </w:rPr>
              <w:t>Wartość odzyskiwalna</w:t>
            </w:r>
          </w:p>
        </w:tc>
      </w:tr>
      <w:tr w:rsidR="00600719" w:rsidRPr="00F06708" w:rsidTr="006D578F">
        <w:trPr>
          <w:trHeight w:val="283"/>
        </w:trPr>
        <w:tc>
          <w:tcPr>
            <w:tcW w:w="5778" w:type="dxa"/>
            <w:vAlign w:val="center"/>
            <w:hideMark/>
          </w:tcPr>
          <w:p w:rsidR="00600719" w:rsidRPr="00F06708" w:rsidRDefault="00600719" w:rsidP="006D578F">
            <w:pPr>
              <w:autoSpaceDE w:val="0"/>
              <w:autoSpaceDN w:val="0"/>
              <w:adjustRightInd w:val="0"/>
              <w:rPr>
                <w:rFonts w:ascii="Arial" w:hAnsi="Arial" w:cs="Arial"/>
                <w:sz w:val="16"/>
                <w:szCs w:val="16"/>
              </w:rPr>
            </w:pPr>
            <w:r w:rsidRPr="00F06708">
              <w:rPr>
                <w:rFonts w:ascii="Arial" w:hAnsi="Arial" w:cs="Arial"/>
                <w:sz w:val="16"/>
                <w:szCs w:val="16"/>
              </w:rPr>
              <w:t>INTERFERIE w Ustroniu Morskim - OWS Cechsztyn</w:t>
            </w:r>
          </w:p>
        </w:tc>
        <w:tc>
          <w:tcPr>
            <w:tcW w:w="1646" w:type="dxa"/>
            <w:tcBorders>
              <w:top w:val="single" w:sz="4" w:space="0" w:color="auto"/>
              <w:left w:val="nil"/>
              <w:bottom w:val="nil"/>
              <w:right w:val="nil"/>
            </w:tcBorders>
            <w:vAlign w:val="center"/>
          </w:tcPr>
          <w:p w:rsidR="00600719" w:rsidRPr="00F06708" w:rsidRDefault="00600719" w:rsidP="006D578F">
            <w:pPr>
              <w:jc w:val="center"/>
              <w:rPr>
                <w:rFonts w:ascii="Arial" w:hAnsi="Arial" w:cs="Arial"/>
                <w:sz w:val="16"/>
                <w:szCs w:val="16"/>
              </w:rPr>
            </w:pPr>
            <w:r w:rsidRPr="00F06708">
              <w:rPr>
                <w:rFonts w:ascii="Arial" w:hAnsi="Arial" w:cs="Arial"/>
                <w:sz w:val="16"/>
                <w:szCs w:val="16"/>
              </w:rPr>
              <w:t>9 437</w:t>
            </w:r>
          </w:p>
        </w:tc>
        <w:tc>
          <w:tcPr>
            <w:tcW w:w="1647" w:type="dxa"/>
            <w:tcBorders>
              <w:top w:val="single" w:sz="4" w:space="0" w:color="auto"/>
              <w:left w:val="nil"/>
              <w:bottom w:val="nil"/>
              <w:right w:val="nil"/>
            </w:tcBorders>
            <w:vAlign w:val="center"/>
            <w:hideMark/>
          </w:tcPr>
          <w:p w:rsidR="00600719" w:rsidRPr="00F06708" w:rsidRDefault="00600719" w:rsidP="006D578F">
            <w:pPr>
              <w:jc w:val="center"/>
              <w:rPr>
                <w:rFonts w:ascii="Arial" w:hAnsi="Arial" w:cs="Arial"/>
                <w:sz w:val="16"/>
                <w:szCs w:val="16"/>
              </w:rPr>
            </w:pPr>
            <w:r w:rsidRPr="00F06708">
              <w:rPr>
                <w:rFonts w:ascii="Arial" w:hAnsi="Arial" w:cs="Arial"/>
                <w:sz w:val="16"/>
                <w:szCs w:val="16"/>
              </w:rPr>
              <w:t>15 990</w:t>
            </w:r>
          </w:p>
        </w:tc>
      </w:tr>
      <w:tr w:rsidR="00600719" w:rsidRPr="00F06708" w:rsidTr="006D578F">
        <w:trPr>
          <w:trHeight w:val="283"/>
        </w:trPr>
        <w:tc>
          <w:tcPr>
            <w:tcW w:w="5778" w:type="dxa"/>
            <w:vAlign w:val="center"/>
            <w:hideMark/>
          </w:tcPr>
          <w:p w:rsidR="00600719" w:rsidRPr="00F06708" w:rsidRDefault="00600719" w:rsidP="006D578F">
            <w:pPr>
              <w:autoSpaceDE w:val="0"/>
              <w:autoSpaceDN w:val="0"/>
              <w:adjustRightInd w:val="0"/>
              <w:rPr>
                <w:rFonts w:ascii="Arial" w:hAnsi="Arial" w:cs="Arial"/>
                <w:sz w:val="16"/>
                <w:szCs w:val="16"/>
              </w:rPr>
            </w:pPr>
            <w:r w:rsidRPr="00F06708">
              <w:rPr>
                <w:rFonts w:ascii="Arial" w:hAnsi="Arial" w:cs="Arial"/>
                <w:sz w:val="16"/>
                <w:szCs w:val="16"/>
              </w:rPr>
              <w:t>INTERFERIE w Kołobrzegu – OSW Chalkozyn</w:t>
            </w:r>
          </w:p>
        </w:tc>
        <w:tc>
          <w:tcPr>
            <w:tcW w:w="1646" w:type="dxa"/>
            <w:vAlign w:val="center"/>
            <w:hideMark/>
          </w:tcPr>
          <w:p w:rsidR="00600719" w:rsidRPr="00F06708" w:rsidRDefault="00600719" w:rsidP="006D578F">
            <w:pPr>
              <w:jc w:val="center"/>
              <w:rPr>
                <w:rFonts w:ascii="Arial" w:hAnsi="Arial" w:cs="Arial"/>
                <w:sz w:val="16"/>
                <w:szCs w:val="16"/>
              </w:rPr>
            </w:pPr>
            <w:r w:rsidRPr="00F06708">
              <w:rPr>
                <w:rFonts w:ascii="Arial" w:hAnsi="Arial" w:cs="Arial"/>
                <w:sz w:val="16"/>
                <w:szCs w:val="16"/>
              </w:rPr>
              <w:t>18 699</w:t>
            </w:r>
          </w:p>
        </w:tc>
        <w:tc>
          <w:tcPr>
            <w:tcW w:w="1647" w:type="dxa"/>
            <w:vAlign w:val="center"/>
            <w:hideMark/>
          </w:tcPr>
          <w:p w:rsidR="00600719" w:rsidRPr="00F06708" w:rsidRDefault="00600719" w:rsidP="006D578F">
            <w:pPr>
              <w:jc w:val="center"/>
              <w:rPr>
                <w:rFonts w:ascii="Arial" w:hAnsi="Arial" w:cs="Arial"/>
                <w:sz w:val="16"/>
                <w:szCs w:val="16"/>
              </w:rPr>
            </w:pPr>
            <w:r w:rsidRPr="00F06708">
              <w:rPr>
                <w:rFonts w:ascii="Arial" w:hAnsi="Arial" w:cs="Arial"/>
                <w:sz w:val="16"/>
                <w:szCs w:val="16"/>
              </w:rPr>
              <w:t>33 408</w:t>
            </w:r>
          </w:p>
        </w:tc>
      </w:tr>
      <w:tr w:rsidR="00600719" w:rsidRPr="00F06708" w:rsidTr="006D578F">
        <w:trPr>
          <w:trHeight w:val="283"/>
        </w:trPr>
        <w:tc>
          <w:tcPr>
            <w:tcW w:w="5778" w:type="dxa"/>
            <w:vAlign w:val="center"/>
            <w:hideMark/>
          </w:tcPr>
          <w:p w:rsidR="00600719" w:rsidRPr="00F06708" w:rsidRDefault="00600719" w:rsidP="006D578F">
            <w:pPr>
              <w:autoSpaceDE w:val="0"/>
              <w:autoSpaceDN w:val="0"/>
              <w:adjustRightInd w:val="0"/>
              <w:rPr>
                <w:rFonts w:ascii="Arial" w:hAnsi="Arial" w:cs="Arial"/>
                <w:sz w:val="16"/>
                <w:szCs w:val="16"/>
              </w:rPr>
            </w:pPr>
            <w:r w:rsidRPr="00F06708">
              <w:rPr>
                <w:rFonts w:ascii="Arial" w:hAnsi="Arial" w:cs="Arial"/>
                <w:sz w:val="16"/>
                <w:szCs w:val="16"/>
              </w:rPr>
              <w:t>INTERFERIE w Dąbkach Sanatorium Uzdrowiskowe Argentyt</w:t>
            </w:r>
          </w:p>
        </w:tc>
        <w:tc>
          <w:tcPr>
            <w:tcW w:w="1646" w:type="dxa"/>
            <w:vAlign w:val="center"/>
            <w:hideMark/>
          </w:tcPr>
          <w:p w:rsidR="00600719" w:rsidRPr="00F06708" w:rsidRDefault="00600719" w:rsidP="006D578F">
            <w:pPr>
              <w:jc w:val="center"/>
              <w:rPr>
                <w:rFonts w:ascii="Arial" w:hAnsi="Arial" w:cs="Arial"/>
                <w:sz w:val="16"/>
                <w:szCs w:val="16"/>
              </w:rPr>
            </w:pPr>
            <w:r w:rsidRPr="00F06708">
              <w:rPr>
                <w:rFonts w:ascii="Arial" w:hAnsi="Arial" w:cs="Arial"/>
                <w:sz w:val="16"/>
                <w:szCs w:val="16"/>
              </w:rPr>
              <w:t>76 976</w:t>
            </w:r>
          </w:p>
        </w:tc>
        <w:tc>
          <w:tcPr>
            <w:tcW w:w="1647" w:type="dxa"/>
            <w:vAlign w:val="center"/>
            <w:hideMark/>
          </w:tcPr>
          <w:p w:rsidR="00600719" w:rsidRPr="00F06708" w:rsidRDefault="00600719" w:rsidP="006D578F">
            <w:pPr>
              <w:jc w:val="center"/>
              <w:rPr>
                <w:rFonts w:ascii="Arial" w:hAnsi="Arial" w:cs="Arial"/>
                <w:sz w:val="16"/>
                <w:szCs w:val="16"/>
              </w:rPr>
            </w:pPr>
            <w:r w:rsidRPr="00F06708">
              <w:rPr>
                <w:rFonts w:ascii="Arial" w:hAnsi="Arial" w:cs="Arial"/>
                <w:sz w:val="16"/>
                <w:szCs w:val="16"/>
              </w:rPr>
              <w:t>114 806</w:t>
            </w:r>
          </w:p>
        </w:tc>
      </w:tr>
      <w:tr w:rsidR="00600719" w:rsidRPr="00F06708" w:rsidTr="006D578F">
        <w:trPr>
          <w:trHeight w:val="283"/>
        </w:trPr>
        <w:tc>
          <w:tcPr>
            <w:tcW w:w="5778" w:type="dxa"/>
            <w:vAlign w:val="center"/>
            <w:hideMark/>
          </w:tcPr>
          <w:p w:rsidR="00600719" w:rsidRPr="00F06708" w:rsidRDefault="00600719" w:rsidP="006D578F">
            <w:pPr>
              <w:autoSpaceDE w:val="0"/>
              <w:autoSpaceDN w:val="0"/>
              <w:adjustRightInd w:val="0"/>
              <w:rPr>
                <w:rFonts w:ascii="Arial" w:hAnsi="Arial" w:cs="Arial"/>
                <w:sz w:val="16"/>
                <w:szCs w:val="16"/>
              </w:rPr>
            </w:pPr>
            <w:r w:rsidRPr="00F06708">
              <w:rPr>
                <w:rFonts w:ascii="Arial" w:hAnsi="Arial" w:cs="Arial"/>
                <w:sz w:val="16"/>
                <w:szCs w:val="16"/>
              </w:rPr>
              <w:t>INTERFERIE Hotel Bornit w Szklarskiej Porębie</w:t>
            </w:r>
          </w:p>
        </w:tc>
        <w:tc>
          <w:tcPr>
            <w:tcW w:w="1646" w:type="dxa"/>
            <w:vAlign w:val="center"/>
            <w:hideMark/>
          </w:tcPr>
          <w:p w:rsidR="00600719" w:rsidRPr="00F06708" w:rsidRDefault="00600719" w:rsidP="006D578F">
            <w:pPr>
              <w:jc w:val="center"/>
              <w:rPr>
                <w:rFonts w:ascii="Arial" w:hAnsi="Arial" w:cs="Arial"/>
                <w:sz w:val="16"/>
                <w:szCs w:val="16"/>
              </w:rPr>
            </w:pPr>
            <w:r w:rsidRPr="00F06708">
              <w:rPr>
                <w:rFonts w:ascii="Arial" w:hAnsi="Arial" w:cs="Arial"/>
                <w:sz w:val="16"/>
                <w:szCs w:val="16"/>
              </w:rPr>
              <w:t>23 198</w:t>
            </w:r>
          </w:p>
        </w:tc>
        <w:tc>
          <w:tcPr>
            <w:tcW w:w="1647" w:type="dxa"/>
            <w:vAlign w:val="center"/>
            <w:hideMark/>
          </w:tcPr>
          <w:p w:rsidR="00600719" w:rsidRPr="00F06708" w:rsidRDefault="00600719" w:rsidP="006D578F">
            <w:pPr>
              <w:jc w:val="center"/>
              <w:rPr>
                <w:rFonts w:ascii="Arial" w:hAnsi="Arial" w:cs="Arial"/>
                <w:sz w:val="16"/>
                <w:szCs w:val="16"/>
              </w:rPr>
            </w:pPr>
            <w:r w:rsidRPr="00F06708">
              <w:rPr>
                <w:rFonts w:ascii="Arial" w:hAnsi="Arial" w:cs="Arial"/>
                <w:sz w:val="16"/>
                <w:szCs w:val="16"/>
              </w:rPr>
              <w:t>25 925</w:t>
            </w:r>
          </w:p>
        </w:tc>
      </w:tr>
      <w:tr w:rsidR="00600719" w:rsidRPr="00F06708" w:rsidTr="006D578F">
        <w:trPr>
          <w:trHeight w:val="283"/>
        </w:trPr>
        <w:tc>
          <w:tcPr>
            <w:tcW w:w="5778" w:type="dxa"/>
            <w:vAlign w:val="center"/>
            <w:hideMark/>
          </w:tcPr>
          <w:p w:rsidR="00600719" w:rsidRPr="00F06708" w:rsidRDefault="00600719" w:rsidP="006D578F">
            <w:pPr>
              <w:autoSpaceDE w:val="0"/>
              <w:autoSpaceDN w:val="0"/>
              <w:adjustRightInd w:val="0"/>
              <w:rPr>
                <w:rFonts w:ascii="Arial" w:hAnsi="Arial" w:cs="Arial"/>
                <w:sz w:val="16"/>
                <w:szCs w:val="16"/>
              </w:rPr>
            </w:pPr>
            <w:r w:rsidRPr="00F06708">
              <w:rPr>
                <w:rFonts w:ascii="Arial" w:hAnsi="Arial" w:cs="Arial"/>
                <w:sz w:val="16"/>
                <w:szCs w:val="16"/>
              </w:rPr>
              <w:t>INTERFERIE Hotel Malachit w Świeradowie Zdroju</w:t>
            </w:r>
          </w:p>
        </w:tc>
        <w:tc>
          <w:tcPr>
            <w:tcW w:w="1646" w:type="dxa"/>
            <w:vAlign w:val="center"/>
            <w:hideMark/>
          </w:tcPr>
          <w:p w:rsidR="00600719" w:rsidRPr="00F06708" w:rsidRDefault="00600719" w:rsidP="006D578F">
            <w:pPr>
              <w:jc w:val="center"/>
              <w:rPr>
                <w:rFonts w:ascii="Arial" w:hAnsi="Arial" w:cs="Arial"/>
                <w:sz w:val="16"/>
                <w:szCs w:val="16"/>
              </w:rPr>
            </w:pPr>
            <w:r w:rsidRPr="00F06708">
              <w:rPr>
                <w:rFonts w:ascii="Arial" w:hAnsi="Arial" w:cs="Arial"/>
                <w:sz w:val="16"/>
                <w:szCs w:val="16"/>
              </w:rPr>
              <w:t>21 769</w:t>
            </w:r>
          </w:p>
        </w:tc>
        <w:tc>
          <w:tcPr>
            <w:tcW w:w="1647" w:type="dxa"/>
            <w:vAlign w:val="center"/>
            <w:hideMark/>
          </w:tcPr>
          <w:p w:rsidR="00600719" w:rsidRPr="00F06708" w:rsidRDefault="00600719" w:rsidP="006D578F">
            <w:pPr>
              <w:jc w:val="center"/>
              <w:rPr>
                <w:rFonts w:ascii="Arial" w:hAnsi="Arial" w:cs="Arial"/>
                <w:sz w:val="16"/>
                <w:szCs w:val="16"/>
              </w:rPr>
            </w:pPr>
            <w:r w:rsidRPr="00F06708">
              <w:rPr>
                <w:rFonts w:ascii="Arial" w:hAnsi="Arial" w:cs="Arial"/>
                <w:sz w:val="16"/>
                <w:szCs w:val="16"/>
              </w:rPr>
              <w:t>23 153</w:t>
            </w:r>
          </w:p>
        </w:tc>
      </w:tr>
      <w:tr w:rsidR="00600719" w:rsidRPr="00F06708" w:rsidTr="006D578F">
        <w:trPr>
          <w:trHeight w:val="283"/>
        </w:trPr>
        <w:tc>
          <w:tcPr>
            <w:tcW w:w="5778" w:type="dxa"/>
            <w:vAlign w:val="center"/>
            <w:hideMark/>
          </w:tcPr>
          <w:p w:rsidR="00600719" w:rsidRPr="00F06708" w:rsidRDefault="00600719" w:rsidP="006D578F">
            <w:pPr>
              <w:autoSpaceDE w:val="0"/>
              <w:autoSpaceDN w:val="0"/>
              <w:adjustRightInd w:val="0"/>
              <w:rPr>
                <w:rFonts w:ascii="Arial" w:hAnsi="Arial" w:cs="Arial"/>
                <w:sz w:val="16"/>
                <w:szCs w:val="16"/>
              </w:rPr>
            </w:pPr>
            <w:r w:rsidRPr="00F06708">
              <w:rPr>
                <w:rFonts w:ascii="Arial" w:hAnsi="Arial" w:cs="Arial"/>
                <w:sz w:val="16"/>
                <w:szCs w:val="16"/>
              </w:rPr>
              <w:t>INTERFERIE w Głogowie</w:t>
            </w:r>
          </w:p>
        </w:tc>
        <w:tc>
          <w:tcPr>
            <w:tcW w:w="1646" w:type="dxa"/>
            <w:vAlign w:val="center"/>
            <w:hideMark/>
          </w:tcPr>
          <w:p w:rsidR="00600719" w:rsidRPr="00F06708" w:rsidRDefault="00600719" w:rsidP="006D578F">
            <w:pPr>
              <w:jc w:val="center"/>
              <w:rPr>
                <w:rFonts w:ascii="Arial" w:hAnsi="Arial" w:cs="Arial"/>
                <w:sz w:val="16"/>
                <w:szCs w:val="16"/>
              </w:rPr>
            </w:pPr>
            <w:r w:rsidRPr="00F06708">
              <w:rPr>
                <w:rFonts w:ascii="Arial" w:hAnsi="Arial" w:cs="Arial"/>
                <w:sz w:val="16"/>
                <w:szCs w:val="16"/>
              </w:rPr>
              <w:t>2 251</w:t>
            </w:r>
          </w:p>
        </w:tc>
        <w:tc>
          <w:tcPr>
            <w:tcW w:w="1647" w:type="dxa"/>
            <w:vAlign w:val="center"/>
            <w:hideMark/>
          </w:tcPr>
          <w:p w:rsidR="00600719" w:rsidRPr="00F06708" w:rsidRDefault="00600719" w:rsidP="006D578F">
            <w:pPr>
              <w:jc w:val="center"/>
              <w:rPr>
                <w:rFonts w:ascii="Arial" w:hAnsi="Arial" w:cs="Arial"/>
                <w:sz w:val="16"/>
                <w:szCs w:val="16"/>
              </w:rPr>
            </w:pPr>
            <w:r w:rsidRPr="00F06708">
              <w:rPr>
                <w:rFonts w:ascii="Arial" w:hAnsi="Arial" w:cs="Arial"/>
                <w:sz w:val="16"/>
                <w:szCs w:val="16"/>
              </w:rPr>
              <w:t>2 528</w:t>
            </w:r>
          </w:p>
        </w:tc>
      </w:tr>
      <w:tr w:rsidR="00600719" w:rsidRPr="00F06708" w:rsidTr="006D578F">
        <w:tc>
          <w:tcPr>
            <w:tcW w:w="5778" w:type="dxa"/>
          </w:tcPr>
          <w:p w:rsidR="00600719" w:rsidRPr="00F06708" w:rsidRDefault="00600719" w:rsidP="006D578F">
            <w:pPr>
              <w:autoSpaceDE w:val="0"/>
              <w:autoSpaceDN w:val="0"/>
              <w:adjustRightInd w:val="0"/>
              <w:jc w:val="both"/>
              <w:rPr>
                <w:rFonts w:ascii="Arial" w:hAnsi="Arial" w:cs="Arial"/>
                <w:sz w:val="16"/>
                <w:szCs w:val="16"/>
              </w:rPr>
            </w:pPr>
          </w:p>
        </w:tc>
        <w:tc>
          <w:tcPr>
            <w:tcW w:w="1646" w:type="dxa"/>
          </w:tcPr>
          <w:p w:rsidR="00600719" w:rsidRPr="00F06708" w:rsidRDefault="00600719" w:rsidP="006D578F">
            <w:pPr>
              <w:autoSpaceDE w:val="0"/>
              <w:autoSpaceDN w:val="0"/>
              <w:adjustRightInd w:val="0"/>
              <w:jc w:val="right"/>
              <w:rPr>
                <w:rFonts w:ascii="Arial" w:hAnsi="Arial" w:cs="Arial"/>
                <w:sz w:val="16"/>
                <w:szCs w:val="16"/>
              </w:rPr>
            </w:pPr>
          </w:p>
        </w:tc>
        <w:tc>
          <w:tcPr>
            <w:tcW w:w="1647" w:type="dxa"/>
          </w:tcPr>
          <w:p w:rsidR="00600719" w:rsidRPr="00F06708" w:rsidRDefault="00600719" w:rsidP="006D578F">
            <w:pPr>
              <w:autoSpaceDE w:val="0"/>
              <w:autoSpaceDN w:val="0"/>
              <w:adjustRightInd w:val="0"/>
              <w:jc w:val="right"/>
              <w:rPr>
                <w:rFonts w:ascii="Arial" w:hAnsi="Arial" w:cs="Arial"/>
                <w:sz w:val="16"/>
                <w:szCs w:val="16"/>
              </w:rPr>
            </w:pPr>
          </w:p>
        </w:tc>
      </w:tr>
    </w:tbl>
    <w:p w:rsidR="00600719" w:rsidRPr="0043066A" w:rsidRDefault="00600719" w:rsidP="00600719">
      <w:pPr>
        <w:autoSpaceDE w:val="0"/>
        <w:autoSpaceDN w:val="0"/>
        <w:adjustRightInd w:val="0"/>
        <w:jc w:val="both"/>
        <w:rPr>
          <w:rFonts w:ascii="Arial" w:hAnsi="Arial" w:cs="Arial"/>
          <w:sz w:val="18"/>
          <w:szCs w:val="18"/>
        </w:rPr>
      </w:pPr>
    </w:p>
    <w:p w:rsidR="00600719" w:rsidRPr="0043066A" w:rsidRDefault="00600719" w:rsidP="00600719">
      <w:pPr>
        <w:autoSpaceDE w:val="0"/>
        <w:autoSpaceDN w:val="0"/>
        <w:adjustRightInd w:val="0"/>
        <w:spacing w:line="276" w:lineRule="auto"/>
        <w:jc w:val="both"/>
        <w:rPr>
          <w:rFonts w:ascii="Arial" w:hAnsi="Arial" w:cs="Arial"/>
          <w:sz w:val="18"/>
          <w:szCs w:val="18"/>
        </w:rPr>
      </w:pPr>
      <w:r w:rsidRPr="0043066A">
        <w:rPr>
          <w:rFonts w:ascii="Arial" w:hAnsi="Arial" w:cs="Arial"/>
          <w:sz w:val="18"/>
          <w:szCs w:val="18"/>
        </w:rPr>
        <w:t>Wycena wykazała znaczną wrażliwość wartości godziwej na przyjęte poziomy stopy dyskonta oraz zmiany zysku operacyjnego w okresie prognozy dla poniższych OWSP.</w:t>
      </w:r>
    </w:p>
    <w:p w:rsidR="00600719" w:rsidRPr="00C42EEA" w:rsidRDefault="00600719" w:rsidP="00600719">
      <w:pPr>
        <w:autoSpaceDE w:val="0"/>
        <w:autoSpaceDN w:val="0"/>
        <w:adjustRightInd w:val="0"/>
        <w:spacing w:line="276" w:lineRule="auto"/>
        <w:jc w:val="both"/>
        <w:rPr>
          <w:rFonts w:ascii="Arial" w:hAnsi="Arial" w:cs="Arial"/>
          <w:sz w:val="18"/>
          <w:szCs w:val="18"/>
          <w:highlight w:val="yellow"/>
        </w:rPr>
      </w:pPr>
    </w:p>
    <w:p w:rsidR="00600719" w:rsidRPr="0043066A" w:rsidRDefault="00600719" w:rsidP="00600719">
      <w:pPr>
        <w:autoSpaceDE w:val="0"/>
        <w:autoSpaceDN w:val="0"/>
        <w:adjustRightInd w:val="0"/>
        <w:spacing w:line="276" w:lineRule="auto"/>
        <w:jc w:val="both"/>
        <w:rPr>
          <w:rFonts w:ascii="Arial" w:hAnsi="Arial" w:cs="Arial"/>
          <w:sz w:val="18"/>
          <w:szCs w:val="18"/>
        </w:rPr>
      </w:pPr>
      <w:r w:rsidRPr="0043066A">
        <w:rPr>
          <w:rFonts w:ascii="Arial" w:hAnsi="Arial" w:cs="Arial"/>
          <w:sz w:val="18"/>
          <w:szCs w:val="18"/>
        </w:rPr>
        <w:t>Na potrzeby analizy wrażliwości każdy z powyższych parametrów zmieniono o 6%.</w:t>
      </w:r>
    </w:p>
    <w:p w:rsidR="00600719" w:rsidRPr="0043066A" w:rsidRDefault="00600719" w:rsidP="00600719">
      <w:pPr>
        <w:autoSpaceDE w:val="0"/>
        <w:autoSpaceDN w:val="0"/>
        <w:adjustRightInd w:val="0"/>
        <w:jc w:val="both"/>
        <w:rPr>
          <w:rFonts w:ascii="Arial" w:hAnsi="Arial" w:cs="Arial"/>
          <w:sz w:val="18"/>
          <w:szCs w:val="18"/>
        </w:rPr>
      </w:pPr>
    </w:p>
    <w:tbl>
      <w:tblPr>
        <w:tblW w:w="8670" w:type="dxa"/>
        <w:tblInd w:w="57" w:type="dxa"/>
        <w:tblLayout w:type="fixed"/>
        <w:tblCellMar>
          <w:left w:w="70" w:type="dxa"/>
          <w:right w:w="70" w:type="dxa"/>
        </w:tblCellMar>
        <w:tblLook w:val="04A0" w:firstRow="1" w:lastRow="0" w:firstColumn="1" w:lastColumn="0" w:noHBand="0" w:noVBand="1"/>
      </w:tblPr>
      <w:tblGrid>
        <w:gridCol w:w="2992"/>
        <w:gridCol w:w="185"/>
        <w:gridCol w:w="1091"/>
        <w:gridCol w:w="1174"/>
        <w:gridCol w:w="1174"/>
        <w:gridCol w:w="1027"/>
        <w:gridCol w:w="1027"/>
      </w:tblGrid>
      <w:tr w:rsidR="00600719" w:rsidRPr="00F06708" w:rsidTr="006D578F">
        <w:trPr>
          <w:trHeight w:val="74"/>
        </w:trPr>
        <w:tc>
          <w:tcPr>
            <w:tcW w:w="2990" w:type="dxa"/>
            <w:shd w:val="clear" w:color="auto" w:fill="FFFFFF"/>
            <w:noWrap/>
            <w:vAlign w:val="center"/>
            <w:hideMark/>
          </w:tcPr>
          <w:p w:rsidR="00600719" w:rsidRPr="00F06708" w:rsidRDefault="00600719" w:rsidP="006D578F">
            <w:pPr>
              <w:rPr>
                <w:rFonts w:ascii="Arial" w:hAnsi="Arial" w:cs="Arial"/>
                <w:sz w:val="16"/>
                <w:szCs w:val="16"/>
              </w:rPr>
            </w:pPr>
            <w:r w:rsidRPr="00F06708">
              <w:rPr>
                <w:rFonts w:ascii="Arial" w:hAnsi="Arial" w:cs="Arial"/>
                <w:sz w:val="16"/>
                <w:szCs w:val="16"/>
              </w:rPr>
              <w:t> </w:t>
            </w:r>
          </w:p>
        </w:tc>
        <w:tc>
          <w:tcPr>
            <w:tcW w:w="185" w:type="dxa"/>
            <w:tcBorders>
              <w:top w:val="nil"/>
              <w:left w:val="single" w:sz="4" w:space="0" w:color="auto"/>
              <w:bottom w:val="nil"/>
              <w:right w:val="nil"/>
            </w:tcBorders>
            <w:shd w:val="clear" w:color="auto" w:fill="FFFFFF"/>
            <w:noWrap/>
            <w:vAlign w:val="center"/>
            <w:hideMark/>
          </w:tcPr>
          <w:p w:rsidR="00600719" w:rsidRPr="00F06708" w:rsidRDefault="00600719" w:rsidP="006D578F">
            <w:pPr>
              <w:rPr>
                <w:rFonts w:ascii="Arial" w:hAnsi="Arial" w:cs="Arial"/>
                <w:sz w:val="16"/>
                <w:szCs w:val="16"/>
              </w:rPr>
            </w:pPr>
            <w:r w:rsidRPr="00F06708">
              <w:rPr>
                <w:rFonts w:ascii="Arial" w:hAnsi="Arial" w:cs="Arial"/>
                <w:sz w:val="16"/>
                <w:szCs w:val="16"/>
              </w:rPr>
              <w:t> </w:t>
            </w:r>
          </w:p>
        </w:tc>
        <w:tc>
          <w:tcPr>
            <w:tcW w:w="1091" w:type="dxa"/>
            <w:vMerge w:val="restart"/>
            <w:tcBorders>
              <w:top w:val="nil"/>
              <w:left w:val="nil"/>
              <w:bottom w:val="single" w:sz="4" w:space="0" w:color="auto"/>
              <w:right w:val="nil"/>
            </w:tcBorders>
            <w:shd w:val="clear" w:color="auto" w:fill="FFFFFF"/>
            <w:noWrap/>
            <w:vAlign w:val="center"/>
            <w:hideMark/>
          </w:tcPr>
          <w:p w:rsidR="00600719" w:rsidRPr="00F06708" w:rsidRDefault="00600719" w:rsidP="006D578F">
            <w:pPr>
              <w:rPr>
                <w:rFonts w:ascii="Arial" w:hAnsi="Arial" w:cs="Arial"/>
                <w:sz w:val="16"/>
                <w:szCs w:val="16"/>
              </w:rPr>
            </w:pPr>
            <w:r w:rsidRPr="00F06708">
              <w:rPr>
                <w:rFonts w:ascii="Arial" w:hAnsi="Arial" w:cs="Arial"/>
                <w:sz w:val="16"/>
                <w:szCs w:val="16"/>
              </w:rPr>
              <w:t> </w:t>
            </w:r>
          </w:p>
          <w:p w:rsidR="00600719" w:rsidRPr="00F06708" w:rsidRDefault="00600719" w:rsidP="006D578F">
            <w:pPr>
              <w:jc w:val="center"/>
              <w:rPr>
                <w:rFonts w:ascii="Arial" w:hAnsi="Arial" w:cs="Arial"/>
                <w:sz w:val="16"/>
                <w:szCs w:val="16"/>
              </w:rPr>
            </w:pPr>
            <w:r w:rsidRPr="00F06708">
              <w:rPr>
                <w:rFonts w:ascii="Arial" w:hAnsi="Arial" w:cs="Arial"/>
                <w:sz w:val="16"/>
                <w:szCs w:val="16"/>
              </w:rPr>
              <w:t>Wartość bilansowa</w:t>
            </w:r>
          </w:p>
        </w:tc>
        <w:tc>
          <w:tcPr>
            <w:tcW w:w="2348" w:type="dxa"/>
            <w:gridSpan w:val="2"/>
            <w:tcBorders>
              <w:top w:val="nil"/>
              <w:left w:val="single" w:sz="4" w:space="0" w:color="auto"/>
              <w:bottom w:val="nil"/>
              <w:right w:val="single" w:sz="4" w:space="0" w:color="000000"/>
            </w:tcBorders>
            <w:shd w:val="clear" w:color="auto" w:fill="FFFFFF"/>
            <w:vAlign w:val="center"/>
            <w:hideMark/>
          </w:tcPr>
          <w:p w:rsidR="00600719" w:rsidRPr="00F06708" w:rsidRDefault="00600719" w:rsidP="006D578F">
            <w:pPr>
              <w:jc w:val="center"/>
              <w:rPr>
                <w:rFonts w:ascii="Arial" w:hAnsi="Arial" w:cs="Arial"/>
                <w:sz w:val="16"/>
                <w:szCs w:val="16"/>
              </w:rPr>
            </w:pPr>
            <w:r w:rsidRPr="00F06708">
              <w:rPr>
                <w:rFonts w:ascii="Arial" w:hAnsi="Arial" w:cs="Arial"/>
                <w:sz w:val="16"/>
                <w:szCs w:val="16"/>
              </w:rPr>
              <w:t xml:space="preserve">analiza wrażliwości wartości majątku na zmianę stopy dyskonta </w:t>
            </w:r>
          </w:p>
        </w:tc>
        <w:tc>
          <w:tcPr>
            <w:tcW w:w="2054" w:type="dxa"/>
            <w:gridSpan w:val="2"/>
            <w:tcBorders>
              <w:top w:val="nil"/>
              <w:left w:val="nil"/>
              <w:bottom w:val="nil"/>
              <w:right w:val="single" w:sz="4" w:space="0" w:color="000000"/>
            </w:tcBorders>
            <w:shd w:val="clear" w:color="auto" w:fill="FFFFFF"/>
            <w:vAlign w:val="center"/>
            <w:hideMark/>
          </w:tcPr>
          <w:p w:rsidR="00600719" w:rsidRPr="00F06708" w:rsidRDefault="00600719" w:rsidP="006D578F">
            <w:pPr>
              <w:jc w:val="center"/>
              <w:rPr>
                <w:rFonts w:ascii="Arial" w:hAnsi="Arial" w:cs="Arial"/>
                <w:sz w:val="16"/>
                <w:szCs w:val="16"/>
              </w:rPr>
            </w:pPr>
            <w:r w:rsidRPr="00F06708">
              <w:rPr>
                <w:rFonts w:ascii="Arial" w:hAnsi="Arial" w:cs="Arial"/>
                <w:sz w:val="16"/>
                <w:szCs w:val="16"/>
              </w:rPr>
              <w:t>analiza wrażliwości wartości majątku na zmianę zysku operacyjnego</w:t>
            </w:r>
          </w:p>
        </w:tc>
      </w:tr>
      <w:tr w:rsidR="00600719" w:rsidRPr="00F06708" w:rsidTr="006D578F">
        <w:trPr>
          <w:trHeight w:val="229"/>
        </w:trPr>
        <w:tc>
          <w:tcPr>
            <w:tcW w:w="2990" w:type="dxa"/>
            <w:shd w:val="clear" w:color="auto" w:fill="FFFFFF"/>
            <w:noWrap/>
            <w:vAlign w:val="center"/>
            <w:hideMark/>
          </w:tcPr>
          <w:p w:rsidR="00600719" w:rsidRPr="00F06708" w:rsidRDefault="00600719" w:rsidP="006D578F">
            <w:pPr>
              <w:rPr>
                <w:rFonts w:ascii="Arial" w:hAnsi="Arial" w:cs="Arial"/>
                <w:sz w:val="16"/>
                <w:szCs w:val="16"/>
              </w:rPr>
            </w:pPr>
            <w:r w:rsidRPr="00F06708">
              <w:rPr>
                <w:rFonts w:ascii="Arial" w:hAnsi="Arial" w:cs="Arial"/>
                <w:sz w:val="16"/>
                <w:szCs w:val="16"/>
              </w:rPr>
              <w:t> </w:t>
            </w:r>
          </w:p>
        </w:tc>
        <w:tc>
          <w:tcPr>
            <w:tcW w:w="185" w:type="dxa"/>
            <w:tcBorders>
              <w:top w:val="nil"/>
              <w:left w:val="single" w:sz="4" w:space="0" w:color="auto"/>
              <w:bottom w:val="single" w:sz="4" w:space="0" w:color="auto"/>
              <w:right w:val="nil"/>
            </w:tcBorders>
            <w:shd w:val="clear" w:color="auto" w:fill="FFFFFF"/>
            <w:vAlign w:val="center"/>
          </w:tcPr>
          <w:p w:rsidR="00600719" w:rsidRPr="00F06708" w:rsidRDefault="00600719" w:rsidP="006D578F">
            <w:pPr>
              <w:jc w:val="center"/>
              <w:rPr>
                <w:rFonts w:ascii="Arial" w:hAnsi="Arial" w:cs="Arial"/>
                <w:sz w:val="16"/>
                <w:szCs w:val="16"/>
              </w:rPr>
            </w:pPr>
          </w:p>
        </w:tc>
        <w:tc>
          <w:tcPr>
            <w:tcW w:w="1091" w:type="dxa"/>
            <w:vMerge/>
            <w:tcBorders>
              <w:top w:val="nil"/>
              <w:left w:val="nil"/>
              <w:bottom w:val="single" w:sz="4" w:space="0" w:color="auto"/>
              <w:right w:val="nil"/>
            </w:tcBorders>
            <w:vAlign w:val="center"/>
            <w:hideMark/>
          </w:tcPr>
          <w:p w:rsidR="00600719" w:rsidRPr="00F06708" w:rsidRDefault="00600719" w:rsidP="006D578F">
            <w:pPr>
              <w:rPr>
                <w:rFonts w:ascii="Arial" w:hAnsi="Arial" w:cs="Arial"/>
                <w:sz w:val="16"/>
                <w:szCs w:val="16"/>
              </w:rPr>
            </w:pPr>
          </w:p>
        </w:tc>
        <w:tc>
          <w:tcPr>
            <w:tcW w:w="1174" w:type="dxa"/>
            <w:tcBorders>
              <w:top w:val="nil"/>
              <w:left w:val="single" w:sz="4" w:space="0" w:color="auto"/>
              <w:bottom w:val="single" w:sz="4" w:space="0" w:color="auto"/>
              <w:right w:val="nil"/>
            </w:tcBorders>
            <w:vAlign w:val="center"/>
            <w:hideMark/>
          </w:tcPr>
          <w:p w:rsidR="00600719" w:rsidRPr="00F06708" w:rsidRDefault="00600719" w:rsidP="006D578F">
            <w:pPr>
              <w:jc w:val="center"/>
              <w:rPr>
                <w:rFonts w:ascii="Arial" w:hAnsi="Arial" w:cs="Arial"/>
                <w:sz w:val="16"/>
                <w:szCs w:val="16"/>
              </w:rPr>
            </w:pPr>
            <w:r w:rsidRPr="00F06708">
              <w:rPr>
                <w:rFonts w:ascii="Arial" w:hAnsi="Arial" w:cs="Arial"/>
                <w:sz w:val="16"/>
                <w:szCs w:val="16"/>
              </w:rPr>
              <w:t xml:space="preserve">+ 6% </w:t>
            </w:r>
          </w:p>
        </w:tc>
        <w:tc>
          <w:tcPr>
            <w:tcW w:w="1174" w:type="dxa"/>
            <w:tcBorders>
              <w:top w:val="nil"/>
              <w:left w:val="nil"/>
              <w:bottom w:val="single" w:sz="4" w:space="0" w:color="auto"/>
              <w:right w:val="single" w:sz="4" w:space="0" w:color="auto"/>
            </w:tcBorders>
            <w:noWrap/>
            <w:vAlign w:val="center"/>
            <w:hideMark/>
          </w:tcPr>
          <w:p w:rsidR="00600719" w:rsidRPr="00F06708" w:rsidRDefault="00600719" w:rsidP="006D578F">
            <w:pPr>
              <w:jc w:val="center"/>
              <w:rPr>
                <w:rFonts w:ascii="Arial" w:hAnsi="Arial" w:cs="Arial"/>
                <w:sz w:val="16"/>
                <w:szCs w:val="16"/>
              </w:rPr>
            </w:pPr>
            <w:r w:rsidRPr="00F06708">
              <w:rPr>
                <w:rFonts w:ascii="Arial" w:hAnsi="Arial" w:cs="Arial"/>
                <w:sz w:val="16"/>
                <w:szCs w:val="16"/>
              </w:rPr>
              <w:t xml:space="preserve"> -6%</w:t>
            </w:r>
          </w:p>
        </w:tc>
        <w:tc>
          <w:tcPr>
            <w:tcW w:w="1027" w:type="dxa"/>
            <w:tcBorders>
              <w:top w:val="nil"/>
              <w:left w:val="nil"/>
              <w:bottom w:val="single" w:sz="4" w:space="0" w:color="auto"/>
              <w:right w:val="nil"/>
            </w:tcBorders>
            <w:shd w:val="clear" w:color="auto" w:fill="FFFFFF"/>
            <w:noWrap/>
            <w:vAlign w:val="center"/>
            <w:hideMark/>
          </w:tcPr>
          <w:p w:rsidR="00600719" w:rsidRPr="00F06708" w:rsidRDefault="00600719" w:rsidP="006D578F">
            <w:pPr>
              <w:jc w:val="center"/>
              <w:rPr>
                <w:rFonts w:ascii="Arial" w:hAnsi="Arial" w:cs="Arial"/>
                <w:sz w:val="16"/>
                <w:szCs w:val="16"/>
              </w:rPr>
            </w:pPr>
            <w:r w:rsidRPr="00F06708">
              <w:rPr>
                <w:rFonts w:ascii="Arial" w:hAnsi="Arial" w:cs="Arial"/>
                <w:sz w:val="16"/>
                <w:szCs w:val="16"/>
              </w:rPr>
              <w:t>+6%</w:t>
            </w:r>
          </w:p>
        </w:tc>
        <w:tc>
          <w:tcPr>
            <w:tcW w:w="1027" w:type="dxa"/>
            <w:tcBorders>
              <w:top w:val="nil"/>
              <w:left w:val="nil"/>
              <w:bottom w:val="single" w:sz="4" w:space="0" w:color="auto"/>
              <w:right w:val="single" w:sz="4" w:space="0" w:color="auto"/>
            </w:tcBorders>
            <w:shd w:val="clear" w:color="auto" w:fill="FFFFFF"/>
            <w:noWrap/>
            <w:vAlign w:val="center"/>
            <w:hideMark/>
          </w:tcPr>
          <w:p w:rsidR="00600719" w:rsidRPr="00F06708" w:rsidRDefault="00600719" w:rsidP="006D578F">
            <w:pPr>
              <w:jc w:val="center"/>
              <w:rPr>
                <w:rFonts w:ascii="Arial" w:hAnsi="Arial" w:cs="Arial"/>
                <w:sz w:val="16"/>
                <w:szCs w:val="16"/>
              </w:rPr>
            </w:pPr>
            <w:r w:rsidRPr="00F06708">
              <w:rPr>
                <w:rFonts w:ascii="Arial" w:hAnsi="Arial" w:cs="Arial"/>
                <w:sz w:val="16"/>
                <w:szCs w:val="16"/>
              </w:rPr>
              <w:t>-6%</w:t>
            </w:r>
          </w:p>
        </w:tc>
      </w:tr>
      <w:tr w:rsidR="00600719" w:rsidRPr="00F06708" w:rsidTr="006D578F">
        <w:trPr>
          <w:trHeight w:val="90"/>
        </w:trPr>
        <w:tc>
          <w:tcPr>
            <w:tcW w:w="2990" w:type="dxa"/>
            <w:shd w:val="clear" w:color="auto" w:fill="FFFFFF"/>
            <w:noWrap/>
            <w:vAlign w:val="center"/>
            <w:hideMark/>
          </w:tcPr>
          <w:p w:rsidR="00600719" w:rsidRPr="00F06708" w:rsidRDefault="00600719" w:rsidP="006D578F">
            <w:pPr>
              <w:rPr>
                <w:rFonts w:ascii="Arial" w:hAnsi="Arial" w:cs="Arial"/>
                <w:sz w:val="16"/>
                <w:szCs w:val="16"/>
              </w:rPr>
            </w:pPr>
            <w:r w:rsidRPr="00F06708">
              <w:rPr>
                <w:rFonts w:ascii="Arial" w:hAnsi="Arial" w:cs="Arial"/>
                <w:sz w:val="16"/>
                <w:szCs w:val="16"/>
              </w:rPr>
              <w:t> </w:t>
            </w:r>
          </w:p>
        </w:tc>
        <w:tc>
          <w:tcPr>
            <w:tcW w:w="185" w:type="dxa"/>
            <w:tcBorders>
              <w:top w:val="single" w:sz="4" w:space="0" w:color="auto"/>
              <w:left w:val="single" w:sz="4" w:space="0" w:color="auto"/>
              <w:bottom w:val="nil"/>
              <w:right w:val="nil"/>
            </w:tcBorders>
            <w:shd w:val="clear" w:color="auto" w:fill="FFFFFF"/>
            <w:noWrap/>
            <w:vAlign w:val="center"/>
          </w:tcPr>
          <w:p w:rsidR="00600719" w:rsidRPr="00F06708" w:rsidRDefault="00600719" w:rsidP="006D578F">
            <w:pPr>
              <w:rPr>
                <w:rFonts w:ascii="Arial" w:hAnsi="Arial" w:cs="Arial"/>
                <w:sz w:val="16"/>
                <w:szCs w:val="16"/>
              </w:rPr>
            </w:pPr>
          </w:p>
        </w:tc>
        <w:tc>
          <w:tcPr>
            <w:tcW w:w="1091" w:type="dxa"/>
            <w:tcBorders>
              <w:top w:val="single" w:sz="4" w:space="0" w:color="auto"/>
              <w:left w:val="nil"/>
              <w:bottom w:val="nil"/>
              <w:right w:val="nil"/>
            </w:tcBorders>
            <w:shd w:val="clear" w:color="auto" w:fill="FFFFFF"/>
            <w:noWrap/>
            <w:vAlign w:val="center"/>
            <w:hideMark/>
          </w:tcPr>
          <w:p w:rsidR="00600719" w:rsidRPr="00F06708" w:rsidRDefault="00600719" w:rsidP="006D578F">
            <w:pPr>
              <w:rPr>
                <w:rFonts w:ascii="Arial" w:hAnsi="Arial" w:cs="Arial"/>
                <w:sz w:val="16"/>
                <w:szCs w:val="16"/>
              </w:rPr>
            </w:pPr>
            <w:r w:rsidRPr="00F06708">
              <w:rPr>
                <w:rFonts w:ascii="Arial" w:hAnsi="Arial" w:cs="Arial"/>
                <w:sz w:val="16"/>
                <w:szCs w:val="16"/>
              </w:rPr>
              <w:t> </w:t>
            </w:r>
          </w:p>
        </w:tc>
        <w:tc>
          <w:tcPr>
            <w:tcW w:w="1174" w:type="dxa"/>
            <w:tcBorders>
              <w:top w:val="single" w:sz="4" w:space="0" w:color="auto"/>
              <w:left w:val="single" w:sz="4" w:space="0" w:color="auto"/>
              <w:bottom w:val="nil"/>
              <w:right w:val="nil"/>
            </w:tcBorders>
            <w:noWrap/>
            <w:vAlign w:val="center"/>
            <w:hideMark/>
          </w:tcPr>
          <w:p w:rsidR="00600719" w:rsidRPr="00F06708" w:rsidRDefault="00600719" w:rsidP="006D578F">
            <w:pPr>
              <w:rPr>
                <w:rFonts w:ascii="Arial" w:hAnsi="Arial" w:cs="Arial"/>
                <w:sz w:val="16"/>
                <w:szCs w:val="16"/>
              </w:rPr>
            </w:pPr>
            <w:r w:rsidRPr="00F06708">
              <w:rPr>
                <w:rFonts w:ascii="Arial" w:hAnsi="Arial" w:cs="Arial"/>
                <w:sz w:val="16"/>
                <w:szCs w:val="16"/>
              </w:rPr>
              <w:t> </w:t>
            </w:r>
          </w:p>
        </w:tc>
        <w:tc>
          <w:tcPr>
            <w:tcW w:w="1174" w:type="dxa"/>
            <w:tcBorders>
              <w:top w:val="single" w:sz="4" w:space="0" w:color="auto"/>
              <w:left w:val="nil"/>
              <w:bottom w:val="nil"/>
              <w:right w:val="single" w:sz="4" w:space="0" w:color="auto"/>
            </w:tcBorders>
            <w:noWrap/>
            <w:vAlign w:val="center"/>
            <w:hideMark/>
          </w:tcPr>
          <w:p w:rsidR="00600719" w:rsidRPr="00F06708" w:rsidRDefault="00600719" w:rsidP="006D578F">
            <w:pPr>
              <w:rPr>
                <w:rFonts w:ascii="Arial" w:hAnsi="Arial" w:cs="Arial"/>
                <w:sz w:val="16"/>
                <w:szCs w:val="16"/>
              </w:rPr>
            </w:pPr>
            <w:r w:rsidRPr="00F06708">
              <w:rPr>
                <w:rFonts w:ascii="Arial" w:hAnsi="Arial" w:cs="Arial"/>
                <w:sz w:val="16"/>
                <w:szCs w:val="16"/>
              </w:rPr>
              <w:t> </w:t>
            </w:r>
          </w:p>
        </w:tc>
        <w:tc>
          <w:tcPr>
            <w:tcW w:w="1027" w:type="dxa"/>
            <w:tcBorders>
              <w:top w:val="single" w:sz="4" w:space="0" w:color="auto"/>
              <w:left w:val="nil"/>
              <w:bottom w:val="nil"/>
              <w:right w:val="nil"/>
            </w:tcBorders>
            <w:shd w:val="clear" w:color="auto" w:fill="FFFFFF"/>
            <w:noWrap/>
            <w:vAlign w:val="center"/>
            <w:hideMark/>
          </w:tcPr>
          <w:p w:rsidR="00600719" w:rsidRPr="00F06708" w:rsidRDefault="00600719" w:rsidP="006D578F">
            <w:pPr>
              <w:rPr>
                <w:rFonts w:ascii="Arial" w:hAnsi="Arial" w:cs="Arial"/>
                <w:sz w:val="16"/>
                <w:szCs w:val="16"/>
              </w:rPr>
            </w:pPr>
            <w:r w:rsidRPr="00F06708">
              <w:rPr>
                <w:rFonts w:ascii="Arial" w:hAnsi="Arial" w:cs="Arial"/>
                <w:sz w:val="16"/>
                <w:szCs w:val="16"/>
              </w:rPr>
              <w:t> </w:t>
            </w:r>
          </w:p>
        </w:tc>
        <w:tc>
          <w:tcPr>
            <w:tcW w:w="1027" w:type="dxa"/>
            <w:tcBorders>
              <w:top w:val="single" w:sz="4" w:space="0" w:color="auto"/>
              <w:left w:val="nil"/>
              <w:bottom w:val="nil"/>
              <w:right w:val="single" w:sz="4" w:space="0" w:color="auto"/>
            </w:tcBorders>
            <w:shd w:val="clear" w:color="auto" w:fill="FFFFFF"/>
            <w:noWrap/>
            <w:vAlign w:val="center"/>
            <w:hideMark/>
          </w:tcPr>
          <w:p w:rsidR="00600719" w:rsidRPr="00F06708" w:rsidRDefault="00600719" w:rsidP="006D578F">
            <w:pPr>
              <w:rPr>
                <w:rFonts w:ascii="Arial" w:hAnsi="Arial" w:cs="Arial"/>
                <w:sz w:val="16"/>
                <w:szCs w:val="16"/>
              </w:rPr>
            </w:pPr>
            <w:r w:rsidRPr="00F06708">
              <w:rPr>
                <w:rFonts w:ascii="Arial" w:hAnsi="Arial" w:cs="Arial"/>
                <w:sz w:val="16"/>
                <w:szCs w:val="16"/>
              </w:rPr>
              <w:t> </w:t>
            </w:r>
          </w:p>
        </w:tc>
      </w:tr>
      <w:tr w:rsidR="00600719" w:rsidRPr="00F06708" w:rsidTr="006D578F">
        <w:trPr>
          <w:trHeight w:val="120"/>
        </w:trPr>
        <w:tc>
          <w:tcPr>
            <w:tcW w:w="2990" w:type="dxa"/>
            <w:shd w:val="clear" w:color="auto" w:fill="FFFFFF"/>
            <w:noWrap/>
            <w:vAlign w:val="center"/>
            <w:hideMark/>
          </w:tcPr>
          <w:p w:rsidR="00600719" w:rsidRPr="00F06708" w:rsidRDefault="00600719" w:rsidP="006D578F">
            <w:pPr>
              <w:rPr>
                <w:rFonts w:ascii="Arial" w:hAnsi="Arial" w:cs="Arial"/>
                <w:sz w:val="16"/>
                <w:szCs w:val="16"/>
              </w:rPr>
            </w:pPr>
            <w:r w:rsidRPr="00F06708">
              <w:rPr>
                <w:rFonts w:ascii="Arial" w:hAnsi="Arial" w:cs="Arial"/>
                <w:sz w:val="16"/>
                <w:szCs w:val="16"/>
              </w:rPr>
              <w:t> </w:t>
            </w:r>
          </w:p>
        </w:tc>
        <w:tc>
          <w:tcPr>
            <w:tcW w:w="185" w:type="dxa"/>
            <w:tcBorders>
              <w:top w:val="nil"/>
              <w:left w:val="single" w:sz="4" w:space="0" w:color="auto"/>
              <w:bottom w:val="nil"/>
              <w:right w:val="nil"/>
            </w:tcBorders>
            <w:shd w:val="clear" w:color="auto" w:fill="FFFFFF"/>
            <w:noWrap/>
            <w:vAlign w:val="center"/>
          </w:tcPr>
          <w:p w:rsidR="00600719" w:rsidRPr="00F06708" w:rsidRDefault="00600719" w:rsidP="006D578F">
            <w:pPr>
              <w:jc w:val="center"/>
              <w:rPr>
                <w:rFonts w:ascii="Arial" w:hAnsi="Arial" w:cs="Arial"/>
                <w:sz w:val="16"/>
                <w:szCs w:val="16"/>
              </w:rPr>
            </w:pPr>
          </w:p>
        </w:tc>
        <w:tc>
          <w:tcPr>
            <w:tcW w:w="1091" w:type="dxa"/>
            <w:shd w:val="clear" w:color="auto" w:fill="FFFFFF"/>
            <w:noWrap/>
            <w:vAlign w:val="center"/>
          </w:tcPr>
          <w:p w:rsidR="00600719" w:rsidRPr="00F06708" w:rsidRDefault="00600719" w:rsidP="006D578F">
            <w:pPr>
              <w:jc w:val="center"/>
              <w:rPr>
                <w:rFonts w:ascii="Arial" w:hAnsi="Arial" w:cs="Arial"/>
                <w:sz w:val="16"/>
                <w:szCs w:val="16"/>
              </w:rPr>
            </w:pPr>
          </w:p>
        </w:tc>
        <w:tc>
          <w:tcPr>
            <w:tcW w:w="1174" w:type="dxa"/>
            <w:tcBorders>
              <w:top w:val="nil"/>
              <w:left w:val="single" w:sz="4" w:space="0" w:color="auto"/>
              <w:bottom w:val="nil"/>
              <w:right w:val="nil"/>
            </w:tcBorders>
            <w:shd w:val="clear" w:color="auto" w:fill="FFFFFF"/>
            <w:noWrap/>
            <w:vAlign w:val="center"/>
          </w:tcPr>
          <w:p w:rsidR="00600719" w:rsidRPr="00F06708" w:rsidRDefault="00600719" w:rsidP="006D578F">
            <w:pPr>
              <w:jc w:val="center"/>
              <w:rPr>
                <w:rFonts w:ascii="Arial" w:hAnsi="Arial" w:cs="Arial"/>
                <w:sz w:val="16"/>
                <w:szCs w:val="16"/>
              </w:rPr>
            </w:pPr>
          </w:p>
        </w:tc>
        <w:tc>
          <w:tcPr>
            <w:tcW w:w="1174" w:type="dxa"/>
            <w:tcBorders>
              <w:top w:val="nil"/>
              <w:left w:val="nil"/>
              <w:bottom w:val="nil"/>
              <w:right w:val="single" w:sz="4" w:space="0" w:color="auto"/>
            </w:tcBorders>
            <w:shd w:val="clear" w:color="auto" w:fill="FFFFFF"/>
            <w:noWrap/>
            <w:vAlign w:val="center"/>
          </w:tcPr>
          <w:p w:rsidR="00600719" w:rsidRPr="00F06708" w:rsidRDefault="00600719" w:rsidP="006D578F">
            <w:pPr>
              <w:jc w:val="center"/>
              <w:rPr>
                <w:rFonts w:ascii="Arial" w:hAnsi="Arial" w:cs="Arial"/>
                <w:sz w:val="16"/>
                <w:szCs w:val="16"/>
              </w:rPr>
            </w:pPr>
          </w:p>
        </w:tc>
        <w:tc>
          <w:tcPr>
            <w:tcW w:w="1027" w:type="dxa"/>
            <w:shd w:val="clear" w:color="auto" w:fill="FFFFFF"/>
            <w:noWrap/>
            <w:vAlign w:val="center"/>
          </w:tcPr>
          <w:p w:rsidR="00600719" w:rsidRPr="00F06708" w:rsidRDefault="00600719" w:rsidP="006D578F">
            <w:pPr>
              <w:jc w:val="center"/>
              <w:rPr>
                <w:rFonts w:ascii="Arial" w:hAnsi="Arial" w:cs="Arial"/>
                <w:sz w:val="16"/>
                <w:szCs w:val="16"/>
              </w:rPr>
            </w:pPr>
          </w:p>
        </w:tc>
        <w:tc>
          <w:tcPr>
            <w:tcW w:w="1027" w:type="dxa"/>
            <w:tcBorders>
              <w:top w:val="nil"/>
              <w:left w:val="nil"/>
              <w:bottom w:val="nil"/>
              <w:right w:val="single" w:sz="4" w:space="0" w:color="auto"/>
            </w:tcBorders>
            <w:shd w:val="clear" w:color="auto" w:fill="FFFFFF"/>
            <w:noWrap/>
            <w:vAlign w:val="center"/>
          </w:tcPr>
          <w:p w:rsidR="00600719" w:rsidRPr="00F06708" w:rsidRDefault="00600719" w:rsidP="006D578F">
            <w:pPr>
              <w:jc w:val="center"/>
              <w:rPr>
                <w:rFonts w:ascii="Arial" w:hAnsi="Arial" w:cs="Arial"/>
                <w:sz w:val="16"/>
                <w:szCs w:val="16"/>
              </w:rPr>
            </w:pPr>
          </w:p>
        </w:tc>
      </w:tr>
      <w:tr w:rsidR="00600719" w:rsidRPr="00F06708" w:rsidTr="006D578F">
        <w:trPr>
          <w:trHeight w:val="285"/>
        </w:trPr>
        <w:tc>
          <w:tcPr>
            <w:tcW w:w="2990" w:type="dxa"/>
            <w:shd w:val="clear" w:color="auto" w:fill="FFFFFF"/>
            <w:noWrap/>
            <w:vAlign w:val="center"/>
            <w:hideMark/>
          </w:tcPr>
          <w:p w:rsidR="00600719" w:rsidRPr="00F06708" w:rsidRDefault="00600719" w:rsidP="006D578F">
            <w:pPr>
              <w:jc w:val="right"/>
              <w:rPr>
                <w:rFonts w:ascii="Arial" w:hAnsi="Arial" w:cs="Arial"/>
                <w:sz w:val="16"/>
                <w:szCs w:val="16"/>
              </w:rPr>
            </w:pPr>
            <w:r w:rsidRPr="00F06708">
              <w:rPr>
                <w:rFonts w:ascii="Arial" w:hAnsi="Arial" w:cs="Arial"/>
                <w:sz w:val="16"/>
                <w:szCs w:val="16"/>
              </w:rPr>
              <w:t>INTERFERIE w Ustroniu Morskim - OWS Cechsztyn</w:t>
            </w:r>
          </w:p>
        </w:tc>
        <w:tc>
          <w:tcPr>
            <w:tcW w:w="185" w:type="dxa"/>
            <w:tcBorders>
              <w:top w:val="nil"/>
              <w:left w:val="single" w:sz="4" w:space="0" w:color="auto"/>
              <w:bottom w:val="nil"/>
              <w:right w:val="nil"/>
            </w:tcBorders>
            <w:shd w:val="clear" w:color="auto" w:fill="FFFFFF"/>
            <w:noWrap/>
            <w:vAlign w:val="center"/>
          </w:tcPr>
          <w:p w:rsidR="00600719" w:rsidRPr="00F06708" w:rsidRDefault="00600719" w:rsidP="006D578F">
            <w:pPr>
              <w:jc w:val="center"/>
              <w:rPr>
                <w:rFonts w:ascii="Arial" w:hAnsi="Arial" w:cs="Arial"/>
                <w:sz w:val="16"/>
                <w:szCs w:val="16"/>
              </w:rPr>
            </w:pPr>
          </w:p>
        </w:tc>
        <w:tc>
          <w:tcPr>
            <w:tcW w:w="1091" w:type="dxa"/>
            <w:shd w:val="clear" w:color="auto" w:fill="FFFFFF"/>
            <w:noWrap/>
            <w:vAlign w:val="center"/>
            <w:hideMark/>
          </w:tcPr>
          <w:p w:rsidR="00600719" w:rsidRPr="00F06708" w:rsidRDefault="00600719" w:rsidP="006D578F">
            <w:pPr>
              <w:autoSpaceDE w:val="0"/>
              <w:autoSpaceDN w:val="0"/>
              <w:adjustRightInd w:val="0"/>
              <w:jc w:val="center"/>
              <w:rPr>
                <w:rFonts w:ascii="Arial" w:hAnsi="Arial" w:cs="Arial"/>
                <w:sz w:val="16"/>
                <w:szCs w:val="16"/>
              </w:rPr>
            </w:pPr>
            <w:r w:rsidRPr="00F06708">
              <w:rPr>
                <w:rFonts w:ascii="Arial" w:hAnsi="Arial" w:cs="Arial"/>
                <w:sz w:val="16"/>
                <w:szCs w:val="16"/>
              </w:rPr>
              <w:t>9 437</w:t>
            </w:r>
          </w:p>
        </w:tc>
        <w:tc>
          <w:tcPr>
            <w:tcW w:w="1174" w:type="dxa"/>
            <w:tcBorders>
              <w:top w:val="nil"/>
              <w:left w:val="single" w:sz="4" w:space="0" w:color="auto"/>
              <w:bottom w:val="nil"/>
              <w:right w:val="nil"/>
            </w:tcBorders>
            <w:shd w:val="clear" w:color="auto" w:fill="FFFFFF"/>
            <w:noWrap/>
            <w:vAlign w:val="center"/>
            <w:hideMark/>
          </w:tcPr>
          <w:p w:rsidR="00600719" w:rsidRPr="00F06708" w:rsidRDefault="00600719" w:rsidP="006D578F">
            <w:pPr>
              <w:jc w:val="center"/>
              <w:rPr>
                <w:rFonts w:ascii="Arial" w:hAnsi="Arial" w:cs="Arial"/>
                <w:sz w:val="16"/>
                <w:szCs w:val="16"/>
              </w:rPr>
            </w:pPr>
            <w:r w:rsidRPr="00F06708">
              <w:rPr>
                <w:rFonts w:ascii="Arial" w:hAnsi="Arial" w:cs="Arial"/>
                <w:sz w:val="16"/>
                <w:szCs w:val="16"/>
              </w:rPr>
              <w:t>14 800</w:t>
            </w:r>
          </w:p>
        </w:tc>
        <w:tc>
          <w:tcPr>
            <w:tcW w:w="1174" w:type="dxa"/>
            <w:tcBorders>
              <w:top w:val="nil"/>
              <w:left w:val="nil"/>
              <w:bottom w:val="nil"/>
              <w:right w:val="single" w:sz="4" w:space="0" w:color="auto"/>
            </w:tcBorders>
            <w:noWrap/>
            <w:vAlign w:val="center"/>
            <w:hideMark/>
          </w:tcPr>
          <w:p w:rsidR="00600719" w:rsidRPr="00F06708" w:rsidRDefault="00600719" w:rsidP="006D578F">
            <w:pPr>
              <w:jc w:val="center"/>
              <w:rPr>
                <w:rFonts w:ascii="Arial" w:hAnsi="Arial" w:cs="Arial"/>
                <w:sz w:val="16"/>
                <w:szCs w:val="16"/>
              </w:rPr>
            </w:pPr>
            <w:r w:rsidRPr="00F06708">
              <w:rPr>
                <w:rFonts w:ascii="Arial" w:hAnsi="Arial" w:cs="Arial"/>
                <w:sz w:val="16"/>
                <w:szCs w:val="16"/>
              </w:rPr>
              <w:t>17 377</w:t>
            </w:r>
          </w:p>
        </w:tc>
        <w:tc>
          <w:tcPr>
            <w:tcW w:w="1027" w:type="dxa"/>
            <w:shd w:val="clear" w:color="auto" w:fill="FFFFFF"/>
            <w:noWrap/>
            <w:vAlign w:val="center"/>
            <w:hideMark/>
          </w:tcPr>
          <w:p w:rsidR="00600719" w:rsidRPr="00F06708" w:rsidRDefault="00600719" w:rsidP="006D578F">
            <w:pPr>
              <w:jc w:val="center"/>
              <w:rPr>
                <w:rFonts w:ascii="Arial" w:hAnsi="Arial" w:cs="Arial"/>
                <w:sz w:val="16"/>
                <w:szCs w:val="16"/>
              </w:rPr>
            </w:pPr>
            <w:r w:rsidRPr="00F06708">
              <w:rPr>
                <w:rFonts w:ascii="Arial" w:hAnsi="Arial" w:cs="Arial"/>
                <w:sz w:val="16"/>
                <w:szCs w:val="16"/>
              </w:rPr>
              <w:t>16 959</w:t>
            </w:r>
          </w:p>
        </w:tc>
        <w:tc>
          <w:tcPr>
            <w:tcW w:w="1027" w:type="dxa"/>
            <w:tcBorders>
              <w:top w:val="nil"/>
              <w:left w:val="nil"/>
              <w:bottom w:val="nil"/>
              <w:right w:val="single" w:sz="4" w:space="0" w:color="auto"/>
            </w:tcBorders>
            <w:shd w:val="clear" w:color="auto" w:fill="FFFFFF"/>
            <w:noWrap/>
            <w:vAlign w:val="center"/>
            <w:hideMark/>
          </w:tcPr>
          <w:p w:rsidR="00600719" w:rsidRPr="00F06708" w:rsidRDefault="00600719" w:rsidP="006D578F">
            <w:pPr>
              <w:jc w:val="center"/>
              <w:rPr>
                <w:rFonts w:ascii="Arial" w:hAnsi="Arial" w:cs="Arial"/>
                <w:sz w:val="16"/>
                <w:szCs w:val="16"/>
              </w:rPr>
            </w:pPr>
            <w:r w:rsidRPr="00F06708">
              <w:rPr>
                <w:rFonts w:ascii="Arial" w:hAnsi="Arial" w:cs="Arial"/>
                <w:sz w:val="16"/>
                <w:szCs w:val="16"/>
              </w:rPr>
              <w:t>15 020</w:t>
            </w:r>
          </w:p>
        </w:tc>
      </w:tr>
      <w:tr w:rsidR="00600719" w:rsidRPr="00F06708" w:rsidTr="006D578F">
        <w:trPr>
          <w:trHeight w:val="200"/>
        </w:trPr>
        <w:tc>
          <w:tcPr>
            <w:tcW w:w="2990" w:type="dxa"/>
            <w:shd w:val="clear" w:color="auto" w:fill="FFFFFF"/>
            <w:noWrap/>
            <w:vAlign w:val="center"/>
          </w:tcPr>
          <w:p w:rsidR="00600719" w:rsidRPr="00F06708" w:rsidRDefault="00600719" w:rsidP="006D578F">
            <w:pPr>
              <w:jc w:val="right"/>
              <w:rPr>
                <w:rFonts w:ascii="Arial" w:hAnsi="Arial" w:cs="Arial"/>
                <w:sz w:val="16"/>
                <w:szCs w:val="16"/>
              </w:rPr>
            </w:pPr>
          </w:p>
        </w:tc>
        <w:tc>
          <w:tcPr>
            <w:tcW w:w="185" w:type="dxa"/>
            <w:tcBorders>
              <w:top w:val="nil"/>
              <w:left w:val="single" w:sz="4" w:space="0" w:color="auto"/>
              <w:bottom w:val="nil"/>
              <w:right w:val="nil"/>
            </w:tcBorders>
            <w:shd w:val="clear" w:color="auto" w:fill="FFFFFF"/>
            <w:noWrap/>
            <w:vAlign w:val="center"/>
          </w:tcPr>
          <w:p w:rsidR="00600719" w:rsidRPr="00F06708" w:rsidRDefault="00600719" w:rsidP="006D578F">
            <w:pPr>
              <w:jc w:val="center"/>
              <w:rPr>
                <w:rFonts w:ascii="Arial" w:hAnsi="Arial" w:cs="Arial"/>
                <w:sz w:val="16"/>
                <w:szCs w:val="16"/>
              </w:rPr>
            </w:pPr>
          </w:p>
        </w:tc>
        <w:tc>
          <w:tcPr>
            <w:tcW w:w="1091" w:type="dxa"/>
            <w:shd w:val="clear" w:color="auto" w:fill="FFFFFF"/>
            <w:noWrap/>
            <w:vAlign w:val="center"/>
          </w:tcPr>
          <w:p w:rsidR="00600719" w:rsidRPr="00F06708" w:rsidRDefault="00600719" w:rsidP="006D578F">
            <w:pPr>
              <w:jc w:val="center"/>
              <w:rPr>
                <w:rFonts w:ascii="Arial" w:hAnsi="Arial" w:cs="Arial"/>
                <w:sz w:val="16"/>
                <w:szCs w:val="16"/>
              </w:rPr>
            </w:pPr>
          </w:p>
        </w:tc>
        <w:tc>
          <w:tcPr>
            <w:tcW w:w="1174" w:type="dxa"/>
            <w:tcBorders>
              <w:top w:val="nil"/>
              <w:left w:val="single" w:sz="4" w:space="0" w:color="auto"/>
              <w:bottom w:val="nil"/>
              <w:right w:val="nil"/>
            </w:tcBorders>
            <w:shd w:val="clear" w:color="auto" w:fill="FFFFFF"/>
            <w:noWrap/>
            <w:vAlign w:val="center"/>
          </w:tcPr>
          <w:p w:rsidR="00600719" w:rsidRPr="00F06708" w:rsidRDefault="00600719" w:rsidP="006D578F">
            <w:pPr>
              <w:jc w:val="center"/>
              <w:rPr>
                <w:rFonts w:ascii="Arial" w:hAnsi="Arial" w:cs="Arial"/>
                <w:sz w:val="16"/>
                <w:szCs w:val="16"/>
              </w:rPr>
            </w:pPr>
          </w:p>
        </w:tc>
        <w:tc>
          <w:tcPr>
            <w:tcW w:w="1174" w:type="dxa"/>
            <w:tcBorders>
              <w:top w:val="nil"/>
              <w:left w:val="nil"/>
              <w:bottom w:val="nil"/>
              <w:right w:val="single" w:sz="4" w:space="0" w:color="auto"/>
            </w:tcBorders>
            <w:shd w:val="clear" w:color="auto" w:fill="FFFFFF"/>
            <w:noWrap/>
            <w:vAlign w:val="center"/>
          </w:tcPr>
          <w:p w:rsidR="00600719" w:rsidRPr="00F06708" w:rsidRDefault="00600719" w:rsidP="006D578F">
            <w:pPr>
              <w:jc w:val="center"/>
              <w:rPr>
                <w:rFonts w:ascii="Arial" w:hAnsi="Arial" w:cs="Arial"/>
                <w:sz w:val="16"/>
                <w:szCs w:val="16"/>
              </w:rPr>
            </w:pPr>
          </w:p>
        </w:tc>
        <w:tc>
          <w:tcPr>
            <w:tcW w:w="1027" w:type="dxa"/>
            <w:shd w:val="clear" w:color="auto" w:fill="FFFFFF"/>
            <w:noWrap/>
            <w:vAlign w:val="center"/>
          </w:tcPr>
          <w:p w:rsidR="00600719" w:rsidRPr="00F06708" w:rsidRDefault="00600719" w:rsidP="006D578F">
            <w:pPr>
              <w:jc w:val="center"/>
              <w:rPr>
                <w:rFonts w:ascii="Arial" w:hAnsi="Arial" w:cs="Arial"/>
                <w:sz w:val="16"/>
                <w:szCs w:val="16"/>
              </w:rPr>
            </w:pPr>
          </w:p>
        </w:tc>
        <w:tc>
          <w:tcPr>
            <w:tcW w:w="1027" w:type="dxa"/>
            <w:tcBorders>
              <w:top w:val="nil"/>
              <w:left w:val="nil"/>
              <w:bottom w:val="nil"/>
              <w:right w:val="single" w:sz="4" w:space="0" w:color="auto"/>
            </w:tcBorders>
            <w:shd w:val="clear" w:color="auto" w:fill="FFFFFF"/>
            <w:noWrap/>
            <w:vAlign w:val="center"/>
          </w:tcPr>
          <w:p w:rsidR="00600719" w:rsidRPr="00F06708" w:rsidRDefault="00600719" w:rsidP="006D578F">
            <w:pPr>
              <w:jc w:val="center"/>
              <w:rPr>
                <w:rFonts w:ascii="Arial" w:hAnsi="Arial" w:cs="Arial"/>
                <w:sz w:val="16"/>
                <w:szCs w:val="16"/>
              </w:rPr>
            </w:pPr>
          </w:p>
        </w:tc>
      </w:tr>
      <w:tr w:rsidR="00600719" w:rsidRPr="00F06708" w:rsidTr="006D578F">
        <w:trPr>
          <w:trHeight w:val="136"/>
        </w:trPr>
        <w:tc>
          <w:tcPr>
            <w:tcW w:w="2990" w:type="dxa"/>
            <w:shd w:val="clear" w:color="auto" w:fill="FFFFFF"/>
            <w:noWrap/>
            <w:vAlign w:val="center"/>
            <w:hideMark/>
          </w:tcPr>
          <w:p w:rsidR="00600719" w:rsidRPr="00F06708" w:rsidRDefault="00600719" w:rsidP="006D578F">
            <w:pPr>
              <w:jc w:val="right"/>
              <w:rPr>
                <w:rFonts w:ascii="Arial" w:hAnsi="Arial" w:cs="Arial"/>
                <w:sz w:val="16"/>
                <w:szCs w:val="16"/>
              </w:rPr>
            </w:pPr>
            <w:r w:rsidRPr="00F06708">
              <w:rPr>
                <w:rFonts w:ascii="Arial" w:hAnsi="Arial" w:cs="Arial"/>
                <w:sz w:val="16"/>
                <w:szCs w:val="16"/>
              </w:rPr>
              <w:t xml:space="preserve">INTERFERIE w Kołobrzegu – </w:t>
            </w:r>
          </w:p>
          <w:p w:rsidR="00600719" w:rsidRPr="00F06708" w:rsidRDefault="00600719" w:rsidP="006D578F">
            <w:pPr>
              <w:jc w:val="right"/>
              <w:rPr>
                <w:rFonts w:ascii="Arial" w:hAnsi="Arial" w:cs="Arial"/>
                <w:sz w:val="16"/>
                <w:szCs w:val="16"/>
              </w:rPr>
            </w:pPr>
            <w:r w:rsidRPr="00F06708">
              <w:rPr>
                <w:rFonts w:ascii="Arial" w:hAnsi="Arial" w:cs="Arial"/>
                <w:sz w:val="16"/>
                <w:szCs w:val="16"/>
              </w:rPr>
              <w:t>OSW Chalkozyn</w:t>
            </w:r>
          </w:p>
        </w:tc>
        <w:tc>
          <w:tcPr>
            <w:tcW w:w="185" w:type="dxa"/>
            <w:tcBorders>
              <w:top w:val="nil"/>
              <w:left w:val="single" w:sz="4" w:space="0" w:color="auto"/>
              <w:bottom w:val="nil"/>
              <w:right w:val="nil"/>
            </w:tcBorders>
            <w:shd w:val="clear" w:color="auto" w:fill="FFFFFF"/>
            <w:noWrap/>
            <w:vAlign w:val="center"/>
          </w:tcPr>
          <w:p w:rsidR="00600719" w:rsidRPr="00F06708" w:rsidRDefault="00600719" w:rsidP="006D578F">
            <w:pPr>
              <w:jc w:val="center"/>
              <w:rPr>
                <w:rFonts w:ascii="Arial" w:hAnsi="Arial" w:cs="Arial"/>
                <w:sz w:val="16"/>
                <w:szCs w:val="16"/>
              </w:rPr>
            </w:pPr>
          </w:p>
        </w:tc>
        <w:tc>
          <w:tcPr>
            <w:tcW w:w="1091" w:type="dxa"/>
            <w:shd w:val="clear" w:color="auto" w:fill="FFFFFF"/>
            <w:noWrap/>
            <w:vAlign w:val="center"/>
            <w:hideMark/>
          </w:tcPr>
          <w:p w:rsidR="00600719" w:rsidRPr="00F06708" w:rsidRDefault="00600719" w:rsidP="006D578F">
            <w:pPr>
              <w:jc w:val="center"/>
              <w:rPr>
                <w:rFonts w:ascii="Arial" w:hAnsi="Arial" w:cs="Arial"/>
                <w:sz w:val="16"/>
                <w:szCs w:val="16"/>
              </w:rPr>
            </w:pPr>
            <w:r w:rsidRPr="00F06708">
              <w:rPr>
                <w:rFonts w:ascii="Arial" w:hAnsi="Arial" w:cs="Arial"/>
                <w:sz w:val="16"/>
                <w:szCs w:val="16"/>
              </w:rPr>
              <w:t>18 699</w:t>
            </w:r>
          </w:p>
        </w:tc>
        <w:tc>
          <w:tcPr>
            <w:tcW w:w="1174" w:type="dxa"/>
            <w:tcBorders>
              <w:top w:val="nil"/>
              <w:left w:val="single" w:sz="4" w:space="0" w:color="auto"/>
              <w:bottom w:val="nil"/>
              <w:right w:val="nil"/>
            </w:tcBorders>
            <w:shd w:val="clear" w:color="auto" w:fill="FFFFFF"/>
            <w:noWrap/>
            <w:vAlign w:val="center"/>
            <w:hideMark/>
          </w:tcPr>
          <w:p w:rsidR="00600719" w:rsidRPr="00F06708" w:rsidRDefault="00600719" w:rsidP="006D578F">
            <w:pPr>
              <w:jc w:val="center"/>
              <w:rPr>
                <w:rFonts w:ascii="Arial" w:hAnsi="Arial" w:cs="Arial"/>
                <w:sz w:val="16"/>
                <w:szCs w:val="16"/>
              </w:rPr>
            </w:pPr>
            <w:r w:rsidRPr="00F06708">
              <w:rPr>
                <w:rFonts w:ascii="Arial" w:hAnsi="Arial" w:cs="Arial"/>
                <w:sz w:val="16"/>
                <w:szCs w:val="16"/>
              </w:rPr>
              <w:t>27 476</w:t>
            </w:r>
          </w:p>
        </w:tc>
        <w:tc>
          <w:tcPr>
            <w:tcW w:w="1174" w:type="dxa"/>
            <w:tcBorders>
              <w:top w:val="nil"/>
              <w:left w:val="nil"/>
              <w:bottom w:val="nil"/>
              <w:right w:val="single" w:sz="4" w:space="0" w:color="auto"/>
            </w:tcBorders>
            <w:shd w:val="clear" w:color="auto" w:fill="FFFFFF"/>
            <w:noWrap/>
            <w:vAlign w:val="center"/>
            <w:hideMark/>
          </w:tcPr>
          <w:p w:rsidR="00600719" w:rsidRPr="00F06708" w:rsidRDefault="00600719" w:rsidP="006D578F">
            <w:pPr>
              <w:jc w:val="center"/>
              <w:rPr>
                <w:rFonts w:ascii="Arial" w:hAnsi="Arial" w:cs="Arial"/>
                <w:sz w:val="16"/>
                <w:szCs w:val="16"/>
              </w:rPr>
            </w:pPr>
            <w:r w:rsidRPr="00F06708">
              <w:rPr>
                <w:rFonts w:ascii="Arial" w:hAnsi="Arial" w:cs="Arial"/>
                <w:sz w:val="16"/>
                <w:szCs w:val="16"/>
              </w:rPr>
              <w:t>40 428</w:t>
            </w:r>
          </w:p>
        </w:tc>
        <w:tc>
          <w:tcPr>
            <w:tcW w:w="1027" w:type="dxa"/>
            <w:shd w:val="clear" w:color="auto" w:fill="FFFFFF"/>
            <w:noWrap/>
            <w:vAlign w:val="center"/>
            <w:hideMark/>
          </w:tcPr>
          <w:p w:rsidR="00600719" w:rsidRPr="00F06708" w:rsidRDefault="00600719" w:rsidP="006D578F">
            <w:pPr>
              <w:jc w:val="center"/>
              <w:rPr>
                <w:rFonts w:ascii="Arial" w:hAnsi="Arial" w:cs="Arial"/>
                <w:sz w:val="16"/>
                <w:szCs w:val="16"/>
              </w:rPr>
            </w:pPr>
            <w:r w:rsidRPr="00F06708">
              <w:rPr>
                <w:rFonts w:ascii="Arial" w:hAnsi="Arial" w:cs="Arial"/>
                <w:sz w:val="16"/>
                <w:szCs w:val="16"/>
              </w:rPr>
              <w:t>37 922</w:t>
            </w:r>
          </w:p>
        </w:tc>
        <w:tc>
          <w:tcPr>
            <w:tcW w:w="1027" w:type="dxa"/>
            <w:tcBorders>
              <w:top w:val="nil"/>
              <w:left w:val="nil"/>
              <w:bottom w:val="nil"/>
              <w:right w:val="single" w:sz="4" w:space="0" w:color="auto"/>
            </w:tcBorders>
            <w:shd w:val="clear" w:color="auto" w:fill="FFFFFF"/>
            <w:noWrap/>
            <w:vAlign w:val="center"/>
            <w:hideMark/>
          </w:tcPr>
          <w:p w:rsidR="00600719" w:rsidRPr="00F06708" w:rsidRDefault="00600719" w:rsidP="006D578F">
            <w:pPr>
              <w:jc w:val="center"/>
              <w:rPr>
                <w:rFonts w:ascii="Arial" w:hAnsi="Arial" w:cs="Arial"/>
                <w:sz w:val="16"/>
                <w:szCs w:val="16"/>
              </w:rPr>
            </w:pPr>
            <w:r w:rsidRPr="00F06708">
              <w:rPr>
                <w:rFonts w:ascii="Arial" w:hAnsi="Arial" w:cs="Arial"/>
                <w:sz w:val="16"/>
                <w:szCs w:val="16"/>
              </w:rPr>
              <w:t>28 893</w:t>
            </w:r>
          </w:p>
        </w:tc>
      </w:tr>
      <w:tr w:rsidR="00600719" w:rsidRPr="00F06708" w:rsidTr="006D578F">
        <w:trPr>
          <w:trHeight w:val="285"/>
        </w:trPr>
        <w:tc>
          <w:tcPr>
            <w:tcW w:w="2990" w:type="dxa"/>
            <w:shd w:val="clear" w:color="auto" w:fill="FFFFFF"/>
            <w:noWrap/>
            <w:vAlign w:val="center"/>
          </w:tcPr>
          <w:p w:rsidR="00600719" w:rsidRPr="00F06708" w:rsidRDefault="00600719" w:rsidP="006D578F">
            <w:pPr>
              <w:jc w:val="right"/>
              <w:rPr>
                <w:rFonts w:ascii="Arial" w:hAnsi="Arial" w:cs="Arial"/>
                <w:sz w:val="16"/>
                <w:szCs w:val="16"/>
              </w:rPr>
            </w:pPr>
          </w:p>
        </w:tc>
        <w:tc>
          <w:tcPr>
            <w:tcW w:w="185" w:type="dxa"/>
            <w:tcBorders>
              <w:top w:val="nil"/>
              <w:left w:val="single" w:sz="4" w:space="0" w:color="auto"/>
              <w:bottom w:val="nil"/>
              <w:right w:val="nil"/>
            </w:tcBorders>
            <w:shd w:val="clear" w:color="auto" w:fill="FFFFFF"/>
            <w:noWrap/>
            <w:vAlign w:val="center"/>
          </w:tcPr>
          <w:p w:rsidR="00600719" w:rsidRPr="00F06708" w:rsidRDefault="00600719" w:rsidP="006D578F">
            <w:pPr>
              <w:jc w:val="center"/>
              <w:rPr>
                <w:rFonts w:ascii="Arial" w:hAnsi="Arial" w:cs="Arial"/>
                <w:sz w:val="16"/>
                <w:szCs w:val="16"/>
              </w:rPr>
            </w:pPr>
          </w:p>
        </w:tc>
        <w:tc>
          <w:tcPr>
            <w:tcW w:w="1091" w:type="dxa"/>
            <w:shd w:val="clear" w:color="auto" w:fill="FFFFFF"/>
            <w:noWrap/>
            <w:vAlign w:val="center"/>
          </w:tcPr>
          <w:p w:rsidR="00600719" w:rsidRPr="00F06708" w:rsidRDefault="00600719" w:rsidP="006D578F">
            <w:pPr>
              <w:jc w:val="center"/>
              <w:rPr>
                <w:rFonts w:ascii="Arial" w:hAnsi="Arial" w:cs="Arial"/>
                <w:sz w:val="16"/>
                <w:szCs w:val="16"/>
              </w:rPr>
            </w:pPr>
          </w:p>
        </w:tc>
        <w:tc>
          <w:tcPr>
            <w:tcW w:w="1174" w:type="dxa"/>
            <w:tcBorders>
              <w:top w:val="nil"/>
              <w:left w:val="single" w:sz="4" w:space="0" w:color="auto"/>
              <w:bottom w:val="nil"/>
              <w:right w:val="nil"/>
            </w:tcBorders>
            <w:shd w:val="clear" w:color="auto" w:fill="FFFFFF"/>
            <w:noWrap/>
            <w:vAlign w:val="center"/>
          </w:tcPr>
          <w:p w:rsidR="00600719" w:rsidRPr="00F06708" w:rsidRDefault="00600719" w:rsidP="006D578F">
            <w:pPr>
              <w:jc w:val="center"/>
              <w:rPr>
                <w:rFonts w:ascii="Arial" w:hAnsi="Arial" w:cs="Arial"/>
                <w:sz w:val="16"/>
                <w:szCs w:val="16"/>
              </w:rPr>
            </w:pPr>
          </w:p>
        </w:tc>
        <w:tc>
          <w:tcPr>
            <w:tcW w:w="1174" w:type="dxa"/>
            <w:tcBorders>
              <w:top w:val="nil"/>
              <w:left w:val="nil"/>
              <w:bottom w:val="nil"/>
              <w:right w:val="single" w:sz="4" w:space="0" w:color="auto"/>
            </w:tcBorders>
            <w:shd w:val="clear" w:color="auto" w:fill="FFFFFF"/>
            <w:noWrap/>
            <w:vAlign w:val="center"/>
          </w:tcPr>
          <w:p w:rsidR="00600719" w:rsidRPr="00F06708" w:rsidRDefault="00600719" w:rsidP="006D578F">
            <w:pPr>
              <w:jc w:val="center"/>
              <w:rPr>
                <w:rFonts w:ascii="Arial" w:hAnsi="Arial" w:cs="Arial"/>
                <w:sz w:val="16"/>
                <w:szCs w:val="16"/>
              </w:rPr>
            </w:pPr>
          </w:p>
        </w:tc>
        <w:tc>
          <w:tcPr>
            <w:tcW w:w="1027" w:type="dxa"/>
            <w:shd w:val="clear" w:color="auto" w:fill="FFFFFF"/>
            <w:noWrap/>
            <w:vAlign w:val="center"/>
          </w:tcPr>
          <w:p w:rsidR="00600719" w:rsidRPr="00F06708" w:rsidRDefault="00600719" w:rsidP="006D578F">
            <w:pPr>
              <w:jc w:val="center"/>
              <w:rPr>
                <w:rFonts w:ascii="Arial" w:hAnsi="Arial" w:cs="Arial"/>
                <w:sz w:val="16"/>
                <w:szCs w:val="16"/>
              </w:rPr>
            </w:pPr>
          </w:p>
        </w:tc>
        <w:tc>
          <w:tcPr>
            <w:tcW w:w="1027" w:type="dxa"/>
            <w:tcBorders>
              <w:top w:val="nil"/>
              <w:left w:val="nil"/>
              <w:bottom w:val="nil"/>
              <w:right w:val="single" w:sz="4" w:space="0" w:color="auto"/>
            </w:tcBorders>
            <w:shd w:val="clear" w:color="auto" w:fill="FFFFFF"/>
            <w:noWrap/>
            <w:vAlign w:val="center"/>
          </w:tcPr>
          <w:p w:rsidR="00600719" w:rsidRPr="00F06708" w:rsidRDefault="00600719" w:rsidP="006D578F">
            <w:pPr>
              <w:jc w:val="center"/>
              <w:rPr>
                <w:rFonts w:ascii="Arial" w:hAnsi="Arial" w:cs="Arial"/>
                <w:sz w:val="16"/>
                <w:szCs w:val="16"/>
              </w:rPr>
            </w:pPr>
          </w:p>
        </w:tc>
      </w:tr>
      <w:tr w:rsidR="00600719" w:rsidRPr="00F06708" w:rsidTr="006D578F">
        <w:trPr>
          <w:trHeight w:val="347"/>
        </w:trPr>
        <w:tc>
          <w:tcPr>
            <w:tcW w:w="2990" w:type="dxa"/>
            <w:shd w:val="clear" w:color="auto" w:fill="FFFFFF"/>
            <w:noWrap/>
            <w:vAlign w:val="center"/>
            <w:hideMark/>
          </w:tcPr>
          <w:p w:rsidR="00600719" w:rsidRPr="00F06708" w:rsidRDefault="00600719" w:rsidP="006D578F">
            <w:pPr>
              <w:jc w:val="right"/>
              <w:rPr>
                <w:rFonts w:ascii="Arial" w:hAnsi="Arial" w:cs="Arial"/>
                <w:sz w:val="16"/>
                <w:szCs w:val="16"/>
              </w:rPr>
            </w:pPr>
            <w:r w:rsidRPr="00F06708">
              <w:rPr>
                <w:rFonts w:ascii="Arial" w:hAnsi="Arial" w:cs="Arial"/>
                <w:sz w:val="16"/>
                <w:szCs w:val="16"/>
              </w:rPr>
              <w:t>INTERFERIE w Dąbkach Sanatorium Uzdrowiskowe Argentyt</w:t>
            </w:r>
          </w:p>
        </w:tc>
        <w:tc>
          <w:tcPr>
            <w:tcW w:w="185" w:type="dxa"/>
            <w:tcBorders>
              <w:top w:val="nil"/>
              <w:left w:val="single" w:sz="4" w:space="0" w:color="auto"/>
              <w:bottom w:val="nil"/>
              <w:right w:val="nil"/>
            </w:tcBorders>
            <w:shd w:val="clear" w:color="auto" w:fill="FFFFFF"/>
            <w:noWrap/>
            <w:vAlign w:val="center"/>
          </w:tcPr>
          <w:p w:rsidR="00600719" w:rsidRPr="00F06708" w:rsidRDefault="00600719" w:rsidP="006D578F">
            <w:pPr>
              <w:jc w:val="center"/>
              <w:rPr>
                <w:rFonts w:ascii="Arial" w:hAnsi="Arial" w:cs="Arial"/>
                <w:sz w:val="16"/>
                <w:szCs w:val="16"/>
              </w:rPr>
            </w:pPr>
          </w:p>
        </w:tc>
        <w:tc>
          <w:tcPr>
            <w:tcW w:w="1091" w:type="dxa"/>
            <w:shd w:val="clear" w:color="auto" w:fill="FFFFFF"/>
            <w:noWrap/>
            <w:vAlign w:val="center"/>
            <w:hideMark/>
          </w:tcPr>
          <w:p w:rsidR="00600719" w:rsidRPr="00F06708" w:rsidRDefault="00600719" w:rsidP="006D578F">
            <w:pPr>
              <w:jc w:val="center"/>
              <w:rPr>
                <w:rFonts w:ascii="Arial" w:hAnsi="Arial" w:cs="Arial"/>
                <w:sz w:val="16"/>
                <w:szCs w:val="16"/>
              </w:rPr>
            </w:pPr>
            <w:r w:rsidRPr="00F06708">
              <w:rPr>
                <w:rFonts w:ascii="Arial" w:hAnsi="Arial" w:cs="Arial"/>
                <w:sz w:val="16"/>
                <w:szCs w:val="16"/>
              </w:rPr>
              <w:t>76 976</w:t>
            </w:r>
          </w:p>
        </w:tc>
        <w:tc>
          <w:tcPr>
            <w:tcW w:w="1174" w:type="dxa"/>
            <w:tcBorders>
              <w:top w:val="nil"/>
              <w:left w:val="single" w:sz="4" w:space="0" w:color="auto"/>
              <w:bottom w:val="nil"/>
              <w:right w:val="nil"/>
            </w:tcBorders>
            <w:shd w:val="clear" w:color="auto" w:fill="FFFFFF"/>
            <w:noWrap/>
            <w:vAlign w:val="center"/>
            <w:hideMark/>
          </w:tcPr>
          <w:p w:rsidR="00600719" w:rsidRPr="00F06708" w:rsidRDefault="00600719" w:rsidP="006D578F">
            <w:pPr>
              <w:jc w:val="center"/>
              <w:rPr>
                <w:rFonts w:ascii="Arial" w:hAnsi="Arial" w:cs="Arial"/>
                <w:sz w:val="16"/>
                <w:szCs w:val="16"/>
              </w:rPr>
            </w:pPr>
            <w:r w:rsidRPr="00F06708">
              <w:rPr>
                <w:rFonts w:ascii="Arial" w:hAnsi="Arial" w:cs="Arial"/>
                <w:sz w:val="16"/>
                <w:szCs w:val="16"/>
              </w:rPr>
              <w:t>107 395</w:t>
            </w:r>
          </w:p>
        </w:tc>
        <w:tc>
          <w:tcPr>
            <w:tcW w:w="1174" w:type="dxa"/>
            <w:tcBorders>
              <w:top w:val="nil"/>
              <w:left w:val="nil"/>
              <w:bottom w:val="nil"/>
              <w:right w:val="single" w:sz="4" w:space="0" w:color="auto"/>
            </w:tcBorders>
            <w:shd w:val="clear" w:color="auto" w:fill="FFFFFF"/>
            <w:noWrap/>
            <w:vAlign w:val="center"/>
            <w:hideMark/>
          </w:tcPr>
          <w:p w:rsidR="00600719" w:rsidRPr="00F06708" w:rsidRDefault="00600719" w:rsidP="006D578F">
            <w:pPr>
              <w:jc w:val="center"/>
              <w:rPr>
                <w:rFonts w:ascii="Arial" w:hAnsi="Arial" w:cs="Arial"/>
                <w:sz w:val="16"/>
                <w:szCs w:val="16"/>
              </w:rPr>
            </w:pPr>
            <w:r w:rsidRPr="00F06708">
              <w:rPr>
                <w:rFonts w:ascii="Arial" w:hAnsi="Arial" w:cs="Arial"/>
                <w:sz w:val="16"/>
                <w:szCs w:val="16"/>
              </w:rPr>
              <w:t>123 399</w:t>
            </w:r>
          </w:p>
        </w:tc>
        <w:tc>
          <w:tcPr>
            <w:tcW w:w="1027" w:type="dxa"/>
            <w:shd w:val="clear" w:color="auto" w:fill="FFFFFF"/>
            <w:noWrap/>
            <w:vAlign w:val="center"/>
            <w:hideMark/>
          </w:tcPr>
          <w:p w:rsidR="00600719" w:rsidRPr="00F06708" w:rsidRDefault="00600719" w:rsidP="006D578F">
            <w:pPr>
              <w:jc w:val="center"/>
              <w:rPr>
                <w:rFonts w:ascii="Arial" w:hAnsi="Arial" w:cs="Arial"/>
                <w:sz w:val="16"/>
                <w:szCs w:val="16"/>
              </w:rPr>
            </w:pPr>
            <w:r w:rsidRPr="00F06708">
              <w:rPr>
                <w:rFonts w:ascii="Arial" w:hAnsi="Arial" w:cs="Arial"/>
                <w:sz w:val="16"/>
                <w:szCs w:val="16"/>
              </w:rPr>
              <w:t>120 971</w:t>
            </w:r>
          </w:p>
        </w:tc>
        <w:tc>
          <w:tcPr>
            <w:tcW w:w="1027" w:type="dxa"/>
            <w:tcBorders>
              <w:top w:val="nil"/>
              <w:left w:val="nil"/>
              <w:bottom w:val="nil"/>
              <w:right w:val="single" w:sz="4" w:space="0" w:color="auto"/>
            </w:tcBorders>
            <w:shd w:val="clear" w:color="auto" w:fill="FFFFFF"/>
            <w:noWrap/>
            <w:vAlign w:val="center"/>
            <w:hideMark/>
          </w:tcPr>
          <w:p w:rsidR="00600719" w:rsidRPr="00F06708" w:rsidRDefault="00600719" w:rsidP="006D578F">
            <w:pPr>
              <w:jc w:val="center"/>
              <w:rPr>
                <w:rFonts w:ascii="Arial" w:hAnsi="Arial" w:cs="Arial"/>
                <w:sz w:val="16"/>
                <w:szCs w:val="16"/>
              </w:rPr>
            </w:pPr>
            <w:r w:rsidRPr="00F06708">
              <w:rPr>
                <w:rFonts w:ascii="Arial" w:hAnsi="Arial" w:cs="Arial"/>
                <w:sz w:val="16"/>
                <w:szCs w:val="16"/>
              </w:rPr>
              <w:t>108 640</w:t>
            </w:r>
          </w:p>
        </w:tc>
      </w:tr>
      <w:tr w:rsidR="00600719" w:rsidRPr="00F06708" w:rsidTr="006D578F">
        <w:trPr>
          <w:trHeight w:val="285"/>
        </w:trPr>
        <w:tc>
          <w:tcPr>
            <w:tcW w:w="2990" w:type="dxa"/>
            <w:shd w:val="clear" w:color="auto" w:fill="FFFFFF"/>
            <w:noWrap/>
            <w:vAlign w:val="center"/>
          </w:tcPr>
          <w:p w:rsidR="00600719" w:rsidRPr="00F06708" w:rsidRDefault="00600719" w:rsidP="006D578F">
            <w:pPr>
              <w:jc w:val="right"/>
              <w:rPr>
                <w:rFonts w:ascii="Arial" w:hAnsi="Arial" w:cs="Arial"/>
                <w:sz w:val="16"/>
                <w:szCs w:val="16"/>
              </w:rPr>
            </w:pPr>
          </w:p>
        </w:tc>
        <w:tc>
          <w:tcPr>
            <w:tcW w:w="185" w:type="dxa"/>
            <w:tcBorders>
              <w:top w:val="nil"/>
              <w:left w:val="single" w:sz="4" w:space="0" w:color="auto"/>
              <w:bottom w:val="nil"/>
              <w:right w:val="nil"/>
            </w:tcBorders>
            <w:shd w:val="clear" w:color="auto" w:fill="FFFFFF"/>
            <w:noWrap/>
            <w:vAlign w:val="center"/>
          </w:tcPr>
          <w:p w:rsidR="00600719" w:rsidRPr="00F06708" w:rsidRDefault="00600719" w:rsidP="006D578F">
            <w:pPr>
              <w:jc w:val="center"/>
              <w:rPr>
                <w:rFonts w:ascii="Arial" w:hAnsi="Arial" w:cs="Arial"/>
                <w:sz w:val="16"/>
                <w:szCs w:val="16"/>
              </w:rPr>
            </w:pPr>
          </w:p>
        </w:tc>
        <w:tc>
          <w:tcPr>
            <w:tcW w:w="1091" w:type="dxa"/>
            <w:shd w:val="clear" w:color="auto" w:fill="FFFFFF"/>
            <w:noWrap/>
            <w:vAlign w:val="center"/>
          </w:tcPr>
          <w:p w:rsidR="00600719" w:rsidRPr="00F06708" w:rsidRDefault="00600719" w:rsidP="006D578F">
            <w:pPr>
              <w:jc w:val="center"/>
              <w:rPr>
                <w:rFonts w:ascii="Arial" w:hAnsi="Arial" w:cs="Arial"/>
                <w:sz w:val="16"/>
                <w:szCs w:val="16"/>
              </w:rPr>
            </w:pPr>
          </w:p>
        </w:tc>
        <w:tc>
          <w:tcPr>
            <w:tcW w:w="1174" w:type="dxa"/>
            <w:tcBorders>
              <w:top w:val="nil"/>
              <w:left w:val="single" w:sz="4" w:space="0" w:color="auto"/>
              <w:bottom w:val="nil"/>
              <w:right w:val="nil"/>
            </w:tcBorders>
            <w:shd w:val="clear" w:color="auto" w:fill="FFFFFF"/>
            <w:noWrap/>
            <w:vAlign w:val="center"/>
          </w:tcPr>
          <w:p w:rsidR="00600719" w:rsidRPr="00F06708" w:rsidRDefault="00600719" w:rsidP="006D578F">
            <w:pPr>
              <w:jc w:val="center"/>
              <w:rPr>
                <w:rFonts w:ascii="Arial" w:hAnsi="Arial" w:cs="Arial"/>
                <w:sz w:val="16"/>
                <w:szCs w:val="16"/>
              </w:rPr>
            </w:pPr>
          </w:p>
        </w:tc>
        <w:tc>
          <w:tcPr>
            <w:tcW w:w="1174" w:type="dxa"/>
            <w:tcBorders>
              <w:top w:val="nil"/>
              <w:left w:val="nil"/>
              <w:bottom w:val="nil"/>
              <w:right w:val="single" w:sz="4" w:space="0" w:color="auto"/>
            </w:tcBorders>
            <w:shd w:val="clear" w:color="auto" w:fill="FFFFFF"/>
            <w:noWrap/>
            <w:vAlign w:val="center"/>
          </w:tcPr>
          <w:p w:rsidR="00600719" w:rsidRPr="00F06708" w:rsidRDefault="00600719" w:rsidP="006D578F">
            <w:pPr>
              <w:jc w:val="center"/>
              <w:rPr>
                <w:rFonts w:ascii="Arial" w:hAnsi="Arial" w:cs="Arial"/>
                <w:sz w:val="16"/>
                <w:szCs w:val="16"/>
              </w:rPr>
            </w:pPr>
          </w:p>
        </w:tc>
        <w:tc>
          <w:tcPr>
            <w:tcW w:w="1027" w:type="dxa"/>
            <w:shd w:val="clear" w:color="auto" w:fill="FFFFFF"/>
            <w:noWrap/>
            <w:vAlign w:val="center"/>
          </w:tcPr>
          <w:p w:rsidR="00600719" w:rsidRPr="00F06708" w:rsidRDefault="00600719" w:rsidP="006D578F">
            <w:pPr>
              <w:jc w:val="center"/>
              <w:rPr>
                <w:rFonts w:ascii="Arial" w:hAnsi="Arial" w:cs="Arial"/>
                <w:sz w:val="16"/>
                <w:szCs w:val="16"/>
              </w:rPr>
            </w:pPr>
          </w:p>
        </w:tc>
        <w:tc>
          <w:tcPr>
            <w:tcW w:w="1027" w:type="dxa"/>
            <w:tcBorders>
              <w:top w:val="nil"/>
              <w:left w:val="nil"/>
              <w:bottom w:val="nil"/>
              <w:right w:val="single" w:sz="4" w:space="0" w:color="auto"/>
            </w:tcBorders>
            <w:shd w:val="clear" w:color="auto" w:fill="FFFFFF"/>
            <w:noWrap/>
            <w:vAlign w:val="center"/>
          </w:tcPr>
          <w:p w:rsidR="00600719" w:rsidRPr="00F06708" w:rsidRDefault="00600719" w:rsidP="006D578F">
            <w:pPr>
              <w:jc w:val="center"/>
              <w:rPr>
                <w:rFonts w:ascii="Arial" w:hAnsi="Arial" w:cs="Arial"/>
                <w:sz w:val="16"/>
                <w:szCs w:val="16"/>
              </w:rPr>
            </w:pPr>
          </w:p>
        </w:tc>
      </w:tr>
    </w:tbl>
    <w:p w:rsidR="00600719" w:rsidRDefault="00600719" w:rsidP="00600719">
      <w:pPr>
        <w:autoSpaceDE w:val="0"/>
        <w:autoSpaceDN w:val="0"/>
        <w:adjustRightInd w:val="0"/>
        <w:jc w:val="both"/>
        <w:rPr>
          <w:rFonts w:ascii="Arial" w:hAnsi="Arial" w:cs="Arial"/>
          <w:sz w:val="18"/>
          <w:szCs w:val="18"/>
        </w:rPr>
      </w:pPr>
    </w:p>
    <w:p w:rsidR="00600719" w:rsidRPr="000B50EE" w:rsidRDefault="00600719" w:rsidP="00600719">
      <w:pPr>
        <w:autoSpaceDE w:val="0"/>
        <w:autoSpaceDN w:val="0"/>
        <w:adjustRightInd w:val="0"/>
        <w:jc w:val="both"/>
        <w:rPr>
          <w:rFonts w:ascii="Arial" w:hAnsi="Arial" w:cs="Arial"/>
          <w:sz w:val="18"/>
          <w:szCs w:val="18"/>
        </w:rPr>
      </w:pPr>
      <w:r w:rsidRPr="000B50EE">
        <w:rPr>
          <w:rFonts w:ascii="Arial" w:hAnsi="Arial" w:cs="Arial"/>
          <w:sz w:val="18"/>
          <w:szCs w:val="18"/>
        </w:rPr>
        <w:t xml:space="preserve">Zmiana stopy dyskonta oraz zmiana wartości zysku operacyjnego, przy której wycena majątku byłaby zrównana </w:t>
      </w:r>
      <w:r w:rsidRPr="000B50EE">
        <w:rPr>
          <w:rFonts w:ascii="Arial" w:hAnsi="Arial" w:cs="Arial"/>
          <w:sz w:val="18"/>
          <w:szCs w:val="18"/>
        </w:rPr>
        <w:br/>
        <w:t>z wartością bilansową, przedstawiają się jak poniżej:</w:t>
      </w:r>
    </w:p>
    <w:p w:rsidR="00600719" w:rsidRPr="00C42EEA" w:rsidRDefault="00600719" w:rsidP="00600719">
      <w:pPr>
        <w:autoSpaceDE w:val="0"/>
        <w:autoSpaceDN w:val="0"/>
        <w:adjustRightInd w:val="0"/>
        <w:jc w:val="both"/>
        <w:rPr>
          <w:rFonts w:ascii="Arial" w:hAnsi="Arial" w:cs="Arial"/>
          <w:sz w:val="18"/>
          <w:szCs w:val="18"/>
          <w:highlight w:val="yellow"/>
        </w:rPr>
      </w:pPr>
    </w:p>
    <w:tbl>
      <w:tblPr>
        <w:tblW w:w="7951" w:type="dxa"/>
        <w:tblInd w:w="57" w:type="dxa"/>
        <w:tblCellMar>
          <w:left w:w="70" w:type="dxa"/>
          <w:right w:w="70" w:type="dxa"/>
        </w:tblCellMar>
        <w:tblLook w:val="04A0" w:firstRow="1" w:lastRow="0" w:firstColumn="1" w:lastColumn="0" w:noHBand="0" w:noVBand="1"/>
      </w:tblPr>
      <w:tblGrid>
        <w:gridCol w:w="4266"/>
        <w:gridCol w:w="1843"/>
        <w:gridCol w:w="1842"/>
      </w:tblGrid>
      <w:tr w:rsidR="00600719" w:rsidRPr="00F06708" w:rsidTr="006D578F">
        <w:trPr>
          <w:trHeight w:val="450"/>
        </w:trPr>
        <w:tc>
          <w:tcPr>
            <w:tcW w:w="4266" w:type="dxa"/>
            <w:shd w:val="clear" w:color="auto" w:fill="auto"/>
            <w:noWrap/>
            <w:vAlign w:val="center"/>
            <w:hideMark/>
          </w:tcPr>
          <w:p w:rsidR="00600719" w:rsidRPr="00F06708" w:rsidRDefault="00600719" w:rsidP="006D578F">
            <w:pPr>
              <w:rPr>
                <w:rFonts w:ascii="Arial" w:hAnsi="Arial" w:cs="Arial"/>
                <w:sz w:val="16"/>
                <w:szCs w:val="16"/>
              </w:rPr>
            </w:pPr>
            <w:r w:rsidRPr="00F06708">
              <w:rPr>
                <w:rFonts w:ascii="Arial" w:hAnsi="Arial" w:cs="Arial"/>
                <w:sz w:val="16"/>
                <w:szCs w:val="16"/>
              </w:rPr>
              <w:t> </w:t>
            </w:r>
          </w:p>
        </w:tc>
        <w:tc>
          <w:tcPr>
            <w:tcW w:w="1843" w:type="dxa"/>
            <w:tcBorders>
              <w:top w:val="nil"/>
              <w:left w:val="nil"/>
              <w:bottom w:val="single" w:sz="4" w:space="0" w:color="auto"/>
              <w:right w:val="nil"/>
            </w:tcBorders>
            <w:shd w:val="clear" w:color="auto" w:fill="auto"/>
            <w:vAlign w:val="center"/>
            <w:hideMark/>
          </w:tcPr>
          <w:p w:rsidR="00600719" w:rsidRPr="00F06708" w:rsidRDefault="00600719" w:rsidP="006D578F">
            <w:pPr>
              <w:ind w:right="-70"/>
              <w:jc w:val="center"/>
              <w:rPr>
                <w:rFonts w:ascii="Arial" w:hAnsi="Arial" w:cs="Arial"/>
                <w:sz w:val="16"/>
                <w:szCs w:val="16"/>
              </w:rPr>
            </w:pPr>
            <w:r w:rsidRPr="00F06708">
              <w:rPr>
                <w:rFonts w:ascii="Arial" w:hAnsi="Arial" w:cs="Arial"/>
                <w:sz w:val="16"/>
                <w:szCs w:val="16"/>
              </w:rPr>
              <w:t>wzrost</w:t>
            </w:r>
          </w:p>
          <w:p w:rsidR="00600719" w:rsidRPr="00F06708" w:rsidRDefault="00600719" w:rsidP="006D578F">
            <w:pPr>
              <w:jc w:val="center"/>
              <w:rPr>
                <w:rFonts w:ascii="Arial" w:hAnsi="Arial" w:cs="Arial"/>
                <w:sz w:val="16"/>
                <w:szCs w:val="16"/>
              </w:rPr>
            </w:pPr>
            <w:r w:rsidRPr="00F06708">
              <w:rPr>
                <w:rFonts w:ascii="Arial" w:hAnsi="Arial" w:cs="Arial"/>
                <w:sz w:val="16"/>
                <w:szCs w:val="16"/>
              </w:rPr>
              <w:t>stopy dyskonta o pkt proc.</w:t>
            </w:r>
          </w:p>
        </w:tc>
        <w:tc>
          <w:tcPr>
            <w:tcW w:w="1842" w:type="dxa"/>
            <w:tcBorders>
              <w:top w:val="nil"/>
              <w:left w:val="nil"/>
              <w:bottom w:val="single" w:sz="4" w:space="0" w:color="auto"/>
              <w:right w:val="nil"/>
            </w:tcBorders>
            <w:shd w:val="clear" w:color="auto" w:fill="auto"/>
            <w:vAlign w:val="center"/>
            <w:hideMark/>
          </w:tcPr>
          <w:p w:rsidR="00600719" w:rsidRPr="00F06708" w:rsidRDefault="00600719" w:rsidP="006D578F">
            <w:pPr>
              <w:jc w:val="center"/>
              <w:rPr>
                <w:rFonts w:ascii="Arial" w:hAnsi="Arial" w:cs="Arial"/>
                <w:sz w:val="16"/>
                <w:szCs w:val="16"/>
              </w:rPr>
            </w:pPr>
            <w:r w:rsidRPr="00F06708">
              <w:rPr>
                <w:rFonts w:ascii="Arial" w:hAnsi="Arial" w:cs="Arial"/>
                <w:sz w:val="16"/>
                <w:szCs w:val="16"/>
              </w:rPr>
              <w:t>% spadek zysku operacyjnego</w:t>
            </w:r>
          </w:p>
        </w:tc>
      </w:tr>
      <w:tr w:rsidR="00600719" w:rsidRPr="00F06708" w:rsidTr="006D578F">
        <w:trPr>
          <w:trHeight w:val="105"/>
        </w:trPr>
        <w:tc>
          <w:tcPr>
            <w:tcW w:w="4266" w:type="dxa"/>
            <w:shd w:val="clear" w:color="auto" w:fill="auto"/>
            <w:noWrap/>
            <w:vAlign w:val="center"/>
            <w:hideMark/>
          </w:tcPr>
          <w:p w:rsidR="00600719" w:rsidRPr="00F06708" w:rsidRDefault="00600719" w:rsidP="006D578F">
            <w:pPr>
              <w:rPr>
                <w:sz w:val="16"/>
                <w:szCs w:val="16"/>
              </w:rPr>
            </w:pPr>
          </w:p>
        </w:tc>
        <w:tc>
          <w:tcPr>
            <w:tcW w:w="1843" w:type="dxa"/>
            <w:shd w:val="clear" w:color="auto" w:fill="auto"/>
            <w:noWrap/>
            <w:vAlign w:val="center"/>
          </w:tcPr>
          <w:p w:rsidR="00600719" w:rsidRPr="00F06708" w:rsidRDefault="00600719" w:rsidP="006D578F">
            <w:pPr>
              <w:jc w:val="center"/>
              <w:rPr>
                <w:rFonts w:ascii="Arial" w:hAnsi="Arial" w:cs="Arial"/>
                <w:sz w:val="16"/>
                <w:szCs w:val="16"/>
              </w:rPr>
            </w:pPr>
          </w:p>
        </w:tc>
        <w:tc>
          <w:tcPr>
            <w:tcW w:w="1842" w:type="dxa"/>
            <w:shd w:val="clear" w:color="auto" w:fill="auto"/>
            <w:noWrap/>
            <w:vAlign w:val="center"/>
          </w:tcPr>
          <w:p w:rsidR="00600719" w:rsidRPr="00F06708" w:rsidRDefault="00600719" w:rsidP="006D578F">
            <w:pPr>
              <w:jc w:val="center"/>
              <w:rPr>
                <w:rFonts w:ascii="Arial" w:hAnsi="Arial" w:cs="Arial"/>
                <w:sz w:val="16"/>
                <w:szCs w:val="16"/>
              </w:rPr>
            </w:pPr>
          </w:p>
        </w:tc>
      </w:tr>
      <w:tr w:rsidR="00600719" w:rsidRPr="00F06708" w:rsidTr="006D578F">
        <w:trPr>
          <w:trHeight w:val="285"/>
        </w:trPr>
        <w:tc>
          <w:tcPr>
            <w:tcW w:w="4266" w:type="dxa"/>
            <w:shd w:val="clear" w:color="auto" w:fill="auto"/>
            <w:noWrap/>
            <w:vAlign w:val="center"/>
            <w:hideMark/>
          </w:tcPr>
          <w:p w:rsidR="00600719" w:rsidRPr="00F06708" w:rsidRDefault="00600719" w:rsidP="006D578F">
            <w:pPr>
              <w:jc w:val="right"/>
              <w:rPr>
                <w:rFonts w:ascii="Arial" w:hAnsi="Arial" w:cs="Arial"/>
                <w:sz w:val="16"/>
                <w:szCs w:val="16"/>
              </w:rPr>
            </w:pPr>
            <w:r w:rsidRPr="00F06708">
              <w:rPr>
                <w:rFonts w:ascii="Arial" w:hAnsi="Arial" w:cs="Arial"/>
                <w:sz w:val="16"/>
                <w:szCs w:val="16"/>
              </w:rPr>
              <w:t>INTERFERIE w Ustroniu Morskim - OWS Cechsztyn</w:t>
            </w:r>
          </w:p>
        </w:tc>
        <w:tc>
          <w:tcPr>
            <w:tcW w:w="1843" w:type="dxa"/>
            <w:shd w:val="clear" w:color="auto" w:fill="auto"/>
            <w:noWrap/>
            <w:vAlign w:val="center"/>
            <w:hideMark/>
          </w:tcPr>
          <w:p w:rsidR="00600719" w:rsidRPr="00F06708" w:rsidRDefault="00600719" w:rsidP="006D578F">
            <w:pPr>
              <w:jc w:val="center"/>
              <w:rPr>
                <w:rFonts w:ascii="Arial" w:hAnsi="Arial" w:cs="Arial"/>
                <w:sz w:val="16"/>
                <w:szCs w:val="16"/>
              </w:rPr>
            </w:pPr>
            <w:r w:rsidRPr="00F06708">
              <w:rPr>
                <w:rFonts w:ascii="Arial" w:hAnsi="Arial" w:cs="Arial"/>
                <w:sz w:val="16"/>
                <w:szCs w:val="16"/>
              </w:rPr>
              <w:t>4,6</w:t>
            </w:r>
          </w:p>
        </w:tc>
        <w:tc>
          <w:tcPr>
            <w:tcW w:w="1842" w:type="dxa"/>
            <w:shd w:val="clear" w:color="auto" w:fill="auto"/>
            <w:noWrap/>
            <w:vAlign w:val="center"/>
            <w:hideMark/>
          </w:tcPr>
          <w:p w:rsidR="00600719" w:rsidRPr="00F06708" w:rsidRDefault="00600719" w:rsidP="006D578F">
            <w:pPr>
              <w:jc w:val="center"/>
              <w:rPr>
                <w:rFonts w:ascii="Arial" w:hAnsi="Arial" w:cs="Arial"/>
                <w:sz w:val="16"/>
                <w:szCs w:val="16"/>
              </w:rPr>
            </w:pPr>
            <w:r w:rsidRPr="00F06708">
              <w:rPr>
                <w:rFonts w:ascii="Arial" w:hAnsi="Arial" w:cs="Arial"/>
                <w:sz w:val="16"/>
                <w:szCs w:val="16"/>
              </w:rPr>
              <w:t>40,6</w:t>
            </w:r>
          </w:p>
        </w:tc>
      </w:tr>
      <w:tr w:rsidR="00600719" w:rsidRPr="00F06708" w:rsidTr="006D578F">
        <w:trPr>
          <w:trHeight w:val="279"/>
        </w:trPr>
        <w:tc>
          <w:tcPr>
            <w:tcW w:w="4266" w:type="dxa"/>
            <w:shd w:val="clear" w:color="auto" w:fill="auto"/>
            <w:noWrap/>
            <w:vAlign w:val="center"/>
          </w:tcPr>
          <w:p w:rsidR="00600719" w:rsidRPr="00F06708" w:rsidRDefault="00600719" w:rsidP="006D578F">
            <w:pPr>
              <w:jc w:val="right"/>
              <w:rPr>
                <w:rFonts w:ascii="Arial" w:hAnsi="Arial" w:cs="Arial"/>
                <w:sz w:val="16"/>
                <w:szCs w:val="16"/>
              </w:rPr>
            </w:pPr>
          </w:p>
        </w:tc>
        <w:tc>
          <w:tcPr>
            <w:tcW w:w="1843" w:type="dxa"/>
            <w:shd w:val="clear" w:color="auto" w:fill="auto"/>
            <w:noWrap/>
            <w:vAlign w:val="center"/>
          </w:tcPr>
          <w:p w:rsidR="00600719" w:rsidRPr="00F06708" w:rsidRDefault="00600719" w:rsidP="006D578F">
            <w:pPr>
              <w:jc w:val="center"/>
              <w:rPr>
                <w:rFonts w:ascii="Arial" w:hAnsi="Arial" w:cs="Arial"/>
                <w:sz w:val="16"/>
                <w:szCs w:val="16"/>
              </w:rPr>
            </w:pPr>
          </w:p>
        </w:tc>
        <w:tc>
          <w:tcPr>
            <w:tcW w:w="1842" w:type="dxa"/>
            <w:shd w:val="clear" w:color="auto" w:fill="auto"/>
            <w:noWrap/>
            <w:vAlign w:val="center"/>
          </w:tcPr>
          <w:p w:rsidR="00600719" w:rsidRPr="00F06708" w:rsidRDefault="00600719" w:rsidP="006D578F">
            <w:pPr>
              <w:jc w:val="center"/>
              <w:rPr>
                <w:rFonts w:ascii="Arial" w:hAnsi="Arial" w:cs="Arial"/>
                <w:sz w:val="16"/>
                <w:szCs w:val="16"/>
              </w:rPr>
            </w:pPr>
          </w:p>
        </w:tc>
      </w:tr>
      <w:tr w:rsidR="00600719" w:rsidRPr="00F06708" w:rsidTr="006D578F">
        <w:trPr>
          <w:trHeight w:val="285"/>
        </w:trPr>
        <w:tc>
          <w:tcPr>
            <w:tcW w:w="4266" w:type="dxa"/>
            <w:shd w:val="clear" w:color="auto" w:fill="auto"/>
            <w:noWrap/>
            <w:vAlign w:val="center"/>
            <w:hideMark/>
          </w:tcPr>
          <w:p w:rsidR="00600719" w:rsidRPr="00F06708" w:rsidRDefault="00600719" w:rsidP="006D578F">
            <w:pPr>
              <w:jc w:val="right"/>
              <w:rPr>
                <w:rFonts w:ascii="Arial" w:hAnsi="Arial" w:cs="Arial"/>
                <w:sz w:val="16"/>
                <w:szCs w:val="16"/>
              </w:rPr>
            </w:pPr>
            <w:r w:rsidRPr="00F06708">
              <w:rPr>
                <w:rFonts w:ascii="Arial" w:hAnsi="Arial" w:cs="Arial"/>
                <w:sz w:val="16"/>
                <w:szCs w:val="16"/>
              </w:rPr>
              <w:t>INTERFERIE w Kołobrzegu – OSW Chalkozyn</w:t>
            </w:r>
          </w:p>
        </w:tc>
        <w:tc>
          <w:tcPr>
            <w:tcW w:w="1843" w:type="dxa"/>
            <w:shd w:val="clear" w:color="auto" w:fill="auto"/>
            <w:noWrap/>
            <w:vAlign w:val="center"/>
            <w:hideMark/>
          </w:tcPr>
          <w:p w:rsidR="00600719" w:rsidRPr="00F06708" w:rsidRDefault="00600719" w:rsidP="006D578F">
            <w:pPr>
              <w:jc w:val="center"/>
              <w:rPr>
                <w:rFonts w:ascii="Arial" w:hAnsi="Arial" w:cs="Arial"/>
                <w:sz w:val="16"/>
                <w:szCs w:val="16"/>
              </w:rPr>
            </w:pPr>
            <w:r w:rsidRPr="00F06708">
              <w:rPr>
                <w:rFonts w:ascii="Arial" w:hAnsi="Arial" w:cs="Arial"/>
                <w:sz w:val="16"/>
                <w:szCs w:val="16"/>
              </w:rPr>
              <w:t>1,56</w:t>
            </w:r>
          </w:p>
        </w:tc>
        <w:tc>
          <w:tcPr>
            <w:tcW w:w="1842" w:type="dxa"/>
            <w:shd w:val="clear" w:color="auto" w:fill="auto"/>
            <w:noWrap/>
            <w:vAlign w:val="center"/>
            <w:hideMark/>
          </w:tcPr>
          <w:p w:rsidR="00600719" w:rsidRPr="00F06708" w:rsidRDefault="00600719" w:rsidP="006D578F">
            <w:pPr>
              <w:jc w:val="center"/>
              <w:rPr>
                <w:rFonts w:ascii="Arial" w:hAnsi="Arial" w:cs="Arial"/>
                <w:sz w:val="16"/>
                <w:szCs w:val="16"/>
              </w:rPr>
            </w:pPr>
            <w:r w:rsidRPr="00F06708">
              <w:rPr>
                <w:rFonts w:ascii="Arial" w:hAnsi="Arial" w:cs="Arial"/>
                <w:sz w:val="16"/>
                <w:szCs w:val="16"/>
              </w:rPr>
              <w:t>19,6</w:t>
            </w:r>
          </w:p>
        </w:tc>
      </w:tr>
      <w:tr w:rsidR="00600719" w:rsidRPr="00F06708" w:rsidTr="006D578F">
        <w:trPr>
          <w:trHeight w:val="285"/>
        </w:trPr>
        <w:tc>
          <w:tcPr>
            <w:tcW w:w="4266" w:type="dxa"/>
            <w:shd w:val="clear" w:color="auto" w:fill="auto"/>
            <w:noWrap/>
            <w:vAlign w:val="center"/>
          </w:tcPr>
          <w:p w:rsidR="00600719" w:rsidRPr="00F06708" w:rsidRDefault="00600719" w:rsidP="006D578F">
            <w:pPr>
              <w:jc w:val="right"/>
              <w:rPr>
                <w:rFonts w:ascii="Arial" w:hAnsi="Arial" w:cs="Arial"/>
                <w:sz w:val="16"/>
                <w:szCs w:val="16"/>
              </w:rPr>
            </w:pPr>
          </w:p>
        </w:tc>
        <w:tc>
          <w:tcPr>
            <w:tcW w:w="1843" w:type="dxa"/>
            <w:shd w:val="clear" w:color="auto" w:fill="auto"/>
            <w:noWrap/>
            <w:vAlign w:val="center"/>
          </w:tcPr>
          <w:p w:rsidR="00600719" w:rsidRPr="00F06708" w:rsidRDefault="00600719" w:rsidP="006D578F">
            <w:pPr>
              <w:jc w:val="center"/>
              <w:rPr>
                <w:rFonts w:ascii="Arial" w:hAnsi="Arial" w:cs="Arial"/>
                <w:sz w:val="16"/>
                <w:szCs w:val="16"/>
              </w:rPr>
            </w:pPr>
          </w:p>
        </w:tc>
        <w:tc>
          <w:tcPr>
            <w:tcW w:w="1842" w:type="dxa"/>
            <w:shd w:val="clear" w:color="auto" w:fill="auto"/>
            <w:noWrap/>
            <w:vAlign w:val="center"/>
          </w:tcPr>
          <w:p w:rsidR="00600719" w:rsidRPr="00F06708" w:rsidRDefault="00600719" w:rsidP="006D578F">
            <w:pPr>
              <w:jc w:val="center"/>
              <w:rPr>
                <w:rFonts w:ascii="Arial" w:hAnsi="Arial" w:cs="Arial"/>
                <w:sz w:val="16"/>
                <w:szCs w:val="16"/>
              </w:rPr>
            </w:pPr>
          </w:p>
        </w:tc>
      </w:tr>
      <w:tr w:rsidR="00600719" w:rsidRPr="00F06708" w:rsidTr="006D578F">
        <w:trPr>
          <w:trHeight w:val="285"/>
        </w:trPr>
        <w:tc>
          <w:tcPr>
            <w:tcW w:w="4266" w:type="dxa"/>
            <w:shd w:val="clear" w:color="auto" w:fill="auto"/>
            <w:noWrap/>
            <w:vAlign w:val="center"/>
            <w:hideMark/>
          </w:tcPr>
          <w:p w:rsidR="00600719" w:rsidRPr="00F06708" w:rsidRDefault="00600719" w:rsidP="006D578F">
            <w:pPr>
              <w:jc w:val="right"/>
              <w:rPr>
                <w:rFonts w:ascii="Arial" w:hAnsi="Arial" w:cs="Arial"/>
                <w:sz w:val="16"/>
                <w:szCs w:val="16"/>
              </w:rPr>
            </w:pPr>
            <w:r w:rsidRPr="00F06708">
              <w:rPr>
                <w:rFonts w:ascii="Arial" w:hAnsi="Arial" w:cs="Arial"/>
                <w:sz w:val="16"/>
                <w:szCs w:val="16"/>
              </w:rPr>
              <w:t>INTERFERIE w Dąbkach Sanatorium Uzdrowiskowe Argentyt</w:t>
            </w:r>
          </w:p>
        </w:tc>
        <w:tc>
          <w:tcPr>
            <w:tcW w:w="1843" w:type="dxa"/>
            <w:shd w:val="clear" w:color="auto" w:fill="auto"/>
            <w:noWrap/>
            <w:vAlign w:val="center"/>
            <w:hideMark/>
          </w:tcPr>
          <w:p w:rsidR="00600719" w:rsidRPr="00F06708" w:rsidRDefault="00600719" w:rsidP="006D578F">
            <w:pPr>
              <w:jc w:val="center"/>
              <w:rPr>
                <w:rFonts w:ascii="Arial" w:hAnsi="Arial" w:cs="Arial"/>
                <w:sz w:val="16"/>
                <w:szCs w:val="16"/>
              </w:rPr>
            </w:pPr>
            <w:r w:rsidRPr="00F06708">
              <w:rPr>
                <w:rFonts w:ascii="Arial" w:hAnsi="Arial" w:cs="Arial"/>
                <w:sz w:val="16"/>
                <w:szCs w:val="16"/>
              </w:rPr>
              <w:t>3,98</w:t>
            </w:r>
          </w:p>
        </w:tc>
        <w:tc>
          <w:tcPr>
            <w:tcW w:w="1842" w:type="dxa"/>
            <w:shd w:val="clear" w:color="auto" w:fill="auto"/>
            <w:noWrap/>
            <w:vAlign w:val="center"/>
            <w:hideMark/>
          </w:tcPr>
          <w:p w:rsidR="00600719" w:rsidRPr="00F06708" w:rsidRDefault="00600719" w:rsidP="006D578F">
            <w:pPr>
              <w:jc w:val="center"/>
              <w:rPr>
                <w:rFonts w:ascii="Arial" w:hAnsi="Arial" w:cs="Arial"/>
                <w:sz w:val="16"/>
                <w:szCs w:val="16"/>
              </w:rPr>
            </w:pPr>
            <w:r w:rsidRPr="00F06708">
              <w:rPr>
                <w:rFonts w:ascii="Arial" w:hAnsi="Arial" w:cs="Arial"/>
                <w:sz w:val="16"/>
                <w:szCs w:val="16"/>
              </w:rPr>
              <w:t>36,9</w:t>
            </w:r>
          </w:p>
        </w:tc>
      </w:tr>
    </w:tbl>
    <w:p w:rsidR="00600719" w:rsidRPr="00C42EEA" w:rsidRDefault="00600719" w:rsidP="00600719">
      <w:pPr>
        <w:autoSpaceDE w:val="0"/>
        <w:autoSpaceDN w:val="0"/>
        <w:adjustRightInd w:val="0"/>
        <w:spacing w:line="276" w:lineRule="auto"/>
        <w:ind w:firstLine="709"/>
        <w:jc w:val="both"/>
        <w:rPr>
          <w:rFonts w:ascii="Arial" w:hAnsi="Arial" w:cs="Arial"/>
          <w:sz w:val="18"/>
          <w:szCs w:val="18"/>
          <w:highlight w:val="yellow"/>
        </w:rPr>
      </w:pPr>
    </w:p>
    <w:p w:rsidR="00600719" w:rsidRDefault="00600719" w:rsidP="00600719">
      <w:pPr>
        <w:tabs>
          <w:tab w:val="left" w:pos="540"/>
        </w:tabs>
        <w:spacing w:line="260" w:lineRule="exact"/>
        <w:jc w:val="both"/>
        <w:rPr>
          <w:rFonts w:ascii="Arial" w:hAnsi="Arial" w:cs="Arial"/>
          <w:bCs/>
          <w:sz w:val="18"/>
          <w:szCs w:val="18"/>
        </w:rPr>
      </w:pPr>
    </w:p>
    <w:p w:rsidR="00600719" w:rsidRPr="00983BF9" w:rsidRDefault="00600719" w:rsidP="00600719">
      <w:pPr>
        <w:tabs>
          <w:tab w:val="left" w:pos="540"/>
        </w:tabs>
        <w:spacing w:line="260" w:lineRule="exact"/>
        <w:jc w:val="both"/>
        <w:rPr>
          <w:rFonts w:ascii="Arial" w:hAnsi="Arial" w:cs="Arial"/>
          <w:bCs/>
          <w:sz w:val="18"/>
          <w:szCs w:val="18"/>
        </w:rPr>
      </w:pPr>
      <w:r w:rsidRPr="00983BF9">
        <w:rPr>
          <w:rFonts w:ascii="Arial" w:hAnsi="Arial" w:cs="Arial"/>
          <w:bCs/>
          <w:sz w:val="18"/>
          <w:szCs w:val="18"/>
        </w:rPr>
        <w:t>Dla nieruchomości INTERFERIE w Głogowie, został sporządzony operat szacunkowy określający wartość godziwą przedmiotu wyceny w wysokości 2 528 tys. zł (2 452 tys. zł po uwzględnieniu 3% kosztów doprowadzenia do sprzedaży). Wartość bilansowa hotelu wg stanu na 30.09.2021 r. (wartość środków trwałych, wartości niematerialnych oraz środków trwałych w budowie) wynosi: 2 251 tys. zł.</w:t>
      </w:r>
    </w:p>
    <w:p w:rsidR="00600719" w:rsidRPr="00983BF9" w:rsidRDefault="00600719" w:rsidP="00600719">
      <w:pPr>
        <w:autoSpaceDE w:val="0"/>
        <w:autoSpaceDN w:val="0"/>
        <w:jc w:val="both"/>
        <w:rPr>
          <w:rFonts w:ascii="Arial" w:hAnsi="Arial" w:cs="Arial"/>
          <w:sz w:val="18"/>
          <w:szCs w:val="18"/>
        </w:rPr>
      </w:pPr>
    </w:p>
    <w:p w:rsidR="00600719" w:rsidRPr="00983BF9" w:rsidRDefault="00600719" w:rsidP="00600719">
      <w:pPr>
        <w:tabs>
          <w:tab w:val="left" w:pos="540"/>
        </w:tabs>
        <w:spacing w:line="260" w:lineRule="exact"/>
        <w:jc w:val="both"/>
        <w:rPr>
          <w:rFonts w:ascii="Arial" w:hAnsi="Arial" w:cs="Arial"/>
          <w:bCs/>
          <w:sz w:val="18"/>
          <w:szCs w:val="18"/>
        </w:rPr>
      </w:pPr>
      <w:r w:rsidRPr="00983BF9">
        <w:rPr>
          <w:rFonts w:ascii="Arial" w:hAnsi="Arial" w:cs="Arial"/>
          <w:bCs/>
          <w:sz w:val="18"/>
          <w:szCs w:val="18"/>
        </w:rPr>
        <w:t>Dla nieruchomości INTERFERIE Hotel Bornit w Szklarskiej Porębie, został sporządzony operat szacunkowy określający wartość odzyskiwalną przedmiotu wyceny w wysokości 25 925 tys. zł Wartość bilansowa hotelu wg stanu na 30.0</w:t>
      </w:r>
      <w:r>
        <w:rPr>
          <w:rFonts w:ascii="Arial" w:hAnsi="Arial" w:cs="Arial"/>
          <w:bCs/>
          <w:sz w:val="18"/>
          <w:szCs w:val="18"/>
        </w:rPr>
        <w:t>9</w:t>
      </w:r>
      <w:r w:rsidRPr="00983BF9">
        <w:rPr>
          <w:rFonts w:ascii="Arial" w:hAnsi="Arial" w:cs="Arial"/>
          <w:bCs/>
          <w:sz w:val="18"/>
          <w:szCs w:val="18"/>
        </w:rPr>
        <w:t>.2021 r. (wartość środków trwałych, wartości niematerialnych oraz środków trwałych w budowie) wynosi: 23 198 tys. zł.</w:t>
      </w:r>
    </w:p>
    <w:p w:rsidR="00600719" w:rsidRPr="00C42EEA" w:rsidRDefault="00600719" w:rsidP="00600719">
      <w:pPr>
        <w:autoSpaceDE w:val="0"/>
        <w:autoSpaceDN w:val="0"/>
        <w:jc w:val="both"/>
        <w:rPr>
          <w:rFonts w:ascii="Arial" w:hAnsi="Arial" w:cs="Arial"/>
          <w:sz w:val="18"/>
          <w:szCs w:val="18"/>
          <w:highlight w:val="yellow"/>
        </w:rPr>
      </w:pPr>
    </w:p>
    <w:p w:rsidR="00600719" w:rsidRPr="00983BF9" w:rsidRDefault="00600719" w:rsidP="00600719">
      <w:pPr>
        <w:tabs>
          <w:tab w:val="left" w:pos="540"/>
        </w:tabs>
        <w:spacing w:line="260" w:lineRule="exact"/>
        <w:jc w:val="both"/>
        <w:rPr>
          <w:rFonts w:ascii="Arial" w:hAnsi="Arial" w:cs="Arial"/>
          <w:bCs/>
          <w:sz w:val="18"/>
          <w:szCs w:val="18"/>
        </w:rPr>
      </w:pPr>
      <w:r w:rsidRPr="00983BF9">
        <w:rPr>
          <w:rFonts w:ascii="Arial" w:hAnsi="Arial" w:cs="Arial"/>
          <w:bCs/>
          <w:sz w:val="18"/>
          <w:szCs w:val="18"/>
        </w:rPr>
        <w:lastRenderedPageBreak/>
        <w:t>Dla nieruchomości INTERFERIE Hotel Malachit w Świeradowie Zdroju, został sporządzony operat szacunkowy określający wartość odzyskiwalną przedmiotu wyceny w wysokości 23 153 tys. zł. Wartość bilansowa hotelu wg stanu na 30.0</w:t>
      </w:r>
      <w:r>
        <w:rPr>
          <w:rFonts w:ascii="Arial" w:hAnsi="Arial" w:cs="Arial"/>
          <w:bCs/>
          <w:sz w:val="18"/>
          <w:szCs w:val="18"/>
        </w:rPr>
        <w:t>9</w:t>
      </w:r>
      <w:r w:rsidRPr="00983BF9">
        <w:rPr>
          <w:rFonts w:ascii="Arial" w:hAnsi="Arial" w:cs="Arial"/>
          <w:bCs/>
          <w:sz w:val="18"/>
          <w:szCs w:val="18"/>
        </w:rPr>
        <w:t xml:space="preserve">.2021 r. (wartość środków trwałych, wartości niematerialnych oraz środków trwałych w budowie) wynosi: 21 </w:t>
      </w:r>
      <w:r>
        <w:rPr>
          <w:rFonts w:ascii="Arial" w:hAnsi="Arial" w:cs="Arial"/>
          <w:bCs/>
          <w:sz w:val="18"/>
          <w:szCs w:val="18"/>
        </w:rPr>
        <w:t>769</w:t>
      </w:r>
      <w:r w:rsidRPr="00983BF9">
        <w:rPr>
          <w:rFonts w:ascii="Arial" w:hAnsi="Arial" w:cs="Arial"/>
          <w:bCs/>
          <w:sz w:val="18"/>
          <w:szCs w:val="18"/>
        </w:rPr>
        <w:t xml:space="preserve"> tys. zł.</w:t>
      </w:r>
    </w:p>
    <w:p w:rsidR="00600719" w:rsidRDefault="00600719" w:rsidP="00600719">
      <w:pPr>
        <w:tabs>
          <w:tab w:val="left" w:pos="540"/>
        </w:tabs>
        <w:spacing w:line="260" w:lineRule="exact"/>
        <w:jc w:val="both"/>
        <w:rPr>
          <w:rFonts w:ascii="Arial" w:hAnsi="Arial" w:cs="Arial"/>
          <w:bCs/>
          <w:sz w:val="18"/>
          <w:szCs w:val="18"/>
        </w:rPr>
      </w:pPr>
    </w:p>
    <w:p w:rsidR="00600719" w:rsidRDefault="00600719" w:rsidP="00600719">
      <w:pPr>
        <w:rPr>
          <w:rFonts w:ascii="Arial" w:hAnsi="Arial" w:cs="Arial"/>
          <w:b/>
          <w:bCs/>
          <w:sz w:val="18"/>
          <w:szCs w:val="18"/>
        </w:rPr>
      </w:pPr>
    </w:p>
    <w:p w:rsidR="00600719" w:rsidRPr="00661ED4" w:rsidRDefault="00600719" w:rsidP="00600719">
      <w:pPr>
        <w:jc w:val="both"/>
        <w:rPr>
          <w:rFonts w:ascii="Arial" w:hAnsi="Arial" w:cs="Arial"/>
          <w:b/>
          <w:bCs/>
          <w:sz w:val="18"/>
          <w:szCs w:val="18"/>
        </w:rPr>
      </w:pPr>
      <w:r w:rsidRPr="00661ED4">
        <w:rPr>
          <w:rFonts w:ascii="Arial" w:hAnsi="Arial" w:cs="Arial"/>
          <w:b/>
          <w:bCs/>
          <w:sz w:val="18"/>
          <w:szCs w:val="18"/>
        </w:rPr>
        <w:t>X</w:t>
      </w:r>
      <w:r>
        <w:rPr>
          <w:rFonts w:ascii="Arial" w:hAnsi="Arial" w:cs="Arial"/>
          <w:b/>
          <w:bCs/>
          <w:sz w:val="18"/>
          <w:szCs w:val="18"/>
        </w:rPr>
        <w:t>X</w:t>
      </w:r>
      <w:r w:rsidRPr="00661ED4">
        <w:rPr>
          <w:rFonts w:ascii="Arial" w:hAnsi="Arial" w:cs="Arial"/>
          <w:b/>
          <w:bCs/>
          <w:sz w:val="18"/>
          <w:szCs w:val="18"/>
        </w:rPr>
        <w:t>I</w:t>
      </w:r>
      <w:r>
        <w:rPr>
          <w:rFonts w:ascii="Arial" w:hAnsi="Arial" w:cs="Arial"/>
          <w:b/>
          <w:bCs/>
          <w:sz w:val="18"/>
          <w:szCs w:val="18"/>
        </w:rPr>
        <w:t>V</w:t>
      </w:r>
      <w:r w:rsidRPr="00661ED4">
        <w:rPr>
          <w:rFonts w:ascii="Arial" w:hAnsi="Arial" w:cs="Arial"/>
          <w:b/>
          <w:bCs/>
          <w:sz w:val="18"/>
          <w:szCs w:val="18"/>
        </w:rPr>
        <w:t>. Wskazanie czynników, które będą miały wpływ na osiągnięte przez Spółkę wyniki w perspektywie</w:t>
      </w:r>
      <w:r>
        <w:rPr>
          <w:rFonts w:ascii="Arial" w:hAnsi="Arial" w:cs="Arial"/>
          <w:b/>
          <w:bCs/>
          <w:sz w:val="18"/>
          <w:szCs w:val="18"/>
        </w:rPr>
        <w:br/>
      </w:r>
      <w:r w:rsidRPr="00661ED4">
        <w:rPr>
          <w:rFonts w:ascii="Arial" w:hAnsi="Arial" w:cs="Arial"/>
          <w:b/>
          <w:bCs/>
          <w:sz w:val="18"/>
          <w:szCs w:val="18"/>
        </w:rPr>
        <w:t xml:space="preserve"> co najmniej kolejnego kwartału.</w:t>
      </w:r>
    </w:p>
    <w:p w:rsidR="00600719" w:rsidRPr="00661ED4" w:rsidRDefault="00600719" w:rsidP="00600719">
      <w:pPr>
        <w:tabs>
          <w:tab w:val="left" w:pos="540"/>
        </w:tabs>
        <w:spacing w:line="260" w:lineRule="exact"/>
        <w:jc w:val="both"/>
        <w:rPr>
          <w:rFonts w:ascii="Arial" w:hAnsi="Arial" w:cs="Arial"/>
          <w:bCs/>
          <w:sz w:val="18"/>
          <w:szCs w:val="18"/>
        </w:rPr>
      </w:pPr>
    </w:p>
    <w:p w:rsidR="00C64918" w:rsidRDefault="00C64918" w:rsidP="00C64918">
      <w:pPr>
        <w:tabs>
          <w:tab w:val="left" w:pos="540"/>
        </w:tabs>
        <w:spacing w:line="260" w:lineRule="exact"/>
        <w:jc w:val="both"/>
        <w:rPr>
          <w:rFonts w:ascii="Arial" w:hAnsi="Arial" w:cs="Arial"/>
          <w:bCs/>
          <w:sz w:val="18"/>
          <w:szCs w:val="18"/>
        </w:rPr>
      </w:pPr>
      <w:r>
        <w:rPr>
          <w:rFonts w:ascii="Arial" w:hAnsi="Arial" w:cs="Arial"/>
          <w:bCs/>
          <w:sz w:val="18"/>
          <w:szCs w:val="18"/>
        </w:rPr>
        <w:t xml:space="preserve">W związku z pojawieniem się pod koniec 2019 r. w Chinach, a następnie globalnym rozprzestrzenianiem się </w:t>
      </w:r>
      <w:proofErr w:type="spellStart"/>
      <w:r>
        <w:rPr>
          <w:rFonts w:ascii="Arial" w:hAnsi="Arial" w:cs="Arial"/>
          <w:bCs/>
          <w:sz w:val="18"/>
          <w:szCs w:val="18"/>
        </w:rPr>
        <w:t>koronawirusa</w:t>
      </w:r>
      <w:proofErr w:type="spellEnd"/>
      <w:r>
        <w:rPr>
          <w:rFonts w:ascii="Arial" w:hAnsi="Arial" w:cs="Arial"/>
          <w:bCs/>
          <w:sz w:val="18"/>
          <w:szCs w:val="18"/>
        </w:rPr>
        <w:t xml:space="preserve"> COVID-19, Zarząd spółki INTERFERIE S.A. na bieżąco monitoruje globalną sytuację gospodarczą i potencjalny negatywny wpływ na Spółkę. Ograniczenia związane z brakiem możliwości prowadzenia działalności hotelarskiej wprowadzone przez Rządowe Rozporządzenia skutkowały wyłączeniem obiektów Spółki </w:t>
      </w:r>
      <w:r>
        <w:rPr>
          <w:rFonts w:ascii="Arial" w:hAnsi="Arial" w:cs="Arial"/>
          <w:bCs/>
          <w:sz w:val="18"/>
          <w:szCs w:val="18"/>
        </w:rPr>
        <w:br/>
        <w:t xml:space="preserve">z działalności. </w:t>
      </w:r>
    </w:p>
    <w:p w:rsidR="00C64918" w:rsidRDefault="00C64918" w:rsidP="00C64918">
      <w:pPr>
        <w:tabs>
          <w:tab w:val="left" w:pos="540"/>
        </w:tabs>
        <w:spacing w:line="260" w:lineRule="exact"/>
        <w:jc w:val="both"/>
        <w:rPr>
          <w:rFonts w:ascii="Arial" w:hAnsi="Arial" w:cs="Arial"/>
          <w:bCs/>
          <w:sz w:val="18"/>
          <w:szCs w:val="18"/>
        </w:rPr>
      </w:pPr>
    </w:p>
    <w:p w:rsidR="00C64918" w:rsidRDefault="00C64918" w:rsidP="00C64918">
      <w:pPr>
        <w:tabs>
          <w:tab w:val="left" w:pos="540"/>
        </w:tabs>
        <w:spacing w:line="260" w:lineRule="exact"/>
        <w:jc w:val="both"/>
        <w:rPr>
          <w:rFonts w:ascii="Arial" w:hAnsi="Arial" w:cs="Arial"/>
          <w:bCs/>
          <w:sz w:val="18"/>
          <w:szCs w:val="18"/>
        </w:rPr>
      </w:pPr>
      <w:r>
        <w:rPr>
          <w:rFonts w:ascii="Arial" w:hAnsi="Arial" w:cs="Arial"/>
          <w:bCs/>
          <w:sz w:val="18"/>
          <w:szCs w:val="18"/>
        </w:rPr>
        <w:t>W Dzienniku Ustaw zostało opublikowane Rozporządzenie Rady Ministrów z 29 stycznia 2021 roku, przedłużające obostrzenia do 14 lutego 2021 roku. Rozporządzenie jednocześnie nieznaczenie poszerzyło katalog grup zawodowych, które mogły korzystać z usług hotelarskich o specjalistyczne grupy zawodowe.</w:t>
      </w:r>
    </w:p>
    <w:p w:rsidR="00C64918" w:rsidRDefault="00C64918" w:rsidP="00C64918">
      <w:pPr>
        <w:tabs>
          <w:tab w:val="left" w:pos="540"/>
        </w:tabs>
        <w:spacing w:line="260" w:lineRule="exact"/>
        <w:jc w:val="both"/>
        <w:rPr>
          <w:rFonts w:ascii="Arial" w:hAnsi="Arial" w:cs="Arial"/>
          <w:bCs/>
          <w:sz w:val="18"/>
          <w:szCs w:val="18"/>
        </w:rPr>
      </w:pPr>
    </w:p>
    <w:p w:rsidR="00C64918" w:rsidRDefault="00C64918" w:rsidP="00C64918">
      <w:pPr>
        <w:tabs>
          <w:tab w:val="left" w:pos="540"/>
        </w:tabs>
        <w:spacing w:line="260" w:lineRule="exact"/>
        <w:jc w:val="both"/>
        <w:rPr>
          <w:rFonts w:ascii="Arial" w:hAnsi="Arial" w:cs="Arial"/>
          <w:bCs/>
          <w:sz w:val="18"/>
          <w:szCs w:val="18"/>
        </w:rPr>
      </w:pPr>
      <w:r>
        <w:rPr>
          <w:rFonts w:ascii="Arial" w:hAnsi="Arial" w:cs="Arial"/>
          <w:bCs/>
          <w:sz w:val="18"/>
          <w:szCs w:val="18"/>
        </w:rPr>
        <w:t xml:space="preserve">Rozporządzenie z 11.02.2021 r. regulujące prowadzenie usług hotelarskich do 28.02.2021 r. zostało opublikowane 11.02.2021 r. w Dzienniku Ustaw. Główne zasady obowiązujące branżę od 12 lutego dotyczyły: 50% dostępności pokoi, otwarcia basenów, posiłki wyłącznie w formie </w:t>
      </w:r>
      <w:proofErr w:type="spellStart"/>
      <w:r>
        <w:rPr>
          <w:rFonts w:ascii="Arial" w:hAnsi="Arial" w:cs="Arial"/>
          <w:bCs/>
          <w:sz w:val="18"/>
          <w:szCs w:val="18"/>
        </w:rPr>
        <w:t>room</w:t>
      </w:r>
      <w:proofErr w:type="spellEnd"/>
      <w:r>
        <w:rPr>
          <w:rFonts w:ascii="Arial" w:hAnsi="Arial" w:cs="Arial"/>
          <w:bCs/>
          <w:sz w:val="18"/>
          <w:szCs w:val="18"/>
        </w:rPr>
        <w:t>-service, zamknięcie restauracji.</w:t>
      </w:r>
    </w:p>
    <w:p w:rsidR="00C64918" w:rsidRDefault="00C64918" w:rsidP="00C64918">
      <w:pPr>
        <w:tabs>
          <w:tab w:val="left" w:pos="540"/>
        </w:tabs>
        <w:spacing w:line="260" w:lineRule="exact"/>
        <w:jc w:val="both"/>
        <w:rPr>
          <w:rFonts w:ascii="Arial" w:hAnsi="Arial" w:cs="Arial"/>
          <w:bCs/>
          <w:sz w:val="18"/>
          <w:szCs w:val="18"/>
        </w:rPr>
      </w:pPr>
    </w:p>
    <w:p w:rsidR="00C64918" w:rsidRDefault="00C64918" w:rsidP="00C64918">
      <w:pPr>
        <w:tabs>
          <w:tab w:val="left" w:pos="540"/>
        </w:tabs>
        <w:spacing w:line="260" w:lineRule="exact"/>
        <w:jc w:val="both"/>
        <w:rPr>
          <w:rFonts w:ascii="Arial" w:hAnsi="Arial" w:cs="Arial"/>
          <w:bCs/>
          <w:sz w:val="18"/>
          <w:szCs w:val="18"/>
        </w:rPr>
      </w:pPr>
      <w:r>
        <w:rPr>
          <w:rFonts w:ascii="Arial" w:hAnsi="Arial" w:cs="Arial"/>
          <w:bCs/>
          <w:sz w:val="18"/>
          <w:szCs w:val="18"/>
        </w:rPr>
        <w:t xml:space="preserve">Rozporządzenie Rady Ministrów z dnia 19 marca 2021 roku w sprawie ustanowienia określonych ograniczeń, nakazów i zakazów w związku z wystąpieniem stanu epidemii (Dz.U. z 2021 r. poz. 512, z późniejszymi zmianami) wprowadziło </w:t>
      </w:r>
      <w:proofErr w:type="spellStart"/>
      <w:r>
        <w:rPr>
          <w:rFonts w:ascii="Arial" w:hAnsi="Arial" w:cs="Arial"/>
          <w:bCs/>
          <w:sz w:val="18"/>
          <w:szCs w:val="18"/>
        </w:rPr>
        <w:t>lockdown</w:t>
      </w:r>
      <w:proofErr w:type="spellEnd"/>
      <w:r>
        <w:rPr>
          <w:rFonts w:ascii="Arial" w:hAnsi="Arial" w:cs="Arial"/>
          <w:bCs/>
          <w:sz w:val="18"/>
          <w:szCs w:val="18"/>
        </w:rPr>
        <w:t xml:space="preserve"> branży hotelarskiej od 20 marca do 27 kwietnia 2021 roku w całym kraju. Możliwe było prowadzenie działalności dla grup sportowych z licencją.</w:t>
      </w:r>
    </w:p>
    <w:p w:rsidR="00C64918" w:rsidRDefault="00C64918" w:rsidP="00C64918">
      <w:pPr>
        <w:tabs>
          <w:tab w:val="left" w:pos="540"/>
        </w:tabs>
        <w:spacing w:line="260" w:lineRule="exact"/>
        <w:jc w:val="both"/>
        <w:rPr>
          <w:rFonts w:ascii="Arial" w:hAnsi="Arial" w:cs="Arial"/>
          <w:bCs/>
          <w:sz w:val="18"/>
          <w:szCs w:val="18"/>
        </w:rPr>
      </w:pPr>
      <w:r>
        <w:rPr>
          <w:rFonts w:ascii="Arial" w:hAnsi="Arial" w:cs="Arial"/>
          <w:bCs/>
          <w:sz w:val="18"/>
          <w:szCs w:val="18"/>
        </w:rPr>
        <w:t>Od 8 maja 2021 r. ponownie zezwolono na otwarcie hoteli (z limitem obłożenia 50% miejsc), z dniem 26 czerwca limit obłożenia podniesiono do 75% miejsc.</w:t>
      </w:r>
    </w:p>
    <w:p w:rsidR="00C64918" w:rsidRDefault="00C64918" w:rsidP="00C64918">
      <w:pPr>
        <w:tabs>
          <w:tab w:val="left" w:pos="540"/>
        </w:tabs>
        <w:spacing w:line="260" w:lineRule="exact"/>
        <w:jc w:val="both"/>
        <w:rPr>
          <w:rFonts w:ascii="Arial" w:hAnsi="Arial" w:cs="Arial"/>
          <w:bCs/>
          <w:sz w:val="18"/>
          <w:szCs w:val="18"/>
        </w:rPr>
      </w:pPr>
    </w:p>
    <w:p w:rsidR="00C64918" w:rsidRDefault="00C64918" w:rsidP="00C64918">
      <w:pPr>
        <w:tabs>
          <w:tab w:val="left" w:pos="540"/>
        </w:tabs>
        <w:spacing w:line="260" w:lineRule="exact"/>
        <w:jc w:val="both"/>
        <w:rPr>
          <w:rFonts w:ascii="Arial" w:hAnsi="Arial" w:cs="Arial"/>
          <w:bCs/>
          <w:sz w:val="18"/>
          <w:szCs w:val="18"/>
        </w:rPr>
      </w:pPr>
      <w:r>
        <w:rPr>
          <w:rFonts w:ascii="Arial" w:hAnsi="Arial" w:cs="Arial"/>
          <w:bCs/>
          <w:sz w:val="18"/>
          <w:szCs w:val="18"/>
        </w:rPr>
        <w:t>Spółka na bieżąco podejmuje działania celem ograniczania ekspozycji na ryzyko, korzystając z dostępnej pomocy Państwa oraz mając na uwadze fakt, iż jednym z priorytetów jest zatrzymanie wykwalifikowanej kadry niezbędnej przy wznowieniu działalności i zapewnienie wysokiej jakości świadczonych usług.</w:t>
      </w:r>
    </w:p>
    <w:p w:rsidR="00C64918" w:rsidRDefault="00C64918" w:rsidP="00C64918">
      <w:pPr>
        <w:tabs>
          <w:tab w:val="left" w:pos="540"/>
        </w:tabs>
        <w:spacing w:line="260" w:lineRule="exact"/>
        <w:jc w:val="both"/>
        <w:rPr>
          <w:rFonts w:ascii="Arial" w:hAnsi="Arial" w:cs="Arial"/>
          <w:bCs/>
          <w:sz w:val="18"/>
          <w:szCs w:val="18"/>
        </w:rPr>
      </w:pPr>
      <w:r>
        <w:rPr>
          <w:rFonts w:ascii="Arial" w:hAnsi="Arial" w:cs="Arial"/>
          <w:bCs/>
          <w:sz w:val="18"/>
          <w:szCs w:val="18"/>
        </w:rPr>
        <w:t>Na bieżąco monitorowana jest sytuacja, celem zapewnienia bezpieczeństwa pracownikom.</w:t>
      </w:r>
    </w:p>
    <w:p w:rsidR="00C64918" w:rsidRDefault="00C64918" w:rsidP="00C64918">
      <w:pPr>
        <w:tabs>
          <w:tab w:val="left" w:pos="540"/>
        </w:tabs>
        <w:spacing w:line="260" w:lineRule="exact"/>
        <w:jc w:val="both"/>
        <w:rPr>
          <w:rFonts w:ascii="Arial" w:hAnsi="Arial" w:cs="Arial"/>
          <w:bCs/>
          <w:sz w:val="18"/>
          <w:szCs w:val="18"/>
        </w:rPr>
      </w:pPr>
    </w:p>
    <w:p w:rsidR="00C64918" w:rsidRDefault="00C64918" w:rsidP="00C64918">
      <w:pPr>
        <w:tabs>
          <w:tab w:val="left" w:pos="540"/>
        </w:tabs>
        <w:spacing w:line="260" w:lineRule="exact"/>
        <w:jc w:val="both"/>
        <w:rPr>
          <w:rFonts w:ascii="Arial" w:hAnsi="Arial" w:cs="Arial"/>
          <w:bCs/>
          <w:sz w:val="18"/>
          <w:szCs w:val="18"/>
        </w:rPr>
      </w:pPr>
      <w:r>
        <w:rPr>
          <w:rFonts w:ascii="Arial" w:hAnsi="Arial" w:cs="Arial"/>
          <w:bCs/>
          <w:sz w:val="18"/>
          <w:szCs w:val="18"/>
        </w:rPr>
        <w:t>W okresie ograniczonego prawa prowadzenia działalności hotelowej INTERFERIE S.A prowadzona jest aktywna polityka sprzedażowa i utrzymywane są kontakty ze stałymi klientami Spółki.</w:t>
      </w:r>
    </w:p>
    <w:p w:rsidR="00C64918" w:rsidRDefault="00C64918" w:rsidP="00C64918">
      <w:pPr>
        <w:tabs>
          <w:tab w:val="left" w:pos="540"/>
        </w:tabs>
        <w:spacing w:line="260" w:lineRule="exact"/>
        <w:jc w:val="both"/>
        <w:rPr>
          <w:rFonts w:ascii="Arial" w:hAnsi="Arial" w:cs="Arial"/>
          <w:bCs/>
          <w:sz w:val="18"/>
          <w:szCs w:val="18"/>
        </w:rPr>
      </w:pPr>
    </w:p>
    <w:p w:rsidR="00C64918" w:rsidRDefault="00C64918" w:rsidP="00C64918">
      <w:pPr>
        <w:tabs>
          <w:tab w:val="left" w:pos="540"/>
        </w:tabs>
        <w:spacing w:line="260" w:lineRule="exact"/>
        <w:jc w:val="both"/>
        <w:rPr>
          <w:rFonts w:ascii="Arial" w:hAnsi="Arial" w:cs="Arial"/>
          <w:bCs/>
          <w:sz w:val="18"/>
          <w:szCs w:val="18"/>
        </w:rPr>
      </w:pPr>
      <w:r>
        <w:rPr>
          <w:rFonts w:ascii="Arial" w:hAnsi="Arial" w:cs="Arial"/>
          <w:bCs/>
          <w:sz w:val="18"/>
          <w:szCs w:val="18"/>
        </w:rPr>
        <w:t xml:space="preserve">W 2021 roku zgodnie z art.15gga ustawy z dnia 2 marca 2020 r. o szczególnych rozwiązaniach </w:t>
      </w:r>
      <w:r>
        <w:rPr>
          <w:rFonts w:ascii="Arial" w:hAnsi="Arial" w:cs="Arial"/>
          <w:bCs/>
          <w:sz w:val="18"/>
          <w:szCs w:val="18"/>
        </w:rPr>
        <w:br/>
        <w:t>z zapobieganiem, przeciwdziałaniem i zwalczaniem COVID-19, innych chorób zakaźnych oraz wywołanych nimi sytuacji kryzysowych (Dz.U. z 2020r. poz.1842, z późn.zm), Dolnośląski Wojewódzki Urząd Pracy przekazał środki na wypłatę świadczeń na rzecz ochrony miejsc pracy w kwocie 589 tys. zł.</w:t>
      </w:r>
    </w:p>
    <w:p w:rsidR="00C64918" w:rsidRDefault="00C64918" w:rsidP="00C64918">
      <w:pPr>
        <w:tabs>
          <w:tab w:val="left" w:pos="540"/>
        </w:tabs>
        <w:spacing w:line="260" w:lineRule="exact"/>
        <w:jc w:val="both"/>
        <w:rPr>
          <w:rFonts w:ascii="Arial" w:hAnsi="Arial" w:cs="Arial"/>
          <w:bCs/>
          <w:sz w:val="18"/>
          <w:szCs w:val="18"/>
        </w:rPr>
      </w:pPr>
      <w:r>
        <w:rPr>
          <w:rFonts w:ascii="Arial" w:hAnsi="Arial" w:cs="Arial"/>
          <w:bCs/>
          <w:sz w:val="18"/>
          <w:szCs w:val="18"/>
        </w:rPr>
        <w:t>W 2020 roku, w związku ze znacznym spadkiem sprzedanych osobonocy, Spółka otrzymała dofinansowanie do wynagrodzeń pracowników wraz ze składkami na ubezpieczenia społeczne, zgodnie z art.15zzb ustawy</w:t>
      </w:r>
      <w:r>
        <w:rPr>
          <w:rFonts w:ascii="Arial" w:hAnsi="Arial" w:cs="Arial"/>
          <w:bCs/>
          <w:sz w:val="18"/>
          <w:szCs w:val="18"/>
        </w:rPr>
        <w:br/>
        <w:t xml:space="preserve"> o zmianie ustawy o szczególnych rozwiązaniach związanych z zapobieganiem, przeciwdziałaniem i zwalczaniem COVID-19, innych chorób zakaźnych oraz wywołanych nimi sytuacji kryzysowych oraz niektórych innych ustaw </w:t>
      </w:r>
      <w:r>
        <w:rPr>
          <w:rFonts w:ascii="Arial" w:hAnsi="Arial" w:cs="Arial"/>
          <w:bCs/>
          <w:sz w:val="18"/>
          <w:szCs w:val="18"/>
        </w:rPr>
        <w:br/>
        <w:t xml:space="preserve">w kwocie 1 777 tys. zł. </w:t>
      </w:r>
    </w:p>
    <w:p w:rsidR="00C64918" w:rsidRDefault="00C64918" w:rsidP="00C64918">
      <w:pPr>
        <w:tabs>
          <w:tab w:val="left" w:pos="540"/>
        </w:tabs>
        <w:spacing w:line="260" w:lineRule="exact"/>
        <w:jc w:val="both"/>
        <w:rPr>
          <w:rFonts w:ascii="Arial" w:hAnsi="Arial" w:cs="Arial"/>
          <w:bCs/>
          <w:sz w:val="18"/>
          <w:szCs w:val="18"/>
        </w:rPr>
      </w:pPr>
    </w:p>
    <w:p w:rsidR="00C64918" w:rsidRDefault="00C64918" w:rsidP="00C64918">
      <w:pPr>
        <w:tabs>
          <w:tab w:val="left" w:pos="540"/>
        </w:tabs>
        <w:spacing w:line="260" w:lineRule="exact"/>
        <w:jc w:val="both"/>
        <w:rPr>
          <w:rFonts w:ascii="Arial" w:hAnsi="Arial" w:cs="Arial"/>
          <w:bCs/>
          <w:sz w:val="18"/>
          <w:szCs w:val="18"/>
        </w:rPr>
      </w:pPr>
      <w:r>
        <w:rPr>
          <w:rFonts w:ascii="Arial" w:hAnsi="Arial" w:cs="Arial"/>
          <w:bCs/>
          <w:sz w:val="18"/>
          <w:szCs w:val="18"/>
        </w:rPr>
        <w:t xml:space="preserve">W 2020 roku INTERFERIE S.A. otrzymała pomoc de </w:t>
      </w:r>
      <w:proofErr w:type="spellStart"/>
      <w:r>
        <w:rPr>
          <w:rFonts w:ascii="Arial" w:hAnsi="Arial" w:cs="Arial"/>
          <w:bCs/>
          <w:sz w:val="18"/>
          <w:szCs w:val="18"/>
        </w:rPr>
        <w:t>minimis</w:t>
      </w:r>
      <w:proofErr w:type="spellEnd"/>
      <w:r>
        <w:rPr>
          <w:rFonts w:ascii="Arial" w:hAnsi="Arial" w:cs="Arial"/>
          <w:bCs/>
          <w:sz w:val="18"/>
          <w:szCs w:val="18"/>
        </w:rPr>
        <w:t xml:space="preserve"> w postaci odroczenia terminów płatności podatku od nieruchomości, za m-ce X, IV-VI 2020 r. w łącznej kwocie 180 tys. zł, do 30 września 2020 r. Spółka otrzymała zaświadczenia o uzyskanej pomocy de </w:t>
      </w:r>
      <w:proofErr w:type="spellStart"/>
      <w:r>
        <w:rPr>
          <w:rFonts w:ascii="Arial" w:hAnsi="Arial" w:cs="Arial"/>
          <w:bCs/>
          <w:sz w:val="18"/>
          <w:szCs w:val="18"/>
        </w:rPr>
        <w:t>minimis</w:t>
      </w:r>
      <w:proofErr w:type="spellEnd"/>
      <w:r>
        <w:rPr>
          <w:rFonts w:ascii="Arial" w:hAnsi="Arial" w:cs="Arial"/>
          <w:bCs/>
          <w:sz w:val="18"/>
          <w:szCs w:val="18"/>
        </w:rPr>
        <w:t xml:space="preserve"> na łączną kwotę opłaty prolongacyjnej, która nie została Spółce naliczona, w wysokości 3 tys. zł ( 696,96 euro). </w:t>
      </w:r>
    </w:p>
    <w:p w:rsidR="00C64918" w:rsidRDefault="00C64918" w:rsidP="00C64918">
      <w:pPr>
        <w:tabs>
          <w:tab w:val="left" w:pos="540"/>
        </w:tabs>
        <w:spacing w:line="260" w:lineRule="exact"/>
        <w:jc w:val="both"/>
        <w:rPr>
          <w:rFonts w:ascii="Arial" w:hAnsi="Arial" w:cs="Arial"/>
          <w:bCs/>
          <w:sz w:val="18"/>
          <w:szCs w:val="18"/>
        </w:rPr>
      </w:pPr>
      <w:r>
        <w:rPr>
          <w:rFonts w:ascii="Arial" w:hAnsi="Arial" w:cs="Arial"/>
          <w:bCs/>
          <w:sz w:val="18"/>
          <w:szCs w:val="18"/>
        </w:rPr>
        <w:lastRenderedPageBreak/>
        <w:t xml:space="preserve">W 2021 roku Spółka otrzymała pomoc de </w:t>
      </w:r>
      <w:proofErr w:type="spellStart"/>
      <w:r>
        <w:rPr>
          <w:rFonts w:ascii="Arial" w:hAnsi="Arial" w:cs="Arial"/>
          <w:bCs/>
          <w:sz w:val="18"/>
          <w:szCs w:val="18"/>
        </w:rPr>
        <w:t>minimis</w:t>
      </w:r>
      <w:proofErr w:type="spellEnd"/>
      <w:r>
        <w:rPr>
          <w:rFonts w:ascii="Arial" w:hAnsi="Arial" w:cs="Arial"/>
          <w:bCs/>
          <w:sz w:val="18"/>
          <w:szCs w:val="18"/>
        </w:rPr>
        <w:t xml:space="preserve"> w postaci pomniejszenia opłaty rocznej z tyt. użytkowania wieczystego nieruchomości w kwocie 9 tys. zł oraz zwolnienie z podatku od nieruchomości, w kwocie 62 tys. zł na podstawie art. 15p ust.1 w związku z art. 15 </w:t>
      </w:r>
      <w:proofErr w:type="spellStart"/>
      <w:r>
        <w:rPr>
          <w:rFonts w:ascii="Arial" w:hAnsi="Arial" w:cs="Arial"/>
          <w:bCs/>
          <w:sz w:val="18"/>
          <w:szCs w:val="18"/>
        </w:rPr>
        <w:t>zzzh</w:t>
      </w:r>
      <w:proofErr w:type="spellEnd"/>
      <w:r>
        <w:rPr>
          <w:rFonts w:ascii="Arial" w:hAnsi="Arial" w:cs="Arial"/>
          <w:bCs/>
          <w:sz w:val="18"/>
          <w:szCs w:val="18"/>
        </w:rPr>
        <w:t xml:space="preserve"> Ustawy z dnia 2 marca 2020 r. o szczególnych rozwiązaniach związanych z zapobieganiem, przeciwdziałaniem i zwalczaniem COVID-19 (…).</w:t>
      </w:r>
    </w:p>
    <w:p w:rsidR="00C64918" w:rsidRDefault="00C64918" w:rsidP="00C64918">
      <w:pPr>
        <w:tabs>
          <w:tab w:val="left" w:pos="540"/>
        </w:tabs>
        <w:spacing w:line="260" w:lineRule="exact"/>
        <w:jc w:val="both"/>
        <w:rPr>
          <w:rFonts w:ascii="Arial" w:hAnsi="Arial" w:cs="Arial"/>
          <w:bCs/>
          <w:sz w:val="18"/>
          <w:szCs w:val="18"/>
        </w:rPr>
      </w:pPr>
    </w:p>
    <w:p w:rsidR="00C64918" w:rsidRDefault="00C64918" w:rsidP="00C64918">
      <w:pPr>
        <w:tabs>
          <w:tab w:val="left" w:pos="540"/>
        </w:tabs>
        <w:spacing w:line="260" w:lineRule="exact"/>
        <w:jc w:val="both"/>
        <w:rPr>
          <w:rFonts w:ascii="Arial" w:hAnsi="Arial" w:cs="Arial"/>
          <w:bCs/>
          <w:sz w:val="18"/>
          <w:szCs w:val="18"/>
        </w:rPr>
      </w:pPr>
      <w:r>
        <w:rPr>
          <w:rFonts w:ascii="Arial" w:hAnsi="Arial" w:cs="Arial"/>
          <w:bCs/>
          <w:sz w:val="18"/>
          <w:szCs w:val="18"/>
        </w:rPr>
        <w:t xml:space="preserve">W bieżącym okresie, na podstawie przepisów art. 15 ja ustawy z dnia 2 marca 2020 r. o szczególnych rozwiązaniach związanych z zapobieganiem, przeciwdziałaniem i zwalczaniem COVID-19, innych chorób zakaźnych oraz wywołanych nimi sytuacji kryzysowych, Spółka uzyskała pomniejszenie opłaty rocznej z tytułu użytkowania wieczystego nieruchomości Skarbu Państwa za 2020 rok w kwocie 213 tys. zł </w:t>
      </w:r>
    </w:p>
    <w:p w:rsidR="00C64918" w:rsidRDefault="00C64918" w:rsidP="00C64918">
      <w:pPr>
        <w:tabs>
          <w:tab w:val="left" w:pos="540"/>
        </w:tabs>
        <w:spacing w:line="260" w:lineRule="exact"/>
        <w:jc w:val="both"/>
        <w:rPr>
          <w:rFonts w:ascii="Arial" w:hAnsi="Arial" w:cs="Arial"/>
          <w:bCs/>
          <w:sz w:val="18"/>
          <w:szCs w:val="18"/>
        </w:rPr>
      </w:pPr>
    </w:p>
    <w:p w:rsidR="00C64918" w:rsidRDefault="00C64918" w:rsidP="00C64918">
      <w:pPr>
        <w:tabs>
          <w:tab w:val="left" w:pos="540"/>
        </w:tabs>
        <w:spacing w:line="260" w:lineRule="exact"/>
        <w:jc w:val="both"/>
        <w:rPr>
          <w:rFonts w:ascii="Arial" w:hAnsi="Arial" w:cs="Arial"/>
          <w:bCs/>
          <w:sz w:val="18"/>
          <w:szCs w:val="18"/>
        </w:rPr>
      </w:pPr>
      <w:r>
        <w:rPr>
          <w:rFonts w:ascii="Arial" w:hAnsi="Arial" w:cs="Arial"/>
          <w:bCs/>
          <w:sz w:val="18"/>
          <w:szCs w:val="18"/>
        </w:rPr>
        <w:t>W marcu br. Spółka otrzymała wsparcie z Polskiego Funduszu Rozwoju w wysokości: 3.283 tys. zł. O podpisaniu UMOWY POŻYCZKI PREFERENCYJNEJ w Ramach Programu Rządowego Tarcza Finansowa Polskiego Funduszu Rozwoju dla Dużych Firm Zarząd poinformował Raportem bieżącym Nr 6/2021 z dnia 16 lutego 2021 roku. Pożyczka została umorzona w miesiącu wrześniu br. w kwocie: 2.395,5 tys. zł.</w:t>
      </w:r>
    </w:p>
    <w:p w:rsidR="00C64918" w:rsidRDefault="00C64918" w:rsidP="00C64918">
      <w:pPr>
        <w:tabs>
          <w:tab w:val="left" w:pos="540"/>
        </w:tabs>
        <w:spacing w:line="260" w:lineRule="exact"/>
        <w:jc w:val="both"/>
        <w:rPr>
          <w:rFonts w:ascii="Arial" w:hAnsi="Arial" w:cs="Arial"/>
          <w:bCs/>
          <w:sz w:val="18"/>
          <w:szCs w:val="18"/>
        </w:rPr>
      </w:pPr>
    </w:p>
    <w:p w:rsidR="00C64918" w:rsidRDefault="00C64918" w:rsidP="00C64918">
      <w:pPr>
        <w:tabs>
          <w:tab w:val="left" w:pos="540"/>
        </w:tabs>
        <w:spacing w:line="260" w:lineRule="exact"/>
        <w:jc w:val="both"/>
        <w:rPr>
          <w:rFonts w:ascii="Arial" w:hAnsi="Arial" w:cs="Arial"/>
          <w:bCs/>
          <w:sz w:val="18"/>
          <w:szCs w:val="18"/>
        </w:rPr>
      </w:pPr>
      <w:r>
        <w:rPr>
          <w:rFonts w:ascii="Arial" w:hAnsi="Arial" w:cs="Arial"/>
          <w:bCs/>
          <w:sz w:val="18"/>
          <w:szCs w:val="18"/>
        </w:rPr>
        <w:t xml:space="preserve">Obecnie trudno jest jednak przewidzieć zakres i czas trwania epidemii oraz wpływ na sytuację finansową Spółki </w:t>
      </w:r>
      <w:r>
        <w:rPr>
          <w:rFonts w:ascii="Arial" w:hAnsi="Arial" w:cs="Arial"/>
          <w:bCs/>
          <w:sz w:val="18"/>
          <w:szCs w:val="18"/>
        </w:rPr>
        <w:br/>
        <w:t xml:space="preserve">w całym roku 2021. Emitent podjął wszystkie niezbędne działania mające na celu ochronę Klientów </w:t>
      </w:r>
      <w:r>
        <w:rPr>
          <w:rFonts w:ascii="Arial" w:hAnsi="Arial" w:cs="Arial"/>
          <w:bCs/>
          <w:sz w:val="18"/>
          <w:szCs w:val="18"/>
        </w:rPr>
        <w:br/>
        <w:t xml:space="preserve">i Pracowników Spółki. Spółka zastosowała się do zaleceń dla obiektów hotelowych w związku z potencjalnym zagrożeniem zarażeniem </w:t>
      </w:r>
      <w:proofErr w:type="spellStart"/>
      <w:r>
        <w:rPr>
          <w:rFonts w:ascii="Arial" w:hAnsi="Arial" w:cs="Arial"/>
          <w:bCs/>
          <w:sz w:val="18"/>
          <w:szCs w:val="18"/>
        </w:rPr>
        <w:t>koronawirusem</w:t>
      </w:r>
      <w:proofErr w:type="spellEnd"/>
      <w:r>
        <w:rPr>
          <w:rFonts w:ascii="Arial" w:hAnsi="Arial" w:cs="Arial"/>
          <w:bCs/>
          <w:sz w:val="18"/>
          <w:szCs w:val="18"/>
        </w:rPr>
        <w:t xml:space="preserve"> opracowanych przez Główny Inspektorat Sanitarny, w uzgodnieniu </w:t>
      </w:r>
      <w:r>
        <w:rPr>
          <w:rFonts w:ascii="Arial" w:hAnsi="Arial" w:cs="Arial"/>
          <w:bCs/>
          <w:sz w:val="18"/>
          <w:szCs w:val="18"/>
        </w:rPr>
        <w:br/>
        <w:t>z Ministerstwem Zdrowia.</w:t>
      </w:r>
    </w:p>
    <w:p w:rsidR="00664D50" w:rsidRDefault="00664D50" w:rsidP="00664D50">
      <w:pPr>
        <w:tabs>
          <w:tab w:val="left" w:pos="540"/>
        </w:tabs>
        <w:spacing w:line="260" w:lineRule="exact"/>
        <w:jc w:val="both"/>
        <w:rPr>
          <w:rFonts w:ascii="Arial" w:hAnsi="Arial" w:cs="Arial"/>
          <w:b/>
          <w:bCs/>
          <w:sz w:val="18"/>
          <w:szCs w:val="18"/>
        </w:rPr>
      </w:pPr>
    </w:p>
    <w:p w:rsidR="00664D50" w:rsidRDefault="00664D50" w:rsidP="00664D50">
      <w:pPr>
        <w:tabs>
          <w:tab w:val="left" w:pos="540"/>
        </w:tabs>
        <w:spacing w:line="260" w:lineRule="exact"/>
        <w:jc w:val="both"/>
        <w:rPr>
          <w:rFonts w:ascii="Arial" w:hAnsi="Arial" w:cs="Arial"/>
          <w:b/>
          <w:bCs/>
          <w:sz w:val="18"/>
          <w:szCs w:val="18"/>
        </w:rPr>
      </w:pPr>
    </w:p>
    <w:p w:rsidR="00664D50" w:rsidRDefault="00664D50" w:rsidP="00664D50">
      <w:pPr>
        <w:tabs>
          <w:tab w:val="left" w:pos="540"/>
        </w:tabs>
        <w:spacing w:line="260" w:lineRule="exact"/>
        <w:jc w:val="both"/>
        <w:rPr>
          <w:rFonts w:ascii="Arial" w:hAnsi="Arial" w:cs="Arial"/>
          <w:b/>
          <w:bCs/>
          <w:sz w:val="18"/>
          <w:szCs w:val="18"/>
        </w:rPr>
      </w:pPr>
    </w:p>
    <w:p w:rsidR="00664D50" w:rsidRPr="00F31D8E" w:rsidRDefault="00664D50" w:rsidP="00664D50">
      <w:pPr>
        <w:tabs>
          <w:tab w:val="left" w:pos="540"/>
        </w:tabs>
        <w:spacing w:line="260" w:lineRule="exact"/>
        <w:jc w:val="both"/>
        <w:rPr>
          <w:rFonts w:ascii="Arial" w:hAnsi="Arial" w:cs="Arial"/>
          <w:b/>
          <w:bCs/>
          <w:sz w:val="18"/>
          <w:szCs w:val="18"/>
        </w:rPr>
      </w:pPr>
      <w:r w:rsidRPr="00F31D8E">
        <w:rPr>
          <w:rFonts w:ascii="Arial" w:hAnsi="Arial" w:cs="Arial"/>
          <w:b/>
          <w:bCs/>
          <w:sz w:val="18"/>
          <w:szCs w:val="18"/>
        </w:rPr>
        <w:t>Zarząd INTERFERIE S.A.</w:t>
      </w:r>
    </w:p>
    <w:p w:rsidR="00664D50" w:rsidRDefault="00664D50" w:rsidP="00664D50">
      <w:pPr>
        <w:tabs>
          <w:tab w:val="left" w:pos="540"/>
        </w:tabs>
        <w:spacing w:line="260" w:lineRule="exact"/>
        <w:jc w:val="both"/>
        <w:rPr>
          <w:rFonts w:ascii="Arial" w:hAnsi="Arial" w:cs="Arial"/>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664D50" w:rsidRPr="00661ED4" w:rsidTr="00250058">
        <w:tc>
          <w:tcPr>
            <w:tcW w:w="2303" w:type="dxa"/>
          </w:tcPr>
          <w:p w:rsidR="00664D50" w:rsidRPr="00661ED4" w:rsidRDefault="00664D50" w:rsidP="00250058">
            <w:pPr>
              <w:tabs>
                <w:tab w:val="left" w:pos="540"/>
              </w:tabs>
              <w:spacing w:line="260" w:lineRule="exact"/>
              <w:jc w:val="both"/>
              <w:rPr>
                <w:rFonts w:ascii="Arial" w:hAnsi="Arial" w:cs="Arial"/>
                <w:b/>
                <w:bCs/>
                <w:sz w:val="18"/>
                <w:szCs w:val="18"/>
              </w:rPr>
            </w:pPr>
            <w:r w:rsidRPr="00661ED4">
              <w:rPr>
                <w:rFonts w:ascii="Arial" w:hAnsi="Arial" w:cs="Arial"/>
                <w:b/>
                <w:bCs/>
                <w:sz w:val="18"/>
                <w:szCs w:val="18"/>
              </w:rPr>
              <w:t>Miejscowość i data</w:t>
            </w:r>
          </w:p>
        </w:tc>
        <w:tc>
          <w:tcPr>
            <w:tcW w:w="2303" w:type="dxa"/>
          </w:tcPr>
          <w:p w:rsidR="00664D50" w:rsidRPr="00661ED4" w:rsidRDefault="00664D50" w:rsidP="00250058">
            <w:pPr>
              <w:tabs>
                <w:tab w:val="left" w:pos="540"/>
              </w:tabs>
              <w:spacing w:line="260" w:lineRule="exact"/>
              <w:jc w:val="both"/>
              <w:rPr>
                <w:rFonts w:ascii="Arial" w:hAnsi="Arial" w:cs="Arial"/>
                <w:b/>
                <w:bCs/>
                <w:sz w:val="18"/>
                <w:szCs w:val="18"/>
              </w:rPr>
            </w:pPr>
            <w:r w:rsidRPr="00661ED4">
              <w:rPr>
                <w:rFonts w:ascii="Arial" w:hAnsi="Arial" w:cs="Arial"/>
                <w:b/>
                <w:bCs/>
                <w:sz w:val="18"/>
                <w:szCs w:val="18"/>
              </w:rPr>
              <w:t>Funkcja</w:t>
            </w:r>
          </w:p>
        </w:tc>
        <w:tc>
          <w:tcPr>
            <w:tcW w:w="2303" w:type="dxa"/>
          </w:tcPr>
          <w:p w:rsidR="00664D50" w:rsidRPr="00661ED4" w:rsidRDefault="00664D50" w:rsidP="00250058">
            <w:pPr>
              <w:tabs>
                <w:tab w:val="left" w:pos="540"/>
              </w:tabs>
              <w:spacing w:line="260" w:lineRule="exact"/>
              <w:jc w:val="both"/>
              <w:rPr>
                <w:rFonts w:ascii="Arial" w:hAnsi="Arial" w:cs="Arial"/>
                <w:b/>
                <w:bCs/>
                <w:sz w:val="18"/>
                <w:szCs w:val="18"/>
              </w:rPr>
            </w:pPr>
            <w:r w:rsidRPr="00661ED4">
              <w:rPr>
                <w:rFonts w:ascii="Arial" w:hAnsi="Arial" w:cs="Arial"/>
                <w:b/>
                <w:bCs/>
                <w:sz w:val="18"/>
                <w:szCs w:val="18"/>
              </w:rPr>
              <w:t>Imię i nazwisko</w:t>
            </w:r>
          </w:p>
        </w:tc>
        <w:tc>
          <w:tcPr>
            <w:tcW w:w="2303" w:type="dxa"/>
          </w:tcPr>
          <w:p w:rsidR="00664D50" w:rsidRPr="00661ED4" w:rsidRDefault="00664D50" w:rsidP="00250058">
            <w:pPr>
              <w:tabs>
                <w:tab w:val="left" w:pos="540"/>
              </w:tabs>
              <w:spacing w:line="260" w:lineRule="exact"/>
              <w:jc w:val="both"/>
              <w:rPr>
                <w:rFonts w:ascii="Arial" w:hAnsi="Arial" w:cs="Arial"/>
                <w:b/>
                <w:bCs/>
                <w:sz w:val="18"/>
                <w:szCs w:val="18"/>
              </w:rPr>
            </w:pPr>
            <w:r w:rsidRPr="00661ED4">
              <w:rPr>
                <w:rFonts w:ascii="Arial" w:hAnsi="Arial" w:cs="Arial"/>
                <w:b/>
                <w:bCs/>
                <w:sz w:val="18"/>
                <w:szCs w:val="18"/>
              </w:rPr>
              <w:t>Podpis</w:t>
            </w:r>
          </w:p>
        </w:tc>
      </w:tr>
      <w:tr w:rsidR="00664D50" w:rsidRPr="00AC2C2A" w:rsidTr="00250058">
        <w:trPr>
          <w:trHeight w:val="745"/>
        </w:trPr>
        <w:tc>
          <w:tcPr>
            <w:tcW w:w="2303" w:type="dxa"/>
            <w:vAlign w:val="center"/>
          </w:tcPr>
          <w:p w:rsidR="00664D50" w:rsidRPr="00AC2C2A" w:rsidRDefault="00664D50" w:rsidP="006915D0">
            <w:pPr>
              <w:tabs>
                <w:tab w:val="left" w:pos="540"/>
              </w:tabs>
              <w:spacing w:line="260" w:lineRule="exact"/>
              <w:rPr>
                <w:rFonts w:ascii="Arial" w:hAnsi="Arial" w:cs="Arial"/>
                <w:bCs/>
                <w:sz w:val="18"/>
                <w:szCs w:val="18"/>
              </w:rPr>
            </w:pPr>
            <w:r w:rsidRPr="00AC2C2A">
              <w:rPr>
                <w:rFonts w:ascii="Arial" w:hAnsi="Arial" w:cs="Arial"/>
                <w:bCs/>
                <w:sz w:val="18"/>
                <w:szCs w:val="18"/>
              </w:rPr>
              <w:t>Legnica, 2</w:t>
            </w:r>
            <w:r w:rsidR="006915D0">
              <w:rPr>
                <w:rFonts w:ascii="Arial" w:hAnsi="Arial" w:cs="Arial"/>
                <w:bCs/>
                <w:sz w:val="18"/>
                <w:szCs w:val="18"/>
              </w:rPr>
              <w:t>2</w:t>
            </w:r>
            <w:r w:rsidRPr="00AC2C2A">
              <w:rPr>
                <w:rFonts w:ascii="Arial" w:hAnsi="Arial" w:cs="Arial"/>
                <w:bCs/>
                <w:sz w:val="18"/>
                <w:szCs w:val="18"/>
              </w:rPr>
              <w:t>.10.</w:t>
            </w:r>
            <w:r w:rsidR="002057E7" w:rsidRPr="00AC2C2A">
              <w:rPr>
                <w:rFonts w:ascii="Arial" w:hAnsi="Arial" w:cs="Arial"/>
                <w:bCs/>
                <w:sz w:val="18"/>
                <w:szCs w:val="18"/>
              </w:rPr>
              <w:t>202</w:t>
            </w:r>
            <w:r w:rsidR="006915D0">
              <w:rPr>
                <w:rFonts w:ascii="Arial" w:hAnsi="Arial" w:cs="Arial"/>
                <w:bCs/>
                <w:sz w:val="18"/>
                <w:szCs w:val="18"/>
              </w:rPr>
              <w:t>1</w:t>
            </w:r>
            <w:r w:rsidRPr="00AC2C2A">
              <w:rPr>
                <w:rFonts w:ascii="Arial" w:hAnsi="Arial" w:cs="Arial"/>
                <w:bCs/>
                <w:sz w:val="18"/>
                <w:szCs w:val="18"/>
              </w:rPr>
              <w:t xml:space="preserve"> r.</w:t>
            </w:r>
          </w:p>
        </w:tc>
        <w:tc>
          <w:tcPr>
            <w:tcW w:w="2303" w:type="dxa"/>
            <w:vAlign w:val="center"/>
          </w:tcPr>
          <w:p w:rsidR="00664D50" w:rsidRPr="00AC2C2A" w:rsidRDefault="00664D50" w:rsidP="00250058">
            <w:pPr>
              <w:tabs>
                <w:tab w:val="left" w:pos="540"/>
              </w:tabs>
              <w:spacing w:line="260" w:lineRule="exact"/>
              <w:rPr>
                <w:rFonts w:ascii="Arial" w:hAnsi="Arial" w:cs="Arial"/>
                <w:bCs/>
                <w:sz w:val="18"/>
                <w:szCs w:val="18"/>
              </w:rPr>
            </w:pPr>
            <w:r w:rsidRPr="00AC2C2A">
              <w:rPr>
                <w:rFonts w:ascii="Arial" w:hAnsi="Arial" w:cs="Arial"/>
                <w:bCs/>
                <w:sz w:val="18"/>
                <w:szCs w:val="18"/>
              </w:rPr>
              <w:t>Prezes Zarządu</w:t>
            </w:r>
          </w:p>
        </w:tc>
        <w:tc>
          <w:tcPr>
            <w:tcW w:w="2303" w:type="dxa"/>
            <w:vAlign w:val="center"/>
          </w:tcPr>
          <w:p w:rsidR="00664D50" w:rsidRPr="00AC2C2A" w:rsidRDefault="00664D50" w:rsidP="00250058">
            <w:pPr>
              <w:tabs>
                <w:tab w:val="left" w:pos="540"/>
              </w:tabs>
              <w:spacing w:line="260" w:lineRule="exact"/>
              <w:rPr>
                <w:rFonts w:ascii="Arial" w:hAnsi="Arial" w:cs="Arial"/>
                <w:bCs/>
                <w:sz w:val="18"/>
                <w:szCs w:val="18"/>
              </w:rPr>
            </w:pPr>
            <w:r w:rsidRPr="00AC2C2A">
              <w:rPr>
                <w:rFonts w:ascii="Arial" w:hAnsi="Arial" w:cs="Arial"/>
                <w:bCs/>
                <w:sz w:val="18"/>
                <w:szCs w:val="18"/>
              </w:rPr>
              <w:t>Łukasz Ciołek</w:t>
            </w:r>
          </w:p>
        </w:tc>
        <w:tc>
          <w:tcPr>
            <w:tcW w:w="2303" w:type="dxa"/>
            <w:vAlign w:val="center"/>
          </w:tcPr>
          <w:p w:rsidR="00664D50" w:rsidRPr="00AC2C2A" w:rsidRDefault="00664D50" w:rsidP="00250058">
            <w:pPr>
              <w:tabs>
                <w:tab w:val="left" w:pos="540"/>
              </w:tabs>
              <w:spacing w:line="260" w:lineRule="exact"/>
              <w:rPr>
                <w:rFonts w:ascii="Arial" w:hAnsi="Arial" w:cs="Arial"/>
                <w:bCs/>
                <w:sz w:val="18"/>
                <w:szCs w:val="18"/>
              </w:rPr>
            </w:pPr>
          </w:p>
        </w:tc>
      </w:tr>
      <w:tr w:rsidR="00664D50" w:rsidRPr="00AC2C2A" w:rsidTr="00250058">
        <w:trPr>
          <w:trHeight w:val="737"/>
        </w:trPr>
        <w:tc>
          <w:tcPr>
            <w:tcW w:w="2303" w:type="dxa"/>
            <w:vAlign w:val="center"/>
          </w:tcPr>
          <w:p w:rsidR="00664D50" w:rsidRPr="00AC2C2A" w:rsidRDefault="00664D50" w:rsidP="006915D0">
            <w:pPr>
              <w:tabs>
                <w:tab w:val="left" w:pos="540"/>
              </w:tabs>
              <w:spacing w:line="260" w:lineRule="exact"/>
              <w:rPr>
                <w:rFonts w:ascii="Arial" w:hAnsi="Arial" w:cs="Arial"/>
                <w:bCs/>
                <w:sz w:val="18"/>
                <w:szCs w:val="18"/>
              </w:rPr>
            </w:pPr>
            <w:r w:rsidRPr="00AC2C2A">
              <w:rPr>
                <w:rFonts w:ascii="Arial" w:hAnsi="Arial" w:cs="Arial"/>
                <w:bCs/>
                <w:sz w:val="18"/>
                <w:szCs w:val="18"/>
              </w:rPr>
              <w:t>Legnica, 2</w:t>
            </w:r>
            <w:r w:rsidR="006915D0">
              <w:rPr>
                <w:rFonts w:ascii="Arial" w:hAnsi="Arial" w:cs="Arial"/>
                <w:bCs/>
                <w:sz w:val="18"/>
                <w:szCs w:val="18"/>
              </w:rPr>
              <w:t>2</w:t>
            </w:r>
            <w:r w:rsidRPr="00AC2C2A">
              <w:rPr>
                <w:rFonts w:ascii="Arial" w:hAnsi="Arial" w:cs="Arial"/>
                <w:bCs/>
                <w:sz w:val="18"/>
                <w:szCs w:val="18"/>
              </w:rPr>
              <w:t>.10.</w:t>
            </w:r>
            <w:r w:rsidR="006915D0">
              <w:rPr>
                <w:rFonts w:ascii="Arial" w:hAnsi="Arial" w:cs="Arial"/>
                <w:bCs/>
                <w:sz w:val="18"/>
                <w:szCs w:val="18"/>
              </w:rPr>
              <w:t>2021</w:t>
            </w:r>
            <w:r w:rsidRPr="00AC2C2A">
              <w:rPr>
                <w:rFonts w:ascii="Arial" w:hAnsi="Arial" w:cs="Arial"/>
                <w:bCs/>
                <w:sz w:val="18"/>
                <w:szCs w:val="18"/>
              </w:rPr>
              <w:t xml:space="preserve"> r.</w:t>
            </w:r>
          </w:p>
        </w:tc>
        <w:tc>
          <w:tcPr>
            <w:tcW w:w="2303" w:type="dxa"/>
            <w:vAlign w:val="center"/>
          </w:tcPr>
          <w:p w:rsidR="00664D50" w:rsidRPr="00AC2C2A" w:rsidRDefault="00664D50" w:rsidP="00250058">
            <w:pPr>
              <w:tabs>
                <w:tab w:val="left" w:pos="540"/>
              </w:tabs>
              <w:spacing w:line="260" w:lineRule="exact"/>
              <w:rPr>
                <w:rFonts w:ascii="Arial" w:hAnsi="Arial" w:cs="Arial"/>
                <w:bCs/>
                <w:sz w:val="18"/>
                <w:szCs w:val="18"/>
              </w:rPr>
            </w:pPr>
            <w:r w:rsidRPr="00AC2C2A">
              <w:rPr>
                <w:rFonts w:ascii="Arial" w:hAnsi="Arial" w:cs="Arial"/>
                <w:bCs/>
                <w:sz w:val="18"/>
                <w:szCs w:val="18"/>
              </w:rPr>
              <w:t>Wiceprezes Zarządu</w:t>
            </w:r>
          </w:p>
        </w:tc>
        <w:tc>
          <w:tcPr>
            <w:tcW w:w="2303" w:type="dxa"/>
            <w:vAlign w:val="center"/>
          </w:tcPr>
          <w:p w:rsidR="00664D50" w:rsidRPr="00AC2C2A" w:rsidRDefault="00664D50" w:rsidP="00250058">
            <w:pPr>
              <w:tabs>
                <w:tab w:val="left" w:pos="540"/>
              </w:tabs>
              <w:spacing w:line="260" w:lineRule="exact"/>
              <w:rPr>
                <w:rFonts w:ascii="Arial" w:hAnsi="Arial" w:cs="Arial"/>
                <w:bCs/>
                <w:sz w:val="18"/>
                <w:szCs w:val="18"/>
              </w:rPr>
            </w:pPr>
            <w:r w:rsidRPr="00AC2C2A">
              <w:rPr>
                <w:rFonts w:ascii="Arial" w:hAnsi="Arial" w:cs="Arial"/>
                <w:bCs/>
                <w:sz w:val="18"/>
                <w:szCs w:val="18"/>
              </w:rPr>
              <w:t>Urszula Bąkowska-Morawska</w:t>
            </w:r>
          </w:p>
        </w:tc>
        <w:tc>
          <w:tcPr>
            <w:tcW w:w="2303" w:type="dxa"/>
            <w:vAlign w:val="center"/>
          </w:tcPr>
          <w:p w:rsidR="00664D50" w:rsidRPr="00AC2C2A" w:rsidRDefault="00664D50" w:rsidP="00250058">
            <w:pPr>
              <w:tabs>
                <w:tab w:val="left" w:pos="540"/>
              </w:tabs>
              <w:spacing w:line="260" w:lineRule="exact"/>
              <w:rPr>
                <w:rFonts w:ascii="Arial" w:hAnsi="Arial" w:cs="Arial"/>
                <w:bCs/>
                <w:sz w:val="18"/>
                <w:szCs w:val="18"/>
              </w:rPr>
            </w:pPr>
          </w:p>
        </w:tc>
      </w:tr>
    </w:tbl>
    <w:p w:rsidR="00664D50" w:rsidRPr="00AC2C2A" w:rsidRDefault="00664D50" w:rsidP="00664D50">
      <w:pPr>
        <w:tabs>
          <w:tab w:val="left" w:pos="540"/>
        </w:tabs>
        <w:spacing w:line="260" w:lineRule="exact"/>
        <w:jc w:val="both"/>
        <w:rPr>
          <w:rFonts w:ascii="Arial" w:hAnsi="Arial" w:cs="Arial"/>
          <w:bCs/>
          <w:sz w:val="18"/>
          <w:szCs w:val="18"/>
        </w:rPr>
      </w:pPr>
    </w:p>
    <w:p w:rsidR="00664D50" w:rsidRPr="00AC2C2A" w:rsidRDefault="00664D50" w:rsidP="00664D50">
      <w:pPr>
        <w:tabs>
          <w:tab w:val="left" w:pos="540"/>
        </w:tabs>
        <w:spacing w:line="260" w:lineRule="exact"/>
        <w:jc w:val="both"/>
        <w:rPr>
          <w:rFonts w:ascii="Arial" w:hAnsi="Arial" w:cs="Arial"/>
          <w:b/>
          <w:bCs/>
          <w:sz w:val="18"/>
          <w:szCs w:val="18"/>
        </w:rPr>
      </w:pPr>
      <w:r w:rsidRPr="00AC2C2A">
        <w:rPr>
          <w:rFonts w:ascii="Arial" w:hAnsi="Arial" w:cs="Arial"/>
          <w:b/>
          <w:bCs/>
          <w:sz w:val="18"/>
          <w:szCs w:val="18"/>
        </w:rPr>
        <w:t>Osoba odpowiedzialna za prowadzenie ksiąg rachunkowych INTERFERIE S.A.</w:t>
      </w:r>
    </w:p>
    <w:p w:rsidR="00664D50" w:rsidRPr="00AC2C2A" w:rsidRDefault="00664D50" w:rsidP="00664D50">
      <w:pPr>
        <w:tabs>
          <w:tab w:val="left" w:pos="540"/>
        </w:tabs>
        <w:spacing w:line="260" w:lineRule="exact"/>
        <w:jc w:val="both"/>
        <w:rPr>
          <w:rFonts w:ascii="Arial" w:hAnsi="Arial" w:cs="Arial"/>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664D50" w:rsidRPr="00AC2C2A" w:rsidTr="00250058">
        <w:tc>
          <w:tcPr>
            <w:tcW w:w="2303" w:type="dxa"/>
          </w:tcPr>
          <w:p w:rsidR="00664D50" w:rsidRPr="00AC2C2A" w:rsidRDefault="00664D50" w:rsidP="00250058">
            <w:pPr>
              <w:tabs>
                <w:tab w:val="left" w:pos="540"/>
              </w:tabs>
              <w:spacing w:line="260" w:lineRule="exact"/>
              <w:jc w:val="both"/>
              <w:rPr>
                <w:rFonts w:ascii="Arial" w:hAnsi="Arial" w:cs="Arial"/>
                <w:b/>
                <w:bCs/>
                <w:sz w:val="18"/>
                <w:szCs w:val="18"/>
              </w:rPr>
            </w:pPr>
            <w:r w:rsidRPr="00AC2C2A">
              <w:rPr>
                <w:rFonts w:ascii="Arial" w:hAnsi="Arial" w:cs="Arial"/>
                <w:b/>
                <w:bCs/>
                <w:sz w:val="18"/>
                <w:szCs w:val="18"/>
              </w:rPr>
              <w:t>Miejscowość i data</w:t>
            </w:r>
          </w:p>
        </w:tc>
        <w:tc>
          <w:tcPr>
            <w:tcW w:w="2303" w:type="dxa"/>
          </w:tcPr>
          <w:p w:rsidR="00664D50" w:rsidRPr="00AC2C2A" w:rsidRDefault="00664D50" w:rsidP="00250058">
            <w:pPr>
              <w:tabs>
                <w:tab w:val="left" w:pos="540"/>
              </w:tabs>
              <w:spacing w:line="260" w:lineRule="exact"/>
              <w:jc w:val="both"/>
              <w:rPr>
                <w:rFonts w:ascii="Arial" w:hAnsi="Arial" w:cs="Arial"/>
                <w:b/>
                <w:bCs/>
                <w:sz w:val="18"/>
                <w:szCs w:val="18"/>
              </w:rPr>
            </w:pPr>
            <w:r w:rsidRPr="00AC2C2A">
              <w:rPr>
                <w:rFonts w:ascii="Arial" w:hAnsi="Arial" w:cs="Arial"/>
                <w:b/>
                <w:bCs/>
                <w:sz w:val="18"/>
                <w:szCs w:val="18"/>
              </w:rPr>
              <w:t>Funkcja</w:t>
            </w:r>
          </w:p>
        </w:tc>
        <w:tc>
          <w:tcPr>
            <w:tcW w:w="2303" w:type="dxa"/>
          </w:tcPr>
          <w:p w:rsidR="00664D50" w:rsidRPr="00AC2C2A" w:rsidRDefault="00664D50" w:rsidP="00250058">
            <w:pPr>
              <w:tabs>
                <w:tab w:val="left" w:pos="540"/>
              </w:tabs>
              <w:spacing w:line="260" w:lineRule="exact"/>
              <w:jc w:val="both"/>
              <w:rPr>
                <w:rFonts w:ascii="Arial" w:hAnsi="Arial" w:cs="Arial"/>
                <w:b/>
                <w:bCs/>
                <w:sz w:val="18"/>
                <w:szCs w:val="18"/>
              </w:rPr>
            </w:pPr>
            <w:r w:rsidRPr="00AC2C2A">
              <w:rPr>
                <w:rFonts w:ascii="Arial" w:hAnsi="Arial" w:cs="Arial"/>
                <w:b/>
                <w:bCs/>
                <w:sz w:val="18"/>
                <w:szCs w:val="18"/>
              </w:rPr>
              <w:t>Imię i nazwisko</w:t>
            </w:r>
          </w:p>
        </w:tc>
        <w:tc>
          <w:tcPr>
            <w:tcW w:w="2303" w:type="dxa"/>
          </w:tcPr>
          <w:p w:rsidR="00664D50" w:rsidRPr="00AC2C2A" w:rsidRDefault="00664D50" w:rsidP="00250058">
            <w:pPr>
              <w:tabs>
                <w:tab w:val="left" w:pos="540"/>
              </w:tabs>
              <w:spacing w:line="260" w:lineRule="exact"/>
              <w:jc w:val="both"/>
              <w:rPr>
                <w:rFonts w:ascii="Arial" w:hAnsi="Arial" w:cs="Arial"/>
                <w:b/>
                <w:bCs/>
                <w:sz w:val="18"/>
                <w:szCs w:val="18"/>
              </w:rPr>
            </w:pPr>
            <w:r w:rsidRPr="00AC2C2A">
              <w:rPr>
                <w:rFonts w:ascii="Arial" w:hAnsi="Arial" w:cs="Arial"/>
                <w:b/>
                <w:bCs/>
                <w:sz w:val="18"/>
                <w:szCs w:val="18"/>
              </w:rPr>
              <w:t>Podpis</w:t>
            </w:r>
          </w:p>
        </w:tc>
      </w:tr>
      <w:tr w:rsidR="00664D50" w:rsidRPr="00F31D8E" w:rsidTr="00250058">
        <w:trPr>
          <w:trHeight w:val="739"/>
        </w:trPr>
        <w:tc>
          <w:tcPr>
            <w:tcW w:w="2303" w:type="dxa"/>
            <w:vAlign w:val="center"/>
          </w:tcPr>
          <w:p w:rsidR="00664D50" w:rsidRPr="00AC2C2A" w:rsidRDefault="00664D50" w:rsidP="006915D0">
            <w:pPr>
              <w:tabs>
                <w:tab w:val="left" w:pos="540"/>
              </w:tabs>
              <w:spacing w:line="260" w:lineRule="exact"/>
              <w:rPr>
                <w:rFonts w:ascii="Arial" w:hAnsi="Arial" w:cs="Arial"/>
                <w:bCs/>
                <w:sz w:val="18"/>
                <w:szCs w:val="18"/>
              </w:rPr>
            </w:pPr>
            <w:r w:rsidRPr="00AC2C2A">
              <w:rPr>
                <w:rFonts w:ascii="Arial" w:hAnsi="Arial" w:cs="Arial"/>
                <w:bCs/>
                <w:sz w:val="18"/>
                <w:szCs w:val="18"/>
              </w:rPr>
              <w:t>Legnica, 2</w:t>
            </w:r>
            <w:r w:rsidR="006915D0">
              <w:rPr>
                <w:rFonts w:ascii="Arial" w:hAnsi="Arial" w:cs="Arial"/>
                <w:bCs/>
                <w:sz w:val="18"/>
                <w:szCs w:val="18"/>
              </w:rPr>
              <w:t>2</w:t>
            </w:r>
            <w:r w:rsidRPr="00AC2C2A">
              <w:rPr>
                <w:rFonts w:ascii="Arial" w:hAnsi="Arial" w:cs="Arial"/>
                <w:bCs/>
                <w:sz w:val="18"/>
                <w:szCs w:val="18"/>
              </w:rPr>
              <w:t>.10.</w:t>
            </w:r>
            <w:r w:rsidR="002057E7" w:rsidRPr="00AC2C2A">
              <w:rPr>
                <w:rFonts w:ascii="Arial" w:hAnsi="Arial" w:cs="Arial"/>
                <w:bCs/>
                <w:sz w:val="18"/>
                <w:szCs w:val="18"/>
              </w:rPr>
              <w:t>202</w:t>
            </w:r>
            <w:r w:rsidR="006915D0">
              <w:rPr>
                <w:rFonts w:ascii="Arial" w:hAnsi="Arial" w:cs="Arial"/>
                <w:bCs/>
                <w:sz w:val="18"/>
                <w:szCs w:val="18"/>
              </w:rPr>
              <w:t>1</w:t>
            </w:r>
            <w:r w:rsidRPr="00AC2C2A">
              <w:rPr>
                <w:rFonts w:ascii="Arial" w:hAnsi="Arial" w:cs="Arial"/>
                <w:bCs/>
                <w:sz w:val="18"/>
                <w:szCs w:val="18"/>
              </w:rPr>
              <w:t xml:space="preserve"> r.</w:t>
            </w:r>
          </w:p>
        </w:tc>
        <w:tc>
          <w:tcPr>
            <w:tcW w:w="2303" w:type="dxa"/>
            <w:vAlign w:val="center"/>
          </w:tcPr>
          <w:p w:rsidR="00664D50" w:rsidRPr="00AC2C2A" w:rsidRDefault="00664D50" w:rsidP="00250058">
            <w:pPr>
              <w:tabs>
                <w:tab w:val="left" w:pos="540"/>
              </w:tabs>
              <w:spacing w:line="260" w:lineRule="exact"/>
              <w:rPr>
                <w:rFonts w:ascii="Arial" w:hAnsi="Arial" w:cs="Arial"/>
                <w:bCs/>
                <w:sz w:val="18"/>
                <w:szCs w:val="18"/>
              </w:rPr>
            </w:pPr>
            <w:r w:rsidRPr="00AC2C2A">
              <w:rPr>
                <w:rFonts w:ascii="Arial" w:hAnsi="Arial" w:cs="Arial"/>
                <w:bCs/>
                <w:sz w:val="18"/>
                <w:szCs w:val="18"/>
              </w:rPr>
              <w:t>Główny Księgowy</w:t>
            </w:r>
          </w:p>
        </w:tc>
        <w:tc>
          <w:tcPr>
            <w:tcW w:w="2303" w:type="dxa"/>
            <w:vAlign w:val="center"/>
          </w:tcPr>
          <w:p w:rsidR="00664D50" w:rsidRPr="00F31D8E" w:rsidRDefault="00664D50" w:rsidP="00250058">
            <w:pPr>
              <w:tabs>
                <w:tab w:val="left" w:pos="540"/>
              </w:tabs>
              <w:spacing w:line="260" w:lineRule="exact"/>
              <w:rPr>
                <w:rFonts w:ascii="Arial" w:hAnsi="Arial" w:cs="Arial"/>
                <w:bCs/>
                <w:sz w:val="18"/>
                <w:szCs w:val="18"/>
              </w:rPr>
            </w:pPr>
            <w:r w:rsidRPr="00AC2C2A">
              <w:rPr>
                <w:rFonts w:ascii="Arial" w:hAnsi="Arial" w:cs="Arial"/>
                <w:bCs/>
                <w:sz w:val="18"/>
                <w:szCs w:val="18"/>
              </w:rPr>
              <w:t>Renata Bindas</w:t>
            </w:r>
          </w:p>
        </w:tc>
        <w:tc>
          <w:tcPr>
            <w:tcW w:w="2303" w:type="dxa"/>
            <w:vAlign w:val="center"/>
          </w:tcPr>
          <w:p w:rsidR="00664D50" w:rsidRPr="00F31D8E" w:rsidRDefault="00664D50" w:rsidP="00250058">
            <w:pPr>
              <w:tabs>
                <w:tab w:val="left" w:pos="540"/>
              </w:tabs>
              <w:spacing w:line="260" w:lineRule="exact"/>
              <w:rPr>
                <w:rFonts w:ascii="Arial" w:hAnsi="Arial" w:cs="Arial"/>
                <w:bCs/>
                <w:sz w:val="18"/>
                <w:szCs w:val="18"/>
              </w:rPr>
            </w:pPr>
          </w:p>
        </w:tc>
      </w:tr>
    </w:tbl>
    <w:p w:rsidR="008866A0" w:rsidRPr="003B20BA" w:rsidRDefault="008866A0" w:rsidP="008866A0">
      <w:pPr>
        <w:tabs>
          <w:tab w:val="left" w:pos="540"/>
        </w:tabs>
        <w:ind w:left="-142" w:firstLine="142"/>
        <w:rPr>
          <w:rFonts w:ascii="Arial" w:hAnsi="Arial" w:cs="Arial"/>
          <w:b/>
          <w:sz w:val="18"/>
          <w:szCs w:val="18"/>
        </w:rPr>
      </w:pPr>
    </w:p>
    <w:p w:rsidR="008866A0" w:rsidRPr="00F31D8E" w:rsidRDefault="008866A0" w:rsidP="008866A0">
      <w:pPr>
        <w:tabs>
          <w:tab w:val="left" w:pos="540"/>
        </w:tabs>
        <w:spacing w:line="260" w:lineRule="exact"/>
        <w:jc w:val="both"/>
        <w:sectPr w:rsidR="008866A0" w:rsidRPr="00F31D8E" w:rsidSect="0014561F">
          <w:headerReference w:type="default" r:id="rId10"/>
          <w:footerReference w:type="even" r:id="rId11"/>
          <w:footerReference w:type="default" r:id="rId12"/>
          <w:pgSz w:w="11906" w:h="16838" w:code="9"/>
          <w:pgMar w:top="1418" w:right="1418" w:bottom="1418" w:left="1418" w:header="709" w:footer="709" w:gutter="0"/>
          <w:pgNumType w:start="1"/>
          <w:cols w:space="708"/>
          <w:titlePg/>
          <w:docGrid w:linePitch="360"/>
        </w:sectPr>
      </w:pPr>
    </w:p>
    <w:p w:rsidR="008866A0" w:rsidRPr="00F31D8E" w:rsidRDefault="008866A0" w:rsidP="008866A0">
      <w:pPr>
        <w:tabs>
          <w:tab w:val="left" w:pos="540"/>
        </w:tabs>
        <w:spacing w:line="260" w:lineRule="exact"/>
        <w:jc w:val="both"/>
        <w:rPr>
          <w:rFonts w:ascii="Arial" w:hAnsi="Arial" w:cs="Arial"/>
        </w:rPr>
      </w:pPr>
    </w:p>
    <w:p w:rsidR="008866A0" w:rsidRPr="00F31D8E" w:rsidRDefault="008866A0" w:rsidP="008866A0">
      <w:pPr>
        <w:tabs>
          <w:tab w:val="left" w:pos="540"/>
        </w:tabs>
        <w:rPr>
          <w:rFonts w:ascii="Arial" w:hAnsi="Arial" w:cs="Arial"/>
          <w:b/>
        </w:rPr>
      </w:pPr>
    </w:p>
    <w:p w:rsidR="008866A0" w:rsidRPr="00F31D8E" w:rsidRDefault="008866A0" w:rsidP="008866A0">
      <w:pPr>
        <w:tabs>
          <w:tab w:val="left" w:pos="540"/>
        </w:tabs>
        <w:jc w:val="center"/>
        <w:rPr>
          <w:rFonts w:ascii="Arial" w:hAnsi="Arial" w:cs="Arial"/>
          <w:b/>
        </w:rPr>
      </w:pPr>
      <w:r w:rsidRPr="00F31D8E">
        <w:rPr>
          <w:rFonts w:ascii="Arial" w:hAnsi="Arial" w:cs="Arial"/>
          <w:noProof/>
        </w:rPr>
        <w:drawing>
          <wp:inline distT="0" distB="0" distL="0" distR="0" wp14:anchorId="0D49FA2C" wp14:editId="6A0F1DD5">
            <wp:extent cx="5105400" cy="3810000"/>
            <wp:effectExtent l="1905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105400" cy="3810000"/>
                    </a:xfrm>
                    <a:prstGeom prst="rect">
                      <a:avLst/>
                    </a:prstGeom>
                    <a:noFill/>
                    <a:ln w="9525">
                      <a:noFill/>
                      <a:miter lim="800000"/>
                      <a:headEnd/>
                      <a:tailEnd/>
                    </a:ln>
                  </pic:spPr>
                </pic:pic>
              </a:graphicData>
            </a:graphic>
          </wp:inline>
        </w:drawing>
      </w:r>
    </w:p>
    <w:p w:rsidR="008866A0" w:rsidRPr="00F31D8E" w:rsidRDefault="008866A0" w:rsidP="008866A0">
      <w:pPr>
        <w:tabs>
          <w:tab w:val="left" w:pos="540"/>
        </w:tabs>
        <w:rPr>
          <w:rFonts w:ascii="Arial" w:hAnsi="Arial" w:cs="Arial"/>
          <w:b/>
        </w:rPr>
      </w:pPr>
    </w:p>
    <w:p w:rsidR="008866A0" w:rsidRPr="00F31D8E" w:rsidRDefault="008866A0" w:rsidP="008866A0">
      <w:pPr>
        <w:tabs>
          <w:tab w:val="left" w:pos="540"/>
        </w:tabs>
        <w:rPr>
          <w:rFonts w:ascii="Arial" w:hAnsi="Arial" w:cs="Arial"/>
          <w:b/>
        </w:rPr>
      </w:pPr>
    </w:p>
    <w:p w:rsidR="008866A0" w:rsidRPr="00F31D8E" w:rsidRDefault="008866A0" w:rsidP="008866A0">
      <w:pPr>
        <w:tabs>
          <w:tab w:val="left" w:pos="540"/>
        </w:tabs>
        <w:rPr>
          <w:rFonts w:ascii="Arial" w:hAnsi="Arial" w:cs="Arial"/>
          <w:b/>
        </w:rPr>
      </w:pPr>
    </w:p>
    <w:p w:rsidR="008866A0" w:rsidRPr="00F31D8E" w:rsidRDefault="008866A0" w:rsidP="008866A0">
      <w:pPr>
        <w:tabs>
          <w:tab w:val="left" w:pos="540"/>
        </w:tabs>
        <w:rPr>
          <w:rFonts w:ascii="Arial" w:hAnsi="Arial" w:cs="Arial"/>
          <w:b/>
        </w:rPr>
      </w:pPr>
    </w:p>
    <w:p w:rsidR="008866A0" w:rsidRPr="00F31D8E" w:rsidRDefault="008866A0" w:rsidP="008866A0">
      <w:pPr>
        <w:tabs>
          <w:tab w:val="left" w:pos="540"/>
        </w:tabs>
        <w:rPr>
          <w:rFonts w:ascii="Arial" w:hAnsi="Arial" w:cs="Arial"/>
          <w:b/>
        </w:rPr>
      </w:pPr>
    </w:p>
    <w:p w:rsidR="008866A0" w:rsidRPr="00F31D8E" w:rsidRDefault="008866A0" w:rsidP="008866A0">
      <w:pPr>
        <w:tabs>
          <w:tab w:val="left" w:pos="540"/>
        </w:tabs>
        <w:rPr>
          <w:rFonts w:ascii="Arial" w:hAnsi="Arial" w:cs="Arial"/>
          <w:b/>
        </w:rPr>
      </w:pPr>
    </w:p>
    <w:p w:rsidR="008866A0" w:rsidRPr="00F31D8E" w:rsidRDefault="008866A0" w:rsidP="008866A0">
      <w:pPr>
        <w:tabs>
          <w:tab w:val="left" w:pos="540"/>
        </w:tabs>
        <w:rPr>
          <w:rFonts w:ascii="Arial" w:hAnsi="Arial" w:cs="Arial"/>
          <w:b/>
        </w:rPr>
      </w:pPr>
    </w:p>
    <w:p w:rsidR="008866A0" w:rsidRPr="00F31D8E" w:rsidRDefault="008866A0" w:rsidP="008866A0">
      <w:pPr>
        <w:tabs>
          <w:tab w:val="left" w:pos="540"/>
        </w:tabs>
        <w:rPr>
          <w:rFonts w:ascii="Arial" w:hAnsi="Arial" w:cs="Arial"/>
          <w:b/>
          <w:sz w:val="28"/>
          <w:szCs w:val="28"/>
        </w:rPr>
      </w:pPr>
    </w:p>
    <w:p w:rsidR="008866A0" w:rsidRPr="00F31D8E" w:rsidRDefault="008866A0" w:rsidP="008866A0">
      <w:pPr>
        <w:tabs>
          <w:tab w:val="left" w:pos="540"/>
        </w:tabs>
        <w:rPr>
          <w:rFonts w:ascii="Arial" w:hAnsi="Arial" w:cs="Arial"/>
          <w:b/>
          <w:sz w:val="28"/>
          <w:szCs w:val="28"/>
        </w:rPr>
      </w:pPr>
      <w:r w:rsidRPr="00F31D8E">
        <w:rPr>
          <w:rFonts w:ascii="Arial" w:hAnsi="Arial" w:cs="Arial"/>
          <w:b/>
          <w:sz w:val="28"/>
          <w:szCs w:val="28"/>
        </w:rPr>
        <w:t>INTERFERIE S.A. w Legnicy</w:t>
      </w:r>
    </w:p>
    <w:p w:rsidR="008866A0" w:rsidRPr="00F31D8E" w:rsidRDefault="008866A0" w:rsidP="008866A0">
      <w:pPr>
        <w:tabs>
          <w:tab w:val="left" w:pos="540"/>
        </w:tabs>
        <w:rPr>
          <w:rFonts w:ascii="Arial" w:hAnsi="Arial" w:cs="Arial"/>
          <w:b/>
          <w:sz w:val="28"/>
          <w:szCs w:val="28"/>
        </w:rPr>
      </w:pPr>
    </w:p>
    <w:p w:rsidR="008866A0" w:rsidRPr="00F31D8E" w:rsidRDefault="008866A0" w:rsidP="008866A0">
      <w:pPr>
        <w:tabs>
          <w:tab w:val="left" w:pos="540"/>
        </w:tabs>
        <w:rPr>
          <w:rFonts w:ascii="Arial" w:hAnsi="Arial" w:cs="Arial"/>
          <w:b/>
          <w:sz w:val="28"/>
          <w:szCs w:val="28"/>
        </w:rPr>
      </w:pPr>
    </w:p>
    <w:p w:rsidR="008866A0" w:rsidRPr="00F31D8E" w:rsidRDefault="008866A0" w:rsidP="008866A0">
      <w:pPr>
        <w:tabs>
          <w:tab w:val="left" w:pos="540"/>
        </w:tabs>
        <w:rPr>
          <w:rFonts w:ascii="Arial" w:hAnsi="Arial" w:cs="Arial"/>
          <w:b/>
          <w:sz w:val="28"/>
          <w:szCs w:val="28"/>
        </w:rPr>
      </w:pPr>
      <w:r w:rsidRPr="00F31D8E">
        <w:rPr>
          <w:rFonts w:ascii="Arial" w:hAnsi="Arial" w:cs="Arial"/>
          <w:b/>
          <w:sz w:val="28"/>
          <w:szCs w:val="28"/>
        </w:rPr>
        <w:t xml:space="preserve">Śródroczne skrócone jednostkowe sprawozdanie finansowe za okres dziewięciu miesięcy zakończonych 30 września </w:t>
      </w:r>
      <w:r w:rsidR="002057E7">
        <w:rPr>
          <w:rFonts w:ascii="Arial" w:hAnsi="Arial" w:cs="Arial"/>
          <w:b/>
          <w:sz w:val="28"/>
          <w:szCs w:val="28"/>
        </w:rPr>
        <w:t>202</w:t>
      </w:r>
      <w:r w:rsidR="006915D0">
        <w:rPr>
          <w:rFonts w:ascii="Arial" w:hAnsi="Arial" w:cs="Arial"/>
          <w:b/>
          <w:sz w:val="28"/>
          <w:szCs w:val="28"/>
        </w:rPr>
        <w:t>1</w:t>
      </w:r>
      <w:r w:rsidRPr="00F31D8E">
        <w:rPr>
          <w:rFonts w:ascii="Arial" w:hAnsi="Arial" w:cs="Arial"/>
          <w:b/>
          <w:sz w:val="28"/>
          <w:szCs w:val="28"/>
        </w:rPr>
        <w:t xml:space="preserve"> r.</w:t>
      </w:r>
    </w:p>
    <w:p w:rsidR="008866A0" w:rsidRPr="00F31D8E" w:rsidRDefault="008866A0" w:rsidP="008866A0">
      <w:pPr>
        <w:tabs>
          <w:tab w:val="left" w:pos="540"/>
        </w:tabs>
        <w:rPr>
          <w:rFonts w:ascii="Arial" w:hAnsi="Arial" w:cs="Arial"/>
          <w:b/>
          <w:sz w:val="28"/>
          <w:szCs w:val="28"/>
        </w:rPr>
      </w:pPr>
    </w:p>
    <w:p w:rsidR="008866A0" w:rsidRPr="00F31D8E" w:rsidRDefault="008866A0" w:rsidP="008866A0">
      <w:pPr>
        <w:tabs>
          <w:tab w:val="left" w:pos="540"/>
        </w:tabs>
        <w:rPr>
          <w:rFonts w:ascii="Arial" w:hAnsi="Arial" w:cs="Arial"/>
          <w:b/>
          <w:sz w:val="28"/>
          <w:szCs w:val="28"/>
        </w:rPr>
      </w:pPr>
      <w:r w:rsidRPr="00F31D8E">
        <w:rPr>
          <w:rFonts w:ascii="Arial" w:hAnsi="Arial" w:cs="Arial"/>
          <w:b/>
          <w:sz w:val="28"/>
          <w:szCs w:val="28"/>
        </w:rPr>
        <w:t>sporządzone zgodnie z MSR 34</w:t>
      </w:r>
    </w:p>
    <w:p w:rsidR="008866A0" w:rsidRPr="00F31D8E" w:rsidRDefault="008866A0" w:rsidP="008866A0">
      <w:pPr>
        <w:tabs>
          <w:tab w:val="left" w:pos="540"/>
        </w:tabs>
        <w:rPr>
          <w:rFonts w:ascii="Arial" w:hAnsi="Arial" w:cs="Arial"/>
          <w:b/>
          <w:sz w:val="28"/>
          <w:szCs w:val="28"/>
        </w:rPr>
      </w:pPr>
    </w:p>
    <w:p w:rsidR="008866A0" w:rsidRPr="00F31D8E" w:rsidRDefault="008866A0" w:rsidP="008866A0">
      <w:pPr>
        <w:tabs>
          <w:tab w:val="left" w:pos="540"/>
        </w:tabs>
        <w:rPr>
          <w:rFonts w:ascii="Arial" w:hAnsi="Arial" w:cs="Arial"/>
          <w:b/>
          <w:sz w:val="28"/>
          <w:szCs w:val="28"/>
        </w:rPr>
      </w:pPr>
    </w:p>
    <w:p w:rsidR="008866A0" w:rsidRPr="00F31D8E" w:rsidRDefault="008866A0" w:rsidP="008866A0">
      <w:pPr>
        <w:tabs>
          <w:tab w:val="left" w:pos="540"/>
        </w:tabs>
        <w:rPr>
          <w:rFonts w:ascii="Arial" w:hAnsi="Arial" w:cs="Arial"/>
          <w:b/>
        </w:rPr>
      </w:pPr>
      <w:r w:rsidRPr="00F31D8E">
        <w:rPr>
          <w:rFonts w:ascii="Arial" w:hAnsi="Arial" w:cs="Arial"/>
          <w:b/>
        </w:rPr>
        <w:br w:type="page"/>
      </w:r>
    </w:p>
    <w:p w:rsidR="008866A0" w:rsidRPr="00F31D8E" w:rsidRDefault="008866A0" w:rsidP="008866A0">
      <w:pPr>
        <w:tabs>
          <w:tab w:val="left" w:pos="540"/>
        </w:tabs>
        <w:rPr>
          <w:rFonts w:ascii="Arial" w:hAnsi="Arial" w:cs="Arial"/>
          <w:b/>
        </w:rPr>
      </w:pPr>
      <w:r w:rsidRPr="00F31D8E">
        <w:rPr>
          <w:rFonts w:ascii="Arial" w:hAnsi="Arial" w:cs="Arial"/>
          <w:b/>
        </w:rPr>
        <w:lastRenderedPageBreak/>
        <w:t>WYBRANE DANE FINANSOWE</w:t>
      </w:r>
    </w:p>
    <w:p w:rsidR="008866A0" w:rsidRPr="00F31D8E" w:rsidRDefault="008866A0" w:rsidP="008866A0">
      <w:pPr>
        <w:tabs>
          <w:tab w:val="left" w:pos="540"/>
        </w:tabs>
        <w:rPr>
          <w:rFonts w:ascii="Arial" w:hAnsi="Arial" w:cs="Arial"/>
          <w:b/>
          <w:sz w:val="18"/>
          <w:szCs w:val="18"/>
        </w:rPr>
      </w:pPr>
    </w:p>
    <w:p w:rsidR="008866A0" w:rsidRPr="00F31D8E" w:rsidRDefault="008866A0" w:rsidP="008866A0">
      <w:pPr>
        <w:tabs>
          <w:tab w:val="left" w:pos="540"/>
        </w:tabs>
        <w:rPr>
          <w:rFonts w:ascii="Arial" w:hAnsi="Arial" w:cs="Arial"/>
          <w:b/>
          <w:sz w:val="18"/>
          <w:szCs w:val="18"/>
        </w:rPr>
      </w:pPr>
      <w:r w:rsidRPr="00F31D8E">
        <w:rPr>
          <w:rFonts w:ascii="Arial" w:hAnsi="Arial" w:cs="Arial"/>
          <w:b/>
          <w:sz w:val="18"/>
          <w:szCs w:val="18"/>
        </w:rPr>
        <w:t>Dane dotyczące skróconego jednostkowego sprawozdania finansowego INTERFERIE S.A. w Legnicy</w:t>
      </w:r>
    </w:p>
    <w:p w:rsidR="008866A0" w:rsidRPr="00F31D8E" w:rsidRDefault="008866A0" w:rsidP="008866A0">
      <w:pPr>
        <w:tabs>
          <w:tab w:val="left" w:pos="540"/>
        </w:tabs>
        <w:rPr>
          <w:rFonts w:ascii="Arial" w:hAnsi="Arial" w:cs="Arial"/>
          <w:sz w:val="18"/>
          <w:szCs w:val="18"/>
        </w:rPr>
      </w:pPr>
    </w:p>
    <w:p w:rsidR="008866A0" w:rsidRPr="00F451D4" w:rsidRDefault="008866A0" w:rsidP="008866A0">
      <w:pPr>
        <w:tabs>
          <w:tab w:val="left" w:pos="540"/>
        </w:tabs>
        <w:ind w:left="-142" w:firstLine="142"/>
        <w:rPr>
          <w:rFonts w:ascii="Arial" w:hAnsi="Arial" w:cs="Arial"/>
          <w:b/>
          <w:sz w:val="18"/>
          <w:szCs w:val="18"/>
          <w:highlight w:val="yellow"/>
        </w:rPr>
      </w:pPr>
    </w:p>
    <w:tbl>
      <w:tblPr>
        <w:tblW w:w="5000" w:type="pct"/>
        <w:tblCellMar>
          <w:left w:w="70" w:type="dxa"/>
          <w:right w:w="70" w:type="dxa"/>
        </w:tblCellMar>
        <w:tblLook w:val="04A0" w:firstRow="1" w:lastRow="0" w:firstColumn="1" w:lastColumn="0" w:noHBand="0" w:noVBand="1"/>
      </w:tblPr>
      <w:tblGrid>
        <w:gridCol w:w="487"/>
        <w:gridCol w:w="2822"/>
        <w:gridCol w:w="1439"/>
        <w:gridCol w:w="1584"/>
        <w:gridCol w:w="1439"/>
        <w:gridCol w:w="1439"/>
      </w:tblGrid>
      <w:tr w:rsidR="00C310B8" w:rsidRPr="00F06708" w:rsidTr="00C310B8">
        <w:trPr>
          <w:trHeight w:val="310"/>
        </w:trPr>
        <w:tc>
          <w:tcPr>
            <w:tcW w:w="1796" w:type="pct"/>
            <w:gridSpan w:val="2"/>
            <w:tcBorders>
              <w:top w:val="nil"/>
              <w:left w:val="nil"/>
              <w:bottom w:val="nil"/>
              <w:right w:val="nil"/>
            </w:tcBorders>
            <w:shd w:val="clear" w:color="auto" w:fill="auto"/>
            <w:noWrap/>
            <w:vAlign w:val="bottom"/>
            <w:hideMark/>
          </w:tcPr>
          <w:p w:rsidR="00C310B8" w:rsidRPr="00F06708" w:rsidRDefault="00C310B8">
            <w:pPr>
              <w:rPr>
                <w:color w:val="000000"/>
                <w:sz w:val="16"/>
                <w:szCs w:val="16"/>
              </w:rPr>
            </w:pPr>
          </w:p>
        </w:tc>
        <w:tc>
          <w:tcPr>
            <w:tcW w:w="1641" w:type="pct"/>
            <w:gridSpan w:val="2"/>
            <w:tcBorders>
              <w:top w:val="nil"/>
              <w:left w:val="nil"/>
              <w:bottom w:val="nil"/>
              <w:right w:val="nil"/>
            </w:tcBorders>
            <w:shd w:val="clear" w:color="auto" w:fill="auto"/>
            <w:noWrap/>
            <w:vAlign w:val="center"/>
            <w:hideMark/>
          </w:tcPr>
          <w:p w:rsidR="00C310B8" w:rsidRPr="00F06708" w:rsidRDefault="00C310B8">
            <w:pPr>
              <w:jc w:val="center"/>
              <w:rPr>
                <w:rFonts w:ascii="Arial" w:hAnsi="Arial" w:cs="Arial"/>
                <w:b/>
                <w:bCs/>
                <w:color w:val="000000"/>
                <w:sz w:val="16"/>
                <w:szCs w:val="16"/>
              </w:rPr>
            </w:pPr>
            <w:r w:rsidRPr="00F06708">
              <w:rPr>
                <w:rFonts w:ascii="Arial" w:hAnsi="Arial" w:cs="Arial"/>
                <w:b/>
                <w:bCs/>
                <w:color w:val="000000"/>
                <w:sz w:val="16"/>
                <w:szCs w:val="16"/>
              </w:rPr>
              <w:t>w tys. zł</w:t>
            </w:r>
          </w:p>
        </w:tc>
        <w:tc>
          <w:tcPr>
            <w:tcW w:w="1562" w:type="pct"/>
            <w:gridSpan w:val="2"/>
            <w:tcBorders>
              <w:top w:val="nil"/>
              <w:left w:val="nil"/>
              <w:bottom w:val="nil"/>
              <w:right w:val="nil"/>
            </w:tcBorders>
            <w:shd w:val="clear" w:color="auto" w:fill="auto"/>
            <w:noWrap/>
            <w:vAlign w:val="center"/>
            <w:hideMark/>
          </w:tcPr>
          <w:p w:rsidR="00C310B8" w:rsidRPr="00F06708" w:rsidRDefault="00C310B8">
            <w:pPr>
              <w:jc w:val="center"/>
              <w:rPr>
                <w:rFonts w:ascii="Arial" w:hAnsi="Arial" w:cs="Arial"/>
                <w:b/>
                <w:bCs/>
                <w:color w:val="000000"/>
                <w:sz w:val="16"/>
                <w:szCs w:val="16"/>
              </w:rPr>
            </w:pPr>
            <w:r w:rsidRPr="00F06708">
              <w:rPr>
                <w:rFonts w:ascii="Arial" w:hAnsi="Arial" w:cs="Arial"/>
                <w:b/>
                <w:bCs/>
                <w:color w:val="000000"/>
                <w:sz w:val="16"/>
                <w:szCs w:val="16"/>
              </w:rPr>
              <w:t>w tys. EUR</w:t>
            </w:r>
          </w:p>
        </w:tc>
      </w:tr>
      <w:tr w:rsidR="00C310B8" w:rsidRPr="00F06708" w:rsidTr="00C310B8">
        <w:trPr>
          <w:trHeight w:val="310"/>
        </w:trPr>
        <w:tc>
          <w:tcPr>
            <w:tcW w:w="264" w:type="pct"/>
            <w:tcBorders>
              <w:top w:val="nil"/>
              <w:left w:val="nil"/>
              <w:bottom w:val="nil"/>
              <w:right w:val="nil"/>
            </w:tcBorders>
            <w:shd w:val="clear" w:color="auto" w:fill="auto"/>
            <w:noWrap/>
            <w:vAlign w:val="bottom"/>
            <w:hideMark/>
          </w:tcPr>
          <w:p w:rsidR="00C310B8" w:rsidRPr="00F06708" w:rsidRDefault="00C310B8">
            <w:pPr>
              <w:rPr>
                <w:color w:val="000000"/>
                <w:sz w:val="16"/>
                <w:szCs w:val="16"/>
              </w:rPr>
            </w:pPr>
          </w:p>
        </w:tc>
        <w:tc>
          <w:tcPr>
            <w:tcW w:w="1532" w:type="pct"/>
            <w:tcBorders>
              <w:top w:val="nil"/>
              <w:left w:val="nil"/>
              <w:bottom w:val="nil"/>
              <w:right w:val="nil"/>
            </w:tcBorders>
            <w:shd w:val="clear" w:color="auto" w:fill="auto"/>
            <w:noWrap/>
            <w:vAlign w:val="bottom"/>
            <w:hideMark/>
          </w:tcPr>
          <w:p w:rsidR="00C310B8" w:rsidRPr="00F06708" w:rsidRDefault="00C310B8">
            <w:pPr>
              <w:rPr>
                <w:color w:val="000000"/>
                <w:sz w:val="16"/>
                <w:szCs w:val="16"/>
              </w:rPr>
            </w:pPr>
          </w:p>
        </w:tc>
        <w:tc>
          <w:tcPr>
            <w:tcW w:w="781" w:type="pct"/>
            <w:tcBorders>
              <w:top w:val="nil"/>
              <w:left w:val="nil"/>
              <w:bottom w:val="nil"/>
              <w:right w:val="nil"/>
            </w:tcBorders>
            <w:shd w:val="clear" w:color="auto" w:fill="auto"/>
            <w:noWrap/>
            <w:vAlign w:val="center"/>
            <w:hideMark/>
          </w:tcPr>
          <w:p w:rsidR="00C310B8" w:rsidRPr="00F06708" w:rsidRDefault="00C310B8">
            <w:pPr>
              <w:jc w:val="right"/>
              <w:rPr>
                <w:rFonts w:ascii="Arial" w:hAnsi="Arial" w:cs="Arial"/>
                <w:b/>
                <w:bCs/>
                <w:color w:val="000000"/>
                <w:sz w:val="16"/>
                <w:szCs w:val="16"/>
              </w:rPr>
            </w:pPr>
            <w:r w:rsidRPr="00F06708">
              <w:rPr>
                <w:rFonts w:ascii="Arial" w:hAnsi="Arial" w:cs="Arial"/>
                <w:b/>
                <w:bCs/>
                <w:color w:val="000000"/>
                <w:sz w:val="16"/>
                <w:szCs w:val="16"/>
              </w:rPr>
              <w:t>III kwartały</w:t>
            </w:r>
          </w:p>
        </w:tc>
        <w:tc>
          <w:tcPr>
            <w:tcW w:w="860" w:type="pct"/>
            <w:tcBorders>
              <w:top w:val="nil"/>
              <w:left w:val="nil"/>
              <w:bottom w:val="nil"/>
              <w:right w:val="nil"/>
            </w:tcBorders>
            <w:shd w:val="clear" w:color="auto" w:fill="auto"/>
            <w:noWrap/>
            <w:vAlign w:val="center"/>
            <w:hideMark/>
          </w:tcPr>
          <w:p w:rsidR="00C310B8" w:rsidRPr="00F06708" w:rsidRDefault="00C310B8">
            <w:pPr>
              <w:jc w:val="right"/>
              <w:rPr>
                <w:rFonts w:ascii="Arial" w:hAnsi="Arial" w:cs="Arial"/>
                <w:b/>
                <w:bCs/>
                <w:color w:val="000000"/>
                <w:sz w:val="16"/>
                <w:szCs w:val="16"/>
              </w:rPr>
            </w:pPr>
            <w:r w:rsidRPr="00F06708">
              <w:rPr>
                <w:rFonts w:ascii="Arial" w:hAnsi="Arial" w:cs="Arial"/>
                <w:b/>
                <w:bCs/>
                <w:color w:val="000000"/>
                <w:sz w:val="16"/>
                <w:szCs w:val="16"/>
              </w:rPr>
              <w:t>III kwartały</w:t>
            </w:r>
          </w:p>
        </w:tc>
        <w:tc>
          <w:tcPr>
            <w:tcW w:w="781" w:type="pct"/>
            <w:tcBorders>
              <w:top w:val="nil"/>
              <w:left w:val="nil"/>
              <w:bottom w:val="nil"/>
              <w:right w:val="nil"/>
            </w:tcBorders>
            <w:shd w:val="clear" w:color="auto" w:fill="auto"/>
            <w:noWrap/>
            <w:vAlign w:val="center"/>
            <w:hideMark/>
          </w:tcPr>
          <w:p w:rsidR="00C310B8" w:rsidRPr="00F06708" w:rsidRDefault="00C310B8">
            <w:pPr>
              <w:jc w:val="right"/>
              <w:rPr>
                <w:rFonts w:ascii="Arial" w:hAnsi="Arial" w:cs="Arial"/>
                <w:b/>
                <w:bCs/>
                <w:color w:val="000000"/>
                <w:sz w:val="16"/>
                <w:szCs w:val="16"/>
              </w:rPr>
            </w:pPr>
            <w:r w:rsidRPr="00F06708">
              <w:rPr>
                <w:rFonts w:ascii="Arial" w:hAnsi="Arial" w:cs="Arial"/>
                <w:b/>
                <w:bCs/>
                <w:color w:val="000000"/>
                <w:sz w:val="16"/>
                <w:szCs w:val="16"/>
              </w:rPr>
              <w:t>III kwartały</w:t>
            </w:r>
          </w:p>
        </w:tc>
        <w:tc>
          <w:tcPr>
            <w:tcW w:w="781" w:type="pct"/>
            <w:tcBorders>
              <w:top w:val="nil"/>
              <w:left w:val="nil"/>
              <w:bottom w:val="nil"/>
              <w:right w:val="nil"/>
            </w:tcBorders>
            <w:shd w:val="clear" w:color="auto" w:fill="auto"/>
            <w:noWrap/>
            <w:vAlign w:val="center"/>
            <w:hideMark/>
          </w:tcPr>
          <w:p w:rsidR="00C310B8" w:rsidRPr="00F06708" w:rsidRDefault="00C310B8">
            <w:pPr>
              <w:jc w:val="right"/>
              <w:rPr>
                <w:rFonts w:ascii="Arial" w:hAnsi="Arial" w:cs="Arial"/>
                <w:b/>
                <w:bCs/>
                <w:color w:val="000000"/>
                <w:sz w:val="16"/>
                <w:szCs w:val="16"/>
              </w:rPr>
            </w:pPr>
            <w:r w:rsidRPr="00F06708">
              <w:rPr>
                <w:rFonts w:ascii="Arial" w:hAnsi="Arial" w:cs="Arial"/>
                <w:b/>
                <w:bCs/>
                <w:color w:val="000000"/>
                <w:sz w:val="16"/>
                <w:szCs w:val="16"/>
              </w:rPr>
              <w:t>III kwartały</w:t>
            </w:r>
          </w:p>
        </w:tc>
      </w:tr>
      <w:tr w:rsidR="00C310B8" w:rsidRPr="00F06708" w:rsidTr="00C310B8">
        <w:trPr>
          <w:trHeight w:val="310"/>
        </w:trPr>
        <w:tc>
          <w:tcPr>
            <w:tcW w:w="264" w:type="pct"/>
            <w:tcBorders>
              <w:top w:val="nil"/>
              <w:left w:val="nil"/>
              <w:bottom w:val="nil"/>
              <w:right w:val="nil"/>
            </w:tcBorders>
            <w:shd w:val="clear" w:color="auto" w:fill="auto"/>
            <w:noWrap/>
            <w:vAlign w:val="bottom"/>
            <w:hideMark/>
          </w:tcPr>
          <w:p w:rsidR="00C310B8" w:rsidRPr="00F06708" w:rsidRDefault="00C310B8">
            <w:pPr>
              <w:rPr>
                <w:color w:val="000000"/>
                <w:sz w:val="16"/>
                <w:szCs w:val="16"/>
              </w:rPr>
            </w:pPr>
          </w:p>
        </w:tc>
        <w:tc>
          <w:tcPr>
            <w:tcW w:w="1532" w:type="pct"/>
            <w:tcBorders>
              <w:top w:val="nil"/>
              <w:left w:val="nil"/>
              <w:bottom w:val="nil"/>
              <w:right w:val="nil"/>
            </w:tcBorders>
            <w:shd w:val="clear" w:color="auto" w:fill="auto"/>
            <w:noWrap/>
            <w:vAlign w:val="bottom"/>
            <w:hideMark/>
          </w:tcPr>
          <w:p w:rsidR="00C310B8" w:rsidRPr="00F06708" w:rsidRDefault="00C310B8">
            <w:pPr>
              <w:rPr>
                <w:color w:val="000000"/>
                <w:sz w:val="16"/>
                <w:szCs w:val="16"/>
              </w:rPr>
            </w:pPr>
          </w:p>
        </w:tc>
        <w:tc>
          <w:tcPr>
            <w:tcW w:w="781" w:type="pct"/>
            <w:tcBorders>
              <w:top w:val="nil"/>
              <w:left w:val="nil"/>
              <w:bottom w:val="nil"/>
              <w:right w:val="nil"/>
            </w:tcBorders>
            <w:shd w:val="clear" w:color="auto" w:fill="auto"/>
            <w:noWrap/>
            <w:vAlign w:val="center"/>
            <w:hideMark/>
          </w:tcPr>
          <w:p w:rsidR="00C310B8" w:rsidRPr="00F06708" w:rsidRDefault="00C310B8">
            <w:pPr>
              <w:jc w:val="right"/>
              <w:rPr>
                <w:rFonts w:ascii="Arial" w:hAnsi="Arial" w:cs="Arial"/>
                <w:b/>
                <w:bCs/>
                <w:color w:val="000000"/>
                <w:sz w:val="16"/>
                <w:szCs w:val="16"/>
              </w:rPr>
            </w:pPr>
            <w:r w:rsidRPr="00F06708">
              <w:rPr>
                <w:rFonts w:ascii="Arial" w:hAnsi="Arial" w:cs="Arial"/>
                <w:b/>
                <w:bCs/>
                <w:color w:val="000000"/>
                <w:sz w:val="16"/>
                <w:szCs w:val="16"/>
              </w:rPr>
              <w:t>narastająco</w:t>
            </w:r>
          </w:p>
        </w:tc>
        <w:tc>
          <w:tcPr>
            <w:tcW w:w="860" w:type="pct"/>
            <w:tcBorders>
              <w:top w:val="nil"/>
              <w:left w:val="nil"/>
              <w:bottom w:val="nil"/>
              <w:right w:val="nil"/>
            </w:tcBorders>
            <w:shd w:val="clear" w:color="auto" w:fill="auto"/>
            <w:noWrap/>
            <w:vAlign w:val="center"/>
            <w:hideMark/>
          </w:tcPr>
          <w:p w:rsidR="00C310B8" w:rsidRPr="00F06708" w:rsidRDefault="00C310B8">
            <w:pPr>
              <w:jc w:val="right"/>
              <w:rPr>
                <w:rFonts w:ascii="Arial" w:hAnsi="Arial" w:cs="Arial"/>
                <w:b/>
                <w:bCs/>
                <w:color w:val="000000"/>
                <w:sz w:val="16"/>
                <w:szCs w:val="16"/>
              </w:rPr>
            </w:pPr>
            <w:r w:rsidRPr="00F06708">
              <w:rPr>
                <w:rFonts w:ascii="Arial" w:hAnsi="Arial" w:cs="Arial"/>
                <w:b/>
                <w:bCs/>
                <w:color w:val="000000"/>
                <w:sz w:val="16"/>
                <w:szCs w:val="16"/>
              </w:rPr>
              <w:t>narastająco</w:t>
            </w:r>
          </w:p>
        </w:tc>
        <w:tc>
          <w:tcPr>
            <w:tcW w:w="781" w:type="pct"/>
            <w:tcBorders>
              <w:top w:val="nil"/>
              <w:left w:val="nil"/>
              <w:bottom w:val="nil"/>
              <w:right w:val="nil"/>
            </w:tcBorders>
            <w:shd w:val="clear" w:color="auto" w:fill="auto"/>
            <w:noWrap/>
            <w:vAlign w:val="center"/>
            <w:hideMark/>
          </w:tcPr>
          <w:p w:rsidR="00C310B8" w:rsidRPr="00F06708" w:rsidRDefault="00C310B8">
            <w:pPr>
              <w:jc w:val="right"/>
              <w:rPr>
                <w:rFonts w:ascii="Arial" w:hAnsi="Arial" w:cs="Arial"/>
                <w:b/>
                <w:bCs/>
                <w:color w:val="000000"/>
                <w:sz w:val="16"/>
                <w:szCs w:val="16"/>
              </w:rPr>
            </w:pPr>
            <w:r w:rsidRPr="00F06708">
              <w:rPr>
                <w:rFonts w:ascii="Arial" w:hAnsi="Arial" w:cs="Arial"/>
                <w:b/>
                <w:bCs/>
                <w:color w:val="000000"/>
                <w:sz w:val="16"/>
                <w:szCs w:val="16"/>
              </w:rPr>
              <w:t>narastająco</w:t>
            </w:r>
          </w:p>
        </w:tc>
        <w:tc>
          <w:tcPr>
            <w:tcW w:w="781" w:type="pct"/>
            <w:tcBorders>
              <w:top w:val="nil"/>
              <w:left w:val="nil"/>
              <w:bottom w:val="nil"/>
              <w:right w:val="nil"/>
            </w:tcBorders>
            <w:shd w:val="clear" w:color="auto" w:fill="auto"/>
            <w:noWrap/>
            <w:vAlign w:val="center"/>
            <w:hideMark/>
          </w:tcPr>
          <w:p w:rsidR="00C310B8" w:rsidRPr="00F06708" w:rsidRDefault="00C310B8">
            <w:pPr>
              <w:jc w:val="right"/>
              <w:rPr>
                <w:rFonts w:ascii="Arial" w:hAnsi="Arial" w:cs="Arial"/>
                <w:b/>
                <w:bCs/>
                <w:color w:val="000000"/>
                <w:sz w:val="16"/>
                <w:szCs w:val="16"/>
              </w:rPr>
            </w:pPr>
            <w:r w:rsidRPr="00F06708">
              <w:rPr>
                <w:rFonts w:ascii="Arial" w:hAnsi="Arial" w:cs="Arial"/>
                <w:b/>
                <w:bCs/>
                <w:color w:val="000000"/>
                <w:sz w:val="16"/>
                <w:szCs w:val="16"/>
              </w:rPr>
              <w:t>narastająco</w:t>
            </w:r>
          </w:p>
        </w:tc>
      </w:tr>
      <w:tr w:rsidR="00C310B8" w:rsidRPr="00F06708" w:rsidTr="00C310B8">
        <w:trPr>
          <w:trHeight w:val="310"/>
        </w:trPr>
        <w:tc>
          <w:tcPr>
            <w:tcW w:w="264" w:type="pct"/>
            <w:tcBorders>
              <w:top w:val="nil"/>
              <w:left w:val="nil"/>
              <w:bottom w:val="nil"/>
              <w:right w:val="nil"/>
            </w:tcBorders>
            <w:shd w:val="clear" w:color="auto" w:fill="auto"/>
            <w:noWrap/>
            <w:vAlign w:val="bottom"/>
            <w:hideMark/>
          </w:tcPr>
          <w:p w:rsidR="00C310B8" w:rsidRPr="00F06708" w:rsidRDefault="00C310B8">
            <w:pPr>
              <w:rPr>
                <w:color w:val="000000"/>
                <w:sz w:val="16"/>
                <w:szCs w:val="16"/>
              </w:rPr>
            </w:pPr>
          </w:p>
        </w:tc>
        <w:tc>
          <w:tcPr>
            <w:tcW w:w="1532" w:type="pct"/>
            <w:tcBorders>
              <w:top w:val="nil"/>
              <w:left w:val="nil"/>
              <w:bottom w:val="nil"/>
              <w:right w:val="nil"/>
            </w:tcBorders>
            <w:shd w:val="clear" w:color="auto" w:fill="auto"/>
            <w:noWrap/>
            <w:vAlign w:val="bottom"/>
            <w:hideMark/>
          </w:tcPr>
          <w:p w:rsidR="00C310B8" w:rsidRPr="00F06708" w:rsidRDefault="00C310B8">
            <w:pPr>
              <w:rPr>
                <w:color w:val="000000"/>
                <w:sz w:val="16"/>
                <w:szCs w:val="16"/>
              </w:rPr>
            </w:pPr>
          </w:p>
        </w:tc>
        <w:tc>
          <w:tcPr>
            <w:tcW w:w="781" w:type="pct"/>
            <w:tcBorders>
              <w:top w:val="nil"/>
              <w:left w:val="nil"/>
              <w:bottom w:val="nil"/>
              <w:right w:val="nil"/>
            </w:tcBorders>
            <w:shd w:val="clear" w:color="auto" w:fill="auto"/>
            <w:noWrap/>
            <w:vAlign w:val="center"/>
            <w:hideMark/>
          </w:tcPr>
          <w:p w:rsidR="00C310B8" w:rsidRPr="00F06708" w:rsidRDefault="00C310B8">
            <w:pPr>
              <w:jc w:val="right"/>
              <w:rPr>
                <w:rFonts w:ascii="Arial" w:hAnsi="Arial" w:cs="Arial"/>
                <w:b/>
                <w:bCs/>
                <w:color w:val="000000"/>
                <w:sz w:val="16"/>
                <w:szCs w:val="16"/>
              </w:rPr>
            </w:pPr>
            <w:r w:rsidRPr="00F06708">
              <w:rPr>
                <w:rFonts w:ascii="Arial" w:hAnsi="Arial" w:cs="Arial"/>
                <w:b/>
                <w:bCs/>
                <w:color w:val="000000"/>
                <w:sz w:val="16"/>
                <w:szCs w:val="16"/>
              </w:rPr>
              <w:t>kończące się</w:t>
            </w:r>
          </w:p>
        </w:tc>
        <w:tc>
          <w:tcPr>
            <w:tcW w:w="860" w:type="pct"/>
            <w:tcBorders>
              <w:top w:val="nil"/>
              <w:left w:val="nil"/>
              <w:bottom w:val="nil"/>
              <w:right w:val="nil"/>
            </w:tcBorders>
            <w:shd w:val="clear" w:color="auto" w:fill="auto"/>
            <w:noWrap/>
            <w:vAlign w:val="center"/>
            <w:hideMark/>
          </w:tcPr>
          <w:p w:rsidR="00C310B8" w:rsidRPr="00F06708" w:rsidRDefault="00C310B8">
            <w:pPr>
              <w:jc w:val="right"/>
              <w:rPr>
                <w:rFonts w:ascii="Arial" w:hAnsi="Arial" w:cs="Arial"/>
                <w:b/>
                <w:bCs/>
                <w:color w:val="000000"/>
                <w:sz w:val="16"/>
                <w:szCs w:val="16"/>
              </w:rPr>
            </w:pPr>
            <w:r w:rsidRPr="00F06708">
              <w:rPr>
                <w:rFonts w:ascii="Arial" w:hAnsi="Arial" w:cs="Arial"/>
                <w:b/>
                <w:bCs/>
                <w:color w:val="000000"/>
                <w:sz w:val="16"/>
                <w:szCs w:val="16"/>
              </w:rPr>
              <w:t>kończące się</w:t>
            </w:r>
          </w:p>
        </w:tc>
        <w:tc>
          <w:tcPr>
            <w:tcW w:w="781" w:type="pct"/>
            <w:tcBorders>
              <w:top w:val="nil"/>
              <w:left w:val="nil"/>
              <w:bottom w:val="nil"/>
              <w:right w:val="nil"/>
            </w:tcBorders>
            <w:shd w:val="clear" w:color="auto" w:fill="auto"/>
            <w:noWrap/>
            <w:vAlign w:val="center"/>
            <w:hideMark/>
          </w:tcPr>
          <w:p w:rsidR="00C310B8" w:rsidRPr="00F06708" w:rsidRDefault="00C310B8">
            <w:pPr>
              <w:jc w:val="right"/>
              <w:rPr>
                <w:rFonts w:ascii="Arial" w:hAnsi="Arial" w:cs="Arial"/>
                <w:b/>
                <w:bCs/>
                <w:color w:val="000000"/>
                <w:sz w:val="16"/>
                <w:szCs w:val="16"/>
              </w:rPr>
            </w:pPr>
            <w:r w:rsidRPr="00F06708">
              <w:rPr>
                <w:rFonts w:ascii="Arial" w:hAnsi="Arial" w:cs="Arial"/>
                <w:b/>
                <w:bCs/>
                <w:color w:val="000000"/>
                <w:sz w:val="16"/>
                <w:szCs w:val="16"/>
              </w:rPr>
              <w:t>kończące się</w:t>
            </w:r>
          </w:p>
        </w:tc>
        <w:tc>
          <w:tcPr>
            <w:tcW w:w="781" w:type="pct"/>
            <w:tcBorders>
              <w:top w:val="nil"/>
              <w:left w:val="nil"/>
              <w:bottom w:val="nil"/>
              <w:right w:val="nil"/>
            </w:tcBorders>
            <w:shd w:val="clear" w:color="auto" w:fill="auto"/>
            <w:noWrap/>
            <w:vAlign w:val="center"/>
            <w:hideMark/>
          </w:tcPr>
          <w:p w:rsidR="00C310B8" w:rsidRPr="00F06708" w:rsidRDefault="00C310B8">
            <w:pPr>
              <w:jc w:val="right"/>
              <w:rPr>
                <w:rFonts w:ascii="Arial" w:hAnsi="Arial" w:cs="Arial"/>
                <w:b/>
                <w:bCs/>
                <w:color w:val="000000"/>
                <w:sz w:val="16"/>
                <w:szCs w:val="16"/>
              </w:rPr>
            </w:pPr>
            <w:r w:rsidRPr="00F06708">
              <w:rPr>
                <w:rFonts w:ascii="Arial" w:hAnsi="Arial" w:cs="Arial"/>
                <w:b/>
                <w:bCs/>
                <w:color w:val="000000"/>
                <w:sz w:val="16"/>
                <w:szCs w:val="16"/>
              </w:rPr>
              <w:t>kończące się</w:t>
            </w:r>
          </w:p>
        </w:tc>
      </w:tr>
      <w:tr w:rsidR="00C310B8" w:rsidRPr="00F06708" w:rsidTr="00C310B8">
        <w:trPr>
          <w:trHeight w:val="310"/>
        </w:trPr>
        <w:tc>
          <w:tcPr>
            <w:tcW w:w="264" w:type="pct"/>
            <w:tcBorders>
              <w:top w:val="nil"/>
              <w:left w:val="nil"/>
              <w:bottom w:val="nil"/>
              <w:right w:val="nil"/>
            </w:tcBorders>
            <w:shd w:val="clear" w:color="auto" w:fill="auto"/>
            <w:noWrap/>
            <w:vAlign w:val="bottom"/>
            <w:hideMark/>
          </w:tcPr>
          <w:p w:rsidR="00C310B8" w:rsidRPr="00F06708" w:rsidRDefault="00C310B8">
            <w:pPr>
              <w:rPr>
                <w:color w:val="000000"/>
                <w:sz w:val="16"/>
                <w:szCs w:val="16"/>
              </w:rPr>
            </w:pPr>
          </w:p>
        </w:tc>
        <w:tc>
          <w:tcPr>
            <w:tcW w:w="1532" w:type="pct"/>
            <w:tcBorders>
              <w:top w:val="nil"/>
              <w:left w:val="nil"/>
              <w:bottom w:val="nil"/>
              <w:right w:val="nil"/>
            </w:tcBorders>
            <w:shd w:val="clear" w:color="auto" w:fill="auto"/>
            <w:noWrap/>
            <w:vAlign w:val="bottom"/>
            <w:hideMark/>
          </w:tcPr>
          <w:p w:rsidR="00C310B8" w:rsidRPr="00F06708" w:rsidRDefault="00C310B8">
            <w:pPr>
              <w:rPr>
                <w:color w:val="000000"/>
                <w:sz w:val="16"/>
                <w:szCs w:val="16"/>
              </w:rPr>
            </w:pPr>
          </w:p>
        </w:tc>
        <w:tc>
          <w:tcPr>
            <w:tcW w:w="781" w:type="pct"/>
            <w:tcBorders>
              <w:top w:val="nil"/>
              <w:left w:val="nil"/>
              <w:bottom w:val="single" w:sz="8" w:space="0" w:color="auto"/>
              <w:right w:val="nil"/>
            </w:tcBorders>
            <w:shd w:val="clear" w:color="auto" w:fill="auto"/>
            <w:noWrap/>
            <w:vAlign w:val="center"/>
            <w:hideMark/>
          </w:tcPr>
          <w:p w:rsidR="00C310B8" w:rsidRPr="00F06708" w:rsidRDefault="00C310B8">
            <w:pPr>
              <w:jc w:val="right"/>
              <w:rPr>
                <w:rFonts w:ascii="Arial" w:hAnsi="Arial" w:cs="Arial"/>
                <w:b/>
                <w:bCs/>
                <w:color w:val="000000"/>
                <w:sz w:val="16"/>
                <w:szCs w:val="16"/>
              </w:rPr>
            </w:pPr>
            <w:r w:rsidRPr="00F06708">
              <w:rPr>
                <w:rFonts w:ascii="Arial" w:hAnsi="Arial" w:cs="Arial"/>
                <w:b/>
                <w:bCs/>
                <w:color w:val="000000"/>
                <w:sz w:val="16"/>
                <w:szCs w:val="16"/>
              </w:rPr>
              <w:t>30 września 2021</w:t>
            </w:r>
          </w:p>
        </w:tc>
        <w:tc>
          <w:tcPr>
            <w:tcW w:w="860" w:type="pct"/>
            <w:tcBorders>
              <w:top w:val="nil"/>
              <w:left w:val="nil"/>
              <w:bottom w:val="single" w:sz="8" w:space="0" w:color="auto"/>
              <w:right w:val="nil"/>
            </w:tcBorders>
            <w:shd w:val="clear" w:color="auto" w:fill="auto"/>
            <w:noWrap/>
            <w:vAlign w:val="center"/>
            <w:hideMark/>
          </w:tcPr>
          <w:p w:rsidR="00C310B8" w:rsidRPr="00F06708" w:rsidRDefault="00C310B8">
            <w:pPr>
              <w:jc w:val="right"/>
              <w:rPr>
                <w:rFonts w:ascii="Arial" w:hAnsi="Arial" w:cs="Arial"/>
                <w:b/>
                <w:bCs/>
                <w:color w:val="000000"/>
                <w:sz w:val="16"/>
                <w:szCs w:val="16"/>
              </w:rPr>
            </w:pPr>
            <w:r w:rsidRPr="00F06708">
              <w:rPr>
                <w:rFonts w:ascii="Arial" w:hAnsi="Arial" w:cs="Arial"/>
                <w:b/>
                <w:bCs/>
                <w:color w:val="000000"/>
                <w:sz w:val="16"/>
                <w:szCs w:val="16"/>
              </w:rPr>
              <w:t>30 września 2020</w:t>
            </w:r>
          </w:p>
        </w:tc>
        <w:tc>
          <w:tcPr>
            <w:tcW w:w="781" w:type="pct"/>
            <w:tcBorders>
              <w:top w:val="nil"/>
              <w:left w:val="nil"/>
              <w:bottom w:val="single" w:sz="8" w:space="0" w:color="auto"/>
              <w:right w:val="nil"/>
            </w:tcBorders>
            <w:shd w:val="clear" w:color="auto" w:fill="auto"/>
            <w:noWrap/>
            <w:vAlign w:val="center"/>
            <w:hideMark/>
          </w:tcPr>
          <w:p w:rsidR="00C310B8" w:rsidRPr="00F06708" w:rsidRDefault="00C310B8">
            <w:pPr>
              <w:jc w:val="right"/>
              <w:rPr>
                <w:rFonts w:ascii="Arial" w:hAnsi="Arial" w:cs="Arial"/>
                <w:b/>
                <w:bCs/>
                <w:color w:val="000000"/>
                <w:sz w:val="16"/>
                <w:szCs w:val="16"/>
              </w:rPr>
            </w:pPr>
            <w:r w:rsidRPr="00F06708">
              <w:rPr>
                <w:rFonts w:ascii="Arial" w:hAnsi="Arial" w:cs="Arial"/>
                <w:b/>
                <w:bCs/>
                <w:color w:val="000000"/>
                <w:sz w:val="16"/>
                <w:szCs w:val="16"/>
              </w:rPr>
              <w:t>30 września 2021</w:t>
            </w:r>
          </w:p>
        </w:tc>
        <w:tc>
          <w:tcPr>
            <w:tcW w:w="781" w:type="pct"/>
            <w:tcBorders>
              <w:top w:val="nil"/>
              <w:left w:val="nil"/>
              <w:bottom w:val="single" w:sz="8" w:space="0" w:color="auto"/>
              <w:right w:val="nil"/>
            </w:tcBorders>
            <w:shd w:val="clear" w:color="auto" w:fill="auto"/>
            <w:noWrap/>
            <w:vAlign w:val="center"/>
            <w:hideMark/>
          </w:tcPr>
          <w:p w:rsidR="00C310B8" w:rsidRPr="00F06708" w:rsidRDefault="00C310B8">
            <w:pPr>
              <w:jc w:val="right"/>
              <w:rPr>
                <w:rFonts w:ascii="Arial" w:hAnsi="Arial" w:cs="Arial"/>
                <w:b/>
                <w:bCs/>
                <w:color w:val="000000"/>
                <w:sz w:val="16"/>
                <w:szCs w:val="16"/>
              </w:rPr>
            </w:pPr>
            <w:r w:rsidRPr="00F06708">
              <w:rPr>
                <w:rFonts w:ascii="Arial" w:hAnsi="Arial" w:cs="Arial"/>
                <w:b/>
                <w:bCs/>
                <w:color w:val="000000"/>
                <w:sz w:val="16"/>
                <w:szCs w:val="16"/>
              </w:rPr>
              <w:t>30 września 2020</w:t>
            </w:r>
          </w:p>
        </w:tc>
      </w:tr>
      <w:tr w:rsidR="00C310B8" w:rsidRPr="00F06708" w:rsidTr="00C310B8">
        <w:trPr>
          <w:trHeight w:val="310"/>
        </w:trPr>
        <w:tc>
          <w:tcPr>
            <w:tcW w:w="264" w:type="pct"/>
            <w:tcBorders>
              <w:top w:val="single" w:sz="8" w:space="0" w:color="auto"/>
              <w:left w:val="nil"/>
              <w:bottom w:val="nil"/>
              <w:right w:val="nil"/>
            </w:tcBorders>
            <w:shd w:val="clear" w:color="auto" w:fill="auto"/>
            <w:noWrap/>
            <w:vAlign w:val="center"/>
            <w:hideMark/>
          </w:tcPr>
          <w:p w:rsidR="00C310B8" w:rsidRPr="00F06708" w:rsidRDefault="00C310B8">
            <w:pPr>
              <w:rPr>
                <w:rFonts w:ascii="Arial" w:hAnsi="Arial" w:cs="Arial"/>
                <w:color w:val="000000"/>
                <w:sz w:val="16"/>
                <w:szCs w:val="16"/>
              </w:rPr>
            </w:pPr>
            <w:r w:rsidRPr="00F06708">
              <w:rPr>
                <w:rFonts w:ascii="Arial" w:hAnsi="Arial" w:cs="Arial"/>
                <w:color w:val="000000"/>
                <w:sz w:val="16"/>
                <w:szCs w:val="16"/>
              </w:rPr>
              <w:t> </w:t>
            </w:r>
          </w:p>
        </w:tc>
        <w:tc>
          <w:tcPr>
            <w:tcW w:w="1532" w:type="pct"/>
            <w:tcBorders>
              <w:top w:val="single" w:sz="8" w:space="0" w:color="auto"/>
              <w:left w:val="nil"/>
              <w:bottom w:val="nil"/>
              <w:right w:val="nil"/>
            </w:tcBorders>
            <w:shd w:val="clear" w:color="auto" w:fill="auto"/>
            <w:noWrap/>
            <w:vAlign w:val="center"/>
            <w:hideMark/>
          </w:tcPr>
          <w:p w:rsidR="00C310B8" w:rsidRPr="00F06708" w:rsidRDefault="00C310B8">
            <w:pPr>
              <w:rPr>
                <w:rFonts w:ascii="Arial" w:hAnsi="Arial" w:cs="Arial"/>
                <w:color w:val="000000"/>
                <w:sz w:val="16"/>
                <w:szCs w:val="16"/>
              </w:rPr>
            </w:pPr>
            <w:r w:rsidRPr="00F06708">
              <w:rPr>
                <w:rFonts w:ascii="Arial" w:hAnsi="Arial" w:cs="Arial"/>
                <w:color w:val="000000"/>
                <w:sz w:val="16"/>
                <w:szCs w:val="16"/>
              </w:rPr>
              <w:t> </w:t>
            </w:r>
          </w:p>
        </w:tc>
        <w:tc>
          <w:tcPr>
            <w:tcW w:w="781" w:type="pct"/>
            <w:tcBorders>
              <w:top w:val="nil"/>
              <w:left w:val="nil"/>
              <w:bottom w:val="nil"/>
              <w:right w:val="nil"/>
            </w:tcBorders>
            <w:shd w:val="clear" w:color="auto" w:fill="auto"/>
            <w:noWrap/>
            <w:vAlign w:val="bottom"/>
            <w:hideMark/>
          </w:tcPr>
          <w:p w:rsidR="00C310B8" w:rsidRPr="00F06708" w:rsidRDefault="00C310B8">
            <w:pPr>
              <w:rPr>
                <w:color w:val="000000"/>
                <w:sz w:val="16"/>
                <w:szCs w:val="16"/>
              </w:rPr>
            </w:pPr>
          </w:p>
        </w:tc>
        <w:tc>
          <w:tcPr>
            <w:tcW w:w="860" w:type="pct"/>
            <w:tcBorders>
              <w:top w:val="nil"/>
              <w:left w:val="nil"/>
              <w:bottom w:val="nil"/>
              <w:right w:val="nil"/>
            </w:tcBorders>
            <w:shd w:val="clear" w:color="auto" w:fill="auto"/>
            <w:noWrap/>
            <w:vAlign w:val="bottom"/>
            <w:hideMark/>
          </w:tcPr>
          <w:p w:rsidR="00C310B8" w:rsidRPr="00F06708" w:rsidRDefault="00C310B8">
            <w:pPr>
              <w:rPr>
                <w:color w:val="000000"/>
                <w:sz w:val="16"/>
                <w:szCs w:val="16"/>
              </w:rPr>
            </w:pPr>
          </w:p>
        </w:tc>
        <w:tc>
          <w:tcPr>
            <w:tcW w:w="781" w:type="pct"/>
            <w:tcBorders>
              <w:top w:val="nil"/>
              <w:left w:val="nil"/>
              <w:bottom w:val="nil"/>
              <w:right w:val="nil"/>
            </w:tcBorders>
            <w:shd w:val="clear" w:color="auto" w:fill="auto"/>
            <w:noWrap/>
            <w:vAlign w:val="bottom"/>
            <w:hideMark/>
          </w:tcPr>
          <w:p w:rsidR="00C310B8" w:rsidRPr="00F06708" w:rsidRDefault="00C310B8">
            <w:pPr>
              <w:rPr>
                <w:color w:val="000000"/>
                <w:sz w:val="16"/>
                <w:szCs w:val="16"/>
              </w:rPr>
            </w:pPr>
          </w:p>
        </w:tc>
        <w:tc>
          <w:tcPr>
            <w:tcW w:w="781" w:type="pct"/>
            <w:tcBorders>
              <w:top w:val="nil"/>
              <w:left w:val="nil"/>
              <w:bottom w:val="nil"/>
              <w:right w:val="nil"/>
            </w:tcBorders>
            <w:shd w:val="clear" w:color="auto" w:fill="auto"/>
            <w:noWrap/>
            <w:vAlign w:val="bottom"/>
            <w:hideMark/>
          </w:tcPr>
          <w:p w:rsidR="00C310B8" w:rsidRPr="00F06708" w:rsidRDefault="00C310B8">
            <w:pPr>
              <w:rPr>
                <w:color w:val="000000"/>
                <w:sz w:val="16"/>
                <w:szCs w:val="16"/>
              </w:rPr>
            </w:pPr>
          </w:p>
        </w:tc>
      </w:tr>
      <w:tr w:rsidR="006431A7" w:rsidRPr="00F06708" w:rsidTr="00C310B8">
        <w:trPr>
          <w:trHeight w:val="310"/>
        </w:trPr>
        <w:tc>
          <w:tcPr>
            <w:tcW w:w="264" w:type="pct"/>
            <w:tcBorders>
              <w:top w:val="nil"/>
              <w:left w:val="nil"/>
              <w:bottom w:val="nil"/>
              <w:right w:val="nil"/>
            </w:tcBorders>
            <w:shd w:val="clear" w:color="auto" w:fill="auto"/>
            <w:noWrap/>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I.</w:t>
            </w:r>
          </w:p>
        </w:tc>
        <w:tc>
          <w:tcPr>
            <w:tcW w:w="1532" w:type="pct"/>
            <w:tcBorders>
              <w:top w:val="nil"/>
              <w:left w:val="nil"/>
              <w:bottom w:val="nil"/>
              <w:right w:val="nil"/>
            </w:tcBorders>
            <w:shd w:val="clear" w:color="auto" w:fill="auto"/>
            <w:noWrap/>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Przychody ze sprzedaży</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31 580</w:t>
            </w:r>
          </w:p>
        </w:tc>
        <w:tc>
          <w:tcPr>
            <w:tcW w:w="860"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19 460</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6 916</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sz w:val="16"/>
                <w:szCs w:val="16"/>
              </w:rPr>
            </w:pPr>
            <w:r w:rsidRPr="00F06708">
              <w:rPr>
                <w:rFonts w:ascii="Arial" w:hAnsi="Arial" w:cs="Arial"/>
                <w:sz w:val="16"/>
                <w:szCs w:val="16"/>
              </w:rPr>
              <w:t>4 381</w:t>
            </w:r>
          </w:p>
        </w:tc>
      </w:tr>
      <w:tr w:rsidR="006431A7" w:rsidRPr="00F06708" w:rsidTr="00C310B8">
        <w:trPr>
          <w:trHeight w:val="310"/>
        </w:trPr>
        <w:tc>
          <w:tcPr>
            <w:tcW w:w="264" w:type="pct"/>
            <w:tcBorders>
              <w:top w:val="nil"/>
              <w:left w:val="nil"/>
              <w:bottom w:val="nil"/>
              <w:right w:val="nil"/>
            </w:tcBorders>
            <w:shd w:val="clear" w:color="auto" w:fill="auto"/>
            <w:noWrap/>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II.</w:t>
            </w:r>
          </w:p>
        </w:tc>
        <w:tc>
          <w:tcPr>
            <w:tcW w:w="1532" w:type="pct"/>
            <w:tcBorders>
              <w:top w:val="nil"/>
              <w:left w:val="nil"/>
              <w:bottom w:val="nil"/>
              <w:right w:val="nil"/>
            </w:tcBorders>
            <w:shd w:val="clear" w:color="auto" w:fill="auto"/>
            <w:noWrap/>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Zysk z działalności operacyjnej</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3 956</w:t>
            </w:r>
          </w:p>
        </w:tc>
        <w:tc>
          <w:tcPr>
            <w:tcW w:w="860"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-6 016</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866</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sz w:val="16"/>
                <w:szCs w:val="16"/>
              </w:rPr>
            </w:pPr>
            <w:r w:rsidRPr="00F06708">
              <w:rPr>
                <w:rFonts w:ascii="Arial" w:hAnsi="Arial" w:cs="Arial"/>
                <w:sz w:val="16"/>
                <w:szCs w:val="16"/>
              </w:rPr>
              <w:t>-1 354</w:t>
            </w:r>
          </w:p>
        </w:tc>
      </w:tr>
      <w:tr w:rsidR="006431A7" w:rsidRPr="00F06708" w:rsidTr="00C310B8">
        <w:trPr>
          <w:trHeight w:val="310"/>
        </w:trPr>
        <w:tc>
          <w:tcPr>
            <w:tcW w:w="264" w:type="pct"/>
            <w:tcBorders>
              <w:top w:val="nil"/>
              <w:left w:val="nil"/>
              <w:bottom w:val="nil"/>
              <w:right w:val="nil"/>
            </w:tcBorders>
            <w:shd w:val="clear" w:color="auto" w:fill="auto"/>
            <w:noWrap/>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III.</w:t>
            </w:r>
          </w:p>
        </w:tc>
        <w:tc>
          <w:tcPr>
            <w:tcW w:w="1532" w:type="pct"/>
            <w:tcBorders>
              <w:top w:val="nil"/>
              <w:left w:val="nil"/>
              <w:bottom w:val="nil"/>
              <w:right w:val="nil"/>
            </w:tcBorders>
            <w:shd w:val="clear" w:color="auto" w:fill="auto"/>
            <w:noWrap/>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Zysk przed opodatkowaniem</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3 340</w:t>
            </w:r>
          </w:p>
        </w:tc>
        <w:tc>
          <w:tcPr>
            <w:tcW w:w="860"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-225</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732</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sz w:val="16"/>
                <w:szCs w:val="16"/>
              </w:rPr>
            </w:pPr>
            <w:r w:rsidRPr="00F06708">
              <w:rPr>
                <w:rFonts w:ascii="Arial" w:hAnsi="Arial" w:cs="Arial"/>
                <w:sz w:val="16"/>
                <w:szCs w:val="16"/>
              </w:rPr>
              <w:t>-51</w:t>
            </w:r>
          </w:p>
        </w:tc>
      </w:tr>
      <w:tr w:rsidR="006431A7" w:rsidRPr="00F06708" w:rsidTr="00C310B8">
        <w:trPr>
          <w:trHeight w:val="310"/>
        </w:trPr>
        <w:tc>
          <w:tcPr>
            <w:tcW w:w="264" w:type="pct"/>
            <w:tcBorders>
              <w:top w:val="nil"/>
              <w:left w:val="nil"/>
              <w:bottom w:val="nil"/>
              <w:right w:val="nil"/>
            </w:tcBorders>
            <w:shd w:val="clear" w:color="auto" w:fill="auto"/>
            <w:noWrap/>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IV.</w:t>
            </w:r>
          </w:p>
        </w:tc>
        <w:tc>
          <w:tcPr>
            <w:tcW w:w="1532" w:type="pct"/>
            <w:tcBorders>
              <w:top w:val="nil"/>
              <w:left w:val="nil"/>
              <w:bottom w:val="nil"/>
              <w:right w:val="nil"/>
            </w:tcBorders>
            <w:shd w:val="clear" w:color="auto" w:fill="auto"/>
            <w:noWrap/>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Zysk netto</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3 332</w:t>
            </w:r>
          </w:p>
        </w:tc>
        <w:tc>
          <w:tcPr>
            <w:tcW w:w="860"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-6 820</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730</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sz w:val="16"/>
                <w:szCs w:val="16"/>
              </w:rPr>
            </w:pPr>
            <w:r w:rsidRPr="00F06708">
              <w:rPr>
                <w:rFonts w:ascii="Arial" w:hAnsi="Arial" w:cs="Arial"/>
                <w:sz w:val="16"/>
                <w:szCs w:val="16"/>
              </w:rPr>
              <w:t>-1 535</w:t>
            </w:r>
          </w:p>
        </w:tc>
      </w:tr>
      <w:tr w:rsidR="006431A7" w:rsidRPr="00F06708" w:rsidTr="00C310B8">
        <w:trPr>
          <w:trHeight w:val="310"/>
        </w:trPr>
        <w:tc>
          <w:tcPr>
            <w:tcW w:w="264" w:type="pct"/>
            <w:tcBorders>
              <w:top w:val="nil"/>
              <w:left w:val="nil"/>
              <w:bottom w:val="nil"/>
              <w:right w:val="nil"/>
            </w:tcBorders>
            <w:shd w:val="clear" w:color="auto" w:fill="auto"/>
            <w:noWrap/>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V.</w:t>
            </w:r>
          </w:p>
        </w:tc>
        <w:tc>
          <w:tcPr>
            <w:tcW w:w="1532" w:type="pct"/>
            <w:tcBorders>
              <w:top w:val="nil"/>
              <w:left w:val="nil"/>
              <w:bottom w:val="nil"/>
              <w:right w:val="nil"/>
            </w:tcBorders>
            <w:shd w:val="clear" w:color="auto" w:fill="auto"/>
            <w:noWrap/>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Łączne dochody całkowite</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3 332</w:t>
            </w:r>
          </w:p>
        </w:tc>
        <w:tc>
          <w:tcPr>
            <w:tcW w:w="860"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-6 820</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730</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sz w:val="16"/>
                <w:szCs w:val="16"/>
              </w:rPr>
            </w:pPr>
            <w:r w:rsidRPr="00F06708">
              <w:rPr>
                <w:rFonts w:ascii="Arial" w:hAnsi="Arial" w:cs="Arial"/>
                <w:sz w:val="16"/>
                <w:szCs w:val="16"/>
              </w:rPr>
              <w:t>-1 535</w:t>
            </w:r>
          </w:p>
        </w:tc>
      </w:tr>
      <w:tr w:rsidR="006431A7" w:rsidRPr="00F06708" w:rsidTr="00C310B8">
        <w:trPr>
          <w:trHeight w:val="310"/>
        </w:trPr>
        <w:tc>
          <w:tcPr>
            <w:tcW w:w="264" w:type="pct"/>
            <w:tcBorders>
              <w:top w:val="nil"/>
              <w:left w:val="nil"/>
              <w:bottom w:val="nil"/>
              <w:right w:val="nil"/>
            </w:tcBorders>
            <w:shd w:val="clear" w:color="auto" w:fill="auto"/>
            <w:noWrap/>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VI.</w:t>
            </w:r>
          </w:p>
        </w:tc>
        <w:tc>
          <w:tcPr>
            <w:tcW w:w="1532" w:type="pct"/>
            <w:tcBorders>
              <w:top w:val="nil"/>
              <w:left w:val="nil"/>
              <w:bottom w:val="nil"/>
              <w:right w:val="nil"/>
            </w:tcBorders>
            <w:shd w:val="clear" w:color="auto" w:fill="auto"/>
            <w:noWrap/>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Ilość akcji (w szt.)</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14 564 200</w:t>
            </w:r>
          </w:p>
        </w:tc>
        <w:tc>
          <w:tcPr>
            <w:tcW w:w="860"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14 564 200</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14 564 200</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sz w:val="16"/>
                <w:szCs w:val="16"/>
              </w:rPr>
            </w:pPr>
            <w:r w:rsidRPr="00F06708">
              <w:rPr>
                <w:rFonts w:ascii="Arial" w:hAnsi="Arial" w:cs="Arial"/>
                <w:sz w:val="16"/>
                <w:szCs w:val="16"/>
              </w:rPr>
              <w:t>14 564 200</w:t>
            </w:r>
          </w:p>
        </w:tc>
      </w:tr>
      <w:tr w:rsidR="006431A7" w:rsidRPr="00F06708" w:rsidTr="00C310B8">
        <w:trPr>
          <w:trHeight w:val="310"/>
        </w:trPr>
        <w:tc>
          <w:tcPr>
            <w:tcW w:w="264" w:type="pct"/>
            <w:tcBorders>
              <w:top w:val="nil"/>
              <w:left w:val="nil"/>
              <w:bottom w:val="nil"/>
              <w:right w:val="nil"/>
            </w:tcBorders>
            <w:shd w:val="clear" w:color="auto" w:fill="auto"/>
            <w:noWrap/>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VII.</w:t>
            </w:r>
          </w:p>
        </w:tc>
        <w:tc>
          <w:tcPr>
            <w:tcW w:w="1532" w:type="pct"/>
            <w:tcBorders>
              <w:top w:val="nil"/>
              <w:left w:val="nil"/>
              <w:bottom w:val="nil"/>
              <w:right w:val="nil"/>
            </w:tcBorders>
            <w:shd w:val="clear" w:color="auto" w:fill="auto"/>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Zysk netto na jedną akcję zwykłą (w zł/EUR)</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0,23</w:t>
            </w:r>
          </w:p>
        </w:tc>
        <w:tc>
          <w:tcPr>
            <w:tcW w:w="860"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-0,47</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0,05</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sz w:val="16"/>
                <w:szCs w:val="16"/>
              </w:rPr>
            </w:pPr>
            <w:r w:rsidRPr="00F06708">
              <w:rPr>
                <w:rFonts w:ascii="Arial" w:hAnsi="Arial" w:cs="Arial"/>
                <w:sz w:val="16"/>
                <w:szCs w:val="16"/>
              </w:rPr>
              <w:t>-0,11</w:t>
            </w:r>
          </w:p>
        </w:tc>
      </w:tr>
      <w:tr w:rsidR="006431A7" w:rsidRPr="00F06708" w:rsidTr="00C310B8">
        <w:trPr>
          <w:trHeight w:val="310"/>
        </w:trPr>
        <w:tc>
          <w:tcPr>
            <w:tcW w:w="264" w:type="pct"/>
            <w:tcBorders>
              <w:top w:val="nil"/>
              <w:left w:val="nil"/>
              <w:bottom w:val="nil"/>
              <w:right w:val="nil"/>
            </w:tcBorders>
            <w:shd w:val="clear" w:color="auto" w:fill="auto"/>
            <w:noWrap/>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VIII.</w:t>
            </w:r>
          </w:p>
        </w:tc>
        <w:tc>
          <w:tcPr>
            <w:tcW w:w="1532" w:type="pct"/>
            <w:tcBorders>
              <w:top w:val="nil"/>
              <w:left w:val="nil"/>
              <w:bottom w:val="nil"/>
              <w:right w:val="nil"/>
            </w:tcBorders>
            <w:shd w:val="clear" w:color="auto" w:fill="auto"/>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Przepływy pieniężne netto z działalności operacyjnej</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7 877</w:t>
            </w:r>
          </w:p>
        </w:tc>
        <w:tc>
          <w:tcPr>
            <w:tcW w:w="860"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-1 148</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1 725</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-259</w:t>
            </w:r>
          </w:p>
        </w:tc>
      </w:tr>
      <w:tr w:rsidR="006431A7" w:rsidRPr="00F06708" w:rsidTr="00C310B8">
        <w:trPr>
          <w:trHeight w:val="310"/>
        </w:trPr>
        <w:tc>
          <w:tcPr>
            <w:tcW w:w="264" w:type="pct"/>
            <w:tcBorders>
              <w:top w:val="nil"/>
              <w:left w:val="nil"/>
              <w:bottom w:val="nil"/>
              <w:right w:val="nil"/>
            </w:tcBorders>
            <w:shd w:val="clear" w:color="auto" w:fill="auto"/>
            <w:noWrap/>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IX.</w:t>
            </w:r>
          </w:p>
        </w:tc>
        <w:tc>
          <w:tcPr>
            <w:tcW w:w="1532" w:type="pct"/>
            <w:tcBorders>
              <w:top w:val="nil"/>
              <w:left w:val="nil"/>
              <w:bottom w:val="nil"/>
              <w:right w:val="nil"/>
            </w:tcBorders>
            <w:shd w:val="clear" w:color="auto" w:fill="auto"/>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Przepływy pieniężne netto z działalności inwestycyjnej</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-13 742</w:t>
            </w:r>
          </w:p>
        </w:tc>
        <w:tc>
          <w:tcPr>
            <w:tcW w:w="860"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-31 570</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-3 009</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-7 107</w:t>
            </w:r>
          </w:p>
        </w:tc>
      </w:tr>
      <w:tr w:rsidR="006431A7" w:rsidRPr="00F06708" w:rsidTr="00C310B8">
        <w:trPr>
          <w:trHeight w:val="310"/>
        </w:trPr>
        <w:tc>
          <w:tcPr>
            <w:tcW w:w="264" w:type="pct"/>
            <w:tcBorders>
              <w:top w:val="nil"/>
              <w:left w:val="nil"/>
              <w:bottom w:val="nil"/>
              <w:right w:val="nil"/>
            </w:tcBorders>
            <w:shd w:val="clear" w:color="auto" w:fill="auto"/>
            <w:noWrap/>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X.</w:t>
            </w:r>
          </w:p>
        </w:tc>
        <w:tc>
          <w:tcPr>
            <w:tcW w:w="1532" w:type="pct"/>
            <w:tcBorders>
              <w:top w:val="nil"/>
              <w:left w:val="nil"/>
              <w:bottom w:val="nil"/>
              <w:right w:val="nil"/>
            </w:tcBorders>
            <w:shd w:val="clear" w:color="auto" w:fill="auto"/>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Przepływy pieniężne netto z działalności finansowej</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14 199</w:t>
            </w:r>
          </w:p>
        </w:tc>
        <w:tc>
          <w:tcPr>
            <w:tcW w:w="860"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10 963</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3 109</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2 468</w:t>
            </w:r>
          </w:p>
        </w:tc>
      </w:tr>
      <w:tr w:rsidR="006431A7" w:rsidRPr="00F06708" w:rsidTr="00C310B8">
        <w:trPr>
          <w:trHeight w:val="310"/>
        </w:trPr>
        <w:tc>
          <w:tcPr>
            <w:tcW w:w="264" w:type="pct"/>
            <w:tcBorders>
              <w:top w:val="nil"/>
              <w:left w:val="nil"/>
              <w:bottom w:val="nil"/>
              <w:right w:val="nil"/>
            </w:tcBorders>
            <w:shd w:val="clear" w:color="auto" w:fill="auto"/>
            <w:noWrap/>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XI.</w:t>
            </w:r>
          </w:p>
        </w:tc>
        <w:tc>
          <w:tcPr>
            <w:tcW w:w="1532" w:type="pct"/>
            <w:tcBorders>
              <w:top w:val="nil"/>
              <w:left w:val="nil"/>
              <w:bottom w:val="nil"/>
              <w:right w:val="nil"/>
            </w:tcBorders>
            <w:shd w:val="clear" w:color="auto" w:fill="auto"/>
            <w:noWrap/>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Przepływy pieniężne netto razem</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8 334</w:t>
            </w:r>
          </w:p>
        </w:tc>
        <w:tc>
          <w:tcPr>
            <w:tcW w:w="860"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-21 755</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1 825</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-4 898</w:t>
            </w:r>
          </w:p>
        </w:tc>
      </w:tr>
      <w:tr w:rsidR="006431A7" w:rsidRPr="00F06708" w:rsidTr="00C310B8">
        <w:trPr>
          <w:trHeight w:val="310"/>
        </w:trPr>
        <w:tc>
          <w:tcPr>
            <w:tcW w:w="264" w:type="pct"/>
            <w:tcBorders>
              <w:top w:val="nil"/>
              <w:left w:val="nil"/>
              <w:bottom w:val="nil"/>
              <w:right w:val="nil"/>
            </w:tcBorders>
            <w:shd w:val="clear" w:color="auto" w:fill="auto"/>
            <w:noWrap/>
            <w:vAlign w:val="center"/>
            <w:hideMark/>
          </w:tcPr>
          <w:p w:rsidR="006431A7" w:rsidRPr="00F06708" w:rsidRDefault="006431A7">
            <w:pPr>
              <w:rPr>
                <w:color w:val="000000"/>
                <w:sz w:val="16"/>
                <w:szCs w:val="16"/>
              </w:rPr>
            </w:pPr>
          </w:p>
        </w:tc>
        <w:tc>
          <w:tcPr>
            <w:tcW w:w="1532" w:type="pct"/>
            <w:tcBorders>
              <w:top w:val="nil"/>
              <w:left w:val="nil"/>
              <w:bottom w:val="nil"/>
              <w:right w:val="nil"/>
            </w:tcBorders>
            <w:shd w:val="clear" w:color="auto" w:fill="auto"/>
            <w:noWrap/>
            <w:vAlign w:val="center"/>
            <w:hideMark/>
          </w:tcPr>
          <w:p w:rsidR="006431A7" w:rsidRPr="00F06708" w:rsidRDefault="006431A7">
            <w:pPr>
              <w:rPr>
                <w:color w:val="000000"/>
                <w:sz w:val="16"/>
                <w:szCs w:val="16"/>
              </w:rPr>
            </w:pPr>
          </w:p>
        </w:tc>
        <w:tc>
          <w:tcPr>
            <w:tcW w:w="781" w:type="pct"/>
            <w:tcBorders>
              <w:top w:val="nil"/>
              <w:left w:val="nil"/>
              <w:bottom w:val="nil"/>
              <w:right w:val="nil"/>
            </w:tcBorders>
            <w:shd w:val="clear" w:color="auto" w:fill="auto"/>
            <w:noWrap/>
            <w:vAlign w:val="bottom"/>
            <w:hideMark/>
          </w:tcPr>
          <w:p w:rsidR="006431A7" w:rsidRPr="00F06708" w:rsidRDefault="006431A7">
            <w:pPr>
              <w:rPr>
                <w:color w:val="000000"/>
                <w:sz w:val="16"/>
                <w:szCs w:val="16"/>
              </w:rPr>
            </w:pPr>
          </w:p>
        </w:tc>
        <w:tc>
          <w:tcPr>
            <w:tcW w:w="860" w:type="pct"/>
            <w:tcBorders>
              <w:top w:val="nil"/>
              <w:left w:val="nil"/>
              <w:bottom w:val="nil"/>
              <w:right w:val="nil"/>
            </w:tcBorders>
            <w:shd w:val="clear" w:color="auto" w:fill="auto"/>
            <w:noWrap/>
            <w:vAlign w:val="bottom"/>
            <w:hideMark/>
          </w:tcPr>
          <w:p w:rsidR="006431A7" w:rsidRPr="00F06708" w:rsidRDefault="006431A7">
            <w:pPr>
              <w:rPr>
                <w:color w:val="000000"/>
                <w:sz w:val="16"/>
                <w:szCs w:val="16"/>
              </w:rPr>
            </w:pP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p>
        </w:tc>
        <w:tc>
          <w:tcPr>
            <w:tcW w:w="781" w:type="pct"/>
            <w:tcBorders>
              <w:top w:val="nil"/>
              <w:left w:val="nil"/>
              <w:bottom w:val="nil"/>
              <w:right w:val="nil"/>
            </w:tcBorders>
            <w:shd w:val="clear" w:color="auto" w:fill="auto"/>
            <w:noWrap/>
            <w:vAlign w:val="bottom"/>
            <w:hideMark/>
          </w:tcPr>
          <w:p w:rsidR="006431A7" w:rsidRPr="00F06708" w:rsidRDefault="006431A7">
            <w:pPr>
              <w:rPr>
                <w:color w:val="000000"/>
                <w:sz w:val="16"/>
                <w:szCs w:val="16"/>
              </w:rPr>
            </w:pPr>
          </w:p>
        </w:tc>
      </w:tr>
      <w:tr w:rsidR="006431A7" w:rsidRPr="00F06708" w:rsidTr="00C310B8">
        <w:trPr>
          <w:trHeight w:val="310"/>
        </w:trPr>
        <w:tc>
          <w:tcPr>
            <w:tcW w:w="264" w:type="pct"/>
            <w:tcBorders>
              <w:top w:val="nil"/>
              <w:left w:val="nil"/>
              <w:bottom w:val="nil"/>
              <w:right w:val="nil"/>
            </w:tcBorders>
            <w:shd w:val="clear" w:color="auto" w:fill="auto"/>
            <w:noWrap/>
            <w:vAlign w:val="center"/>
            <w:hideMark/>
          </w:tcPr>
          <w:p w:rsidR="006431A7" w:rsidRPr="00F06708" w:rsidRDefault="006431A7">
            <w:pPr>
              <w:rPr>
                <w:color w:val="000000"/>
                <w:sz w:val="16"/>
                <w:szCs w:val="16"/>
              </w:rPr>
            </w:pPr>
          </w:p>
        </w:tc>
        <w:tc>
          <w:tcPr>
            <w:tcW w:w="1532" w:type="pct"/>
            <w:tcBorders>
              <w:top w:val="nil"/>
              <w:left w:val="nil"/>
              <w:bottom w:val="nil"/>
              <w:right w:val="nil"/>
            </w:tcBorders>
            <w:shd w:val="clear" w:color="auto" w:fill="auto"/>
            <w:noWrap/>
            <w:vAlign w:val="center"/>
            <w:hideMark/>
          </w:tcPr>
          <w:p w:rsidR="006431A7" w:rsidRPr="00F06708" w:rsidRDefault="006431A7">
            <w:pPr>
              <w:rPr>
                <w:color w:val="000000"/>
                <w:sz w:val="16"/>
                <w:szCs w:val="16"/>
              </w:rPr>
            </w:pP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b/>
                <w:bCs/>
                <w:color w:val="000000"/>
                <w:sz w:val="16"/>
                <w:szCs w:val="16"/>
              </w:rPr>
            </w:pPr>
            <w:r w:rsidRPr="00F06708">
              <w:rPr>
                <w:rFonts w:ascii="Arial" w:hAnsi="Arial" w:cs="Arial"/>
                <w:b/>
                <w:bCs/>
                <w:color w:val="000000"/>
                <w:sz w:val="16"/>
                <w:szCs w:val="16"/>
              </w:rPr>
              <w:t>Stan na</w:t>
            </w:r>
          </w:p>
        </w:tc>
        <w:tc>
          <w:tcPr>
            <w:tcW w:w="860"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b/>
                <w:bCs/>
                <w:color w:val="000000"/>
                <w:sz w:val="16"/>
                <w:szCs w:val="16"/>
              </w:rPr>
            </w:pPr>
            <w:r w:rsidRPr="00F06708">
              <w:rPr>
                <w:rFonts w:ascii="Arial" w:hAnsi="Arial" w:cs="Arial"/>
                <w:b/>
                <w:bCs/>
                <w:color w:val="000000"/>
                <w:sz w:val="16"/>
                <w:szCs w:val="16"/>
              </w:rPr>
              <w:t>Stan na</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b/>
                <w:bCs/>
                <w:color w:val="000000"/>
                <w:sz w:val="16"/>
                <w:szCs w:val="16"/>
              </w:rPr>
            </w:pPr>
            <w:r w:rsidRPr="00F06708">
              <w:rPr>
                <w:rFonts w:ascii="Arial" w:hAnsi="Arial" w:cs="Arial"/>
                <w:b/>
                <w:bCs/>
                <w:color w:val="000000"/>
                <w:sz w:val="16"/>
                <w:szCs w:val="16"/>
              </w:rPr>
              <w:t>Stan na</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b/>
                <w:bCs/>
                <w:color w:val="000000"/>
                <w:sz w:val="16"/>
                <w:szCs w:val="16"/>
              </w:rPr>
            </w:pPr>
            <w:r w:rsidRPr="00F06708">
              <w:rPr>
                <w:rFonts w:ascii="Arial" w:hAnsi="Arial" w:cs="Arial"/>
                <w:b/>
                <w:bCs/>
                <w:color w:val="000000"/>
                <w:sz w:val="16"/>
                <w:szCs w:val="16"/>
              </w:rPr>
              <w:t>Stan na</w:t>
            </w:r>
          </w:p>
        </w:tc>
      </w:tr>
      <w:tr w:rsidR="006431A7" w:rsidRPr="00F06708" w:rsidTr="00C310B8">
        <w:trPr>
          <w:trHeight w:val="310"/>
        </w:trPr>
        <w:tc>
          <w:tcPr>
            <w:tcW w:w="264" w:type="pct"/>
            <w:tcBorders>
              <w:top w:val="nil"/>
              <w:left w:val="nil"/>
              <w:bottom w:val="nil"/>
              <w:right w:val="nil"/>
            </w:tcBorders>
            <w:shd w:val="clear" w:color="auto" w:fill="auto"/>
            <w:noWrap/>
            <w:vAlign w:val="center"/>
            <w:hideMark/>
          </w:tcPr>
          <w:p w:rsidR="006431A7" w:rsidRPr="00F06708" w:rsidRDefault="006431A7">
            <w:pPr>
              <w:rPr>
                <w:rFonts w:ascii="Arial" w:hAnsi="Arial" w:cs="Arial"/>
                <w:color w:val="000000"/>
                <w:sz w:val="16"/>
                <w:szCs w:val="16"/>
              </w:rPr>
            </w:pPr>
          </w:p>
        </w:tc>
        <w:tc>
          <w:tcPr>
            <w:tcW w:w="1532" w:type="pct"/>
            <w:tcBorders>
              <w:top w:val="nil"/>
              <w:left w:val="nil"/>
              <w:bottom w:val="nil"/>
              <w:right w:val="nil"/>
            </w:tcBorders>
            <w:shd w:val="clear" w:color="auto" w:fill="auto"/>
            <w:noWrap/>
            <w:vAlign w:val="center"/>
            <w:hideMark/>
          </w:tcPr>
          <w:p w:rsidR="006431A7" w:rsidRPr="00F06708" w:rsidRDefault="006431A7">
            <w:pPr>
              <w:rPr>
                <w:rFonts w:ascii="Arial" w:hAnsi="Arial" w:cs="Arial"/>
                <w:color w:val="000000"/>
                <w:sz w:val="16"/>
                <w:szCs w:val="16"/>
              </w:rPr>
            </w:pP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b/>
                <w:bCs/>
                <w:color w:val="000000"/>
                <w:sz w:val="16"/>
                <w:szCs w:val="16"/>
              </w:rPr>
            </w:pPr>
            <w:r w:rsidRPr="00F06708">
              <w:rPr>
                <w:rFonts w:ascii="Arial" w:hAnsi="Arial" w:cs="Arial"/>
                <w:b/>
                <w:bCs/>
                <w:color w:val="000000"/>
                <w:sz w:val="16"/>
                <w:szCs w:val="16"/>
              </w:rPr>
              <w:t>30.09.2021</w:t>
            </w:r>
          </w:p>
        </w:tc>
        <w:tc>
          <w:tcPr>
            <w:tcW w:w="860"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b/>
                <w:bCs/>
                <w:color w:val="000000"/>
                <w:sz w:val="16"/>
                <w:szCs w:val="16"/>
              </w:rPr>
            </w:pPr>
            <w:r w:rsidRPr="00F06708">
              <w:rPr>
                <w:rFonts w:ascii="Arial" w:hAnsi="Arial" w:cs="Arial"/>
                <w:b/>
                <w:bCs/>
                <w:color w:val="000000"/>
                <w:sz w:val="16"/>
                <w:szCs w:val="16"/>
              </w:rPr>
              <w:t>31.12.2020</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b/>
                <w:bCs/>
                <w:color w:val="000000"/>
                <w:sz w:val="16"/>
                <w:szCs w:val="16"/>
              </w:rPr>
            </w:pPr>
            <w:r w:rsidRPr="00F06708">
              <w:rPr>
                <w:rFonts w:ascii="Arial" w:hAnsi="Arial" w:cs="Arial"/>
                <w:b/>
                <w:bCs/>
                <w:color w:val="000000"/>
                <w:sz w:val="16"/>
                <w:szCs w:val="16"/>
              </w:rPr>
              <w:t>30.09.2021</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b/>
                <w:bCs/>
                <w:color w:val="000000"/>
                <w:sz w:val="16"/>
                <w:szCs w:val="16"/>
              </w:rPr>
            </w:pPr>
            <w:r w:rsidRPr="00F06708">
              <w:rPr>
                <w:rFonts w:ascii="Arial" w:hAnsi="Arial" w:cs="Arial"/>
                <w:b/>
                <w:bCs/>
                <w:color w:val="000000"/>
                <w:sz w:val="16"/>
                <w:szCs w:val="16"/>
              </w:rPr>
              <w:t>31.12.2020</w:t>
            </w:r>
          </w:p>
        </w:tc>
      </w:tr>
      <w:tr w:rsidR="006431A7" w:rsidRPr="00F06708" w:rsidTr="00C310B8">
        <w:trPr>
          <w:trHeight w:val="310"/>
        </w:trPr>
        <w:tc>
          <w:tcPr>
            <w:tcW w:w="264" w:type="pct"/>
            <w:tcBorders>
              <w:top w:val="nil"/>
              <w:left w:val="nil"/>
              <w:bottom w:val="nil"/>
              <w:right w:val="nil"/>
            </w:tcBorders>
            <w:shd w:val="clear" w:color="auto" w:fill="auto"/>
            <w:noWrap/>
            <w:vAlign w:val="center"/>
            <w:hideMark/>
          </w:tcPr>
          <w:p w:rsidR="006431A7" w:rsidRPr="00F06708" w:rsidRDefault="006431A7">
            <w:pPr>
              <w:rPr>
                <w:color w:val="000000"/>
                <w:sz w:val="16"/>
                <w:szCs w:val="16"/>
              </w:rPr>
            </w:pPr>
          </w:p>
        </w:tc>
        <w:tc>
          <w:tcPr>
            <w:tcW w:w="1532" w:type="pct"/>
            <w:tcBorders>
              <w:top w:val="nil"/>
              <w:left w:val="nil"/>
              <w:bottom w:val="nil"/>
              <w:right w:val="nil"/>
            </w:tcBorders>
            <w:shd w:val="clear" w:color="auto" w:fill="auto"/>
            <w:noWrap/>
            <w:vAlign w:val="center"/>
            <w:hideMark/>
          </w:tcPr>
          <w:p w:rsidR="006431A7" w:rsidRPr="00F06708" w:rsidRDefault="006431A7">
            <w:pPr>
              <w:rPr>
                <w:color w:val="000000"/>
                <w:sz w:val="16"/>
                <w:szCs w:val="16"/>
              </w:rPr>
            </w:pPr>
          </w:p>
        </w:tc>
        <w:tc>
          <w:tcPr>
            <w:tcW w:w="781" w:type="pct"/>
            <w:tcBorders>
              <w:top w:val="nil"/>
              <w:left w:val="nil"/>
              <w:bottom w:val="single" w:sz="8" w:space="0" w:color="auto"/>
              <w:right w:val="nil"/>
            </w:tcBorders>
            <w:shd w:val="clear" w:color="auto" w:fill="auto"/>
            <w:noWrap/>
            <w:vAlign w:val="center"/>
            <w:hideMark/>
          </w:tcPr>
          <w:p w:rsidR="006431A7" w:rsidRPr="00F06708" w:rsidRDefault="006431A7">
            <w:pPr>
              <w:jc w:val="right"/>
              <w:rPr>
                <w:rFonts w:ascii="Arial" w:hAnsi="Arial" w:cs="Arial"/>
                <w:b/>
                <w:bCs/>
                <w:color w:val="000000"/>
                <w:sz w:val="16"/>
                <w:szCs w:val="16"/>
              </w:rPr>
            </w:pPr>
            <w:r w:rsidRPr="00F06708">
              <w:rPr>
                <w:rFonts w:ascii="Arial" w:hAnsi="Arial" w:cs="Arial"/>
                <w:b/>
                <w:bCs/>
                <w:color w:val="000000"/>
                <w:sz w:val="16"/>
                <w:szCs w:val="16"/>
              </w:rPr>
              <w:t>(niebadane)</w:t>
            </w:r>
          </w:p>
        </w:tc>
        <w:tc>
          <w:tcPr>
            <w:tcW w:w="860" w:type="pct"/>
            <w:tcBorders>
              <w:top w:val="nil"/>
              <w:left w:val="nil"/>
              <w:bottom w:val="single" w:sz="8" w:space="0" w:color="auto"/>
              <w:right w:val="nil"/>
            </w:tcBorders>
            <w:shd w:val="clear" w:color="auto" w:fill="auto"/>
            <w:noWrap/>
            <w:vAlign w:val="center"/>
            <w:hideMark/>
          </w:tcPr>
          <w:p w:rsidR="006431A7" w:rsidRPr="00F06708" w:rsidRDefault="006431A7">
            <w:pPr>
              <w:jc w:val="right"/>
              <w:rPr>
                <w:rFonts w:ascii="Arial" w:hAnsi="Arial" w:cs="Arial"/>
                <w:b/>
                <w:bCs/>
                <w:color w:val="000000"/>
                <w:sz w:val="16"/>
                <w:szCs w:val="16"/>
              </w:rPr>
            </w:pPr>
            <w:r w:rsidRPr="00F06708">
              <w:rPr>
                <w:rFonts w:ascii="Arial" w:hAnsi="Arial" w:cs="Arial"/>
                <w:b/>
                <w:bCs/>
                <w:color w:val="000000"/>
                <w:sz w:val="16"/>
                <w:szCs w:val="16"/>
              </w:rPr>
              <w:t> </w:t>
            </w:r>
          </w:p>
        </w:tc>
        <w:tc>
          <w:tcPr>
            <w:tcW w:w="781" w:type="pct"/>
            <w:tcBorders>
              <w:top w:val="nil"/>
              <w:left w:val="nil"/>
              <w:bottom w:val="single" w:sz="8" w:space="0" w:color="auto"/>
              <w:right w:val="nil"/>
            </w:tcBorders>
            <w:shd w:val="clear" w:color="auto" w:fill="auto"/>
            <w:noWrap/>
            <w:vAlign w:val="center"/>
            <w:hideMark/>
          </w:tcPr>
          <w:p w:rsidR="006431A7" w:rsidRPr="00F06708" w:rsidRDefault="006431A7">
            <w:pPr>
              <w:jc w:val="right"/>
              <w:rPr>
                <w:rFonts w:ascii="Arial" w:hAnsi="Arial" w:cs="Arial"/>
                <w:b/>
                <w:bCs/>
                <w:color w:val="000000"/>
                <w:sz w:val="16"/>
                <w:szCs w:val="16"/>
              </w:rPr>
            </w:pPr>
            <w:r w:rsidRPr="00F06708">
              <w:rPr>
                <w:rFonts w:ascii="Arial" w:hAnsi="Arial" w:cs="Arial"/>
                <w:b/>
                <w:bCs/>
                <w:color w:val="000000"/>
                <w:sz w:val="16"/>
                <w:szCs w:val="16"/>
              </w:rPr>
              <w:t>(niebadane)</w:t>
            </w:r>
          </w:p>
        </w:tc>
        <w:tc>
          <w:tcPr>
            <w:tcW w:w="781" w:type="pct"/>
            <w:tcBorders>
              <w:top w:val="nil"/>
              <w:left w:val="nil"/>
              <w:bottom w:val="single" w:sz="8" w:space="0" w:color="auto"/>
              <w:right w:val="nil"/>
            </w:tcBorders>
            <w:shd w:val="clear" w:color="auto" w:fill="auto"/>
            <w:noWrap/>
            <w:vAlign w:val="center"/>
            <w:hideMark/>
          </w:tcPr>
          <w:p w:rsidR="006431A7" w:rsidRPr="00F06708" w:rsidRDefault="006431A7">
            <w:pPr>
              <w:jc w:val="right"/>
              <w:rPr>
                <w:rFonts w:ascii="Arial" w:hAnsi="Arial" w:cs="Arial"/>
                <w:b/>
                <w:bCs/>
                <w:color w:val="000000"/>
                <w:sz w:val="16"/>
                <w:szCs w:val="16"/>
              </w:rPr>
            </w:pPr>
            <w:r w:rsidRPr="00F06708">
              <w:rPr>
                <w:rFonts w:ascii="Arial" w:hAnsi="Arial" w:cs="Arial"/>
                <w:b/>
                <w:bCs/>
                <w:color w:val="000000"/>
                <w:sz w:val="16"/>
                <w:szCs w:val="16"/>
              </w:rPr>
              <w:t> </w:t>
            </w:r>
          </w:p>
        </w:tc>
      </w:tr>
      <w:tr w:rsidR="006431A7" w:rsidRPr="00F06708" w:rsidTr="00C310B8">
        <w:trPr>
          <w:trHeight w:val="310"/>
        </w:trPr>
        <w:tc>
          <w:tcPr>
            <w:tcW w:w="264" w:type="pct"/>
            <w:tcBorders>
              <w:top w:val="single" w:sz="8" w:space="0" w:color="auto"/>
              <w:left w:val="nil"/>
              <w:bottom w:val="nil"/>
              <w:right w:val="nil"/>
            </w:tcBorders>
            <w:shd w:val="clear" w:color="auto" w:fill="auto"/>
            <w:noWrap/>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XII.</w:t>
            </w:r>
          </w:p>
        </w:tc>
        <w:tc>
          <w:tcPr>
            <w:tcW w:w="1532" w:type="pct"/>
            <w:tcBorders>
              <w:top w:val="single" w:sz="8" w:space="0" w:color="auto"/>
              <w:left w:val="nil"/>
              <w:bottom w:val="nil"/>
              <w:right w:val="nil"/>
            </w:tcBorders>
            <w:shd w:val="clear" w:color="auto" w:fill="auto"/>
            <w:noWrap/>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Aktywa trwałe</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171 105</w:t>
            </w:r>
          </w:p>
        </w:tc>
        <w:tc>
          <w:tcPr>
            <w:tcW w:w="860"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167 194</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36 933</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36 230</w:t>
            </w:r>
          </w:p>
        </w:tc>
      </w:tr>
      <w:tr w:rsidR="006431A7" w:rsidRPr="00F06708" w:rsidTr="00C310B8">
        <w:trPr>
          <w:trHeight w:val="310"/>
        </w:trPr>
        <w:tc>
          <w:tcPr>
            <w:tcW w:w="264" w:type="pct"/>
            <w:tcBorders>
              <w:top w:val="nil"/>
              <w:left w:val="nil"/>
              <w:bottom w:val="nil"/>
              <w:right w:val="nil"/>
            </w:tcBorders>
            <w:shd w:val="clear" w:color="auto" w:fill="auto"/>
            <w:noWrap/>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XIII.</w:t>
            </w:r>
          </w:p>
        </w:tc>
        <w:tc>
          <w:tcPr>
            <w:tcW w:w="1532" w:type="pct"/>
            <w:tcBorders>
              <w:top w:val="nil"/>
              <w:left w:val="nil"/>
              <w:bottom w:val="nil"/>
              <w:right w:val="nil"/>
            </w:tcBorders>
            <w:shd w:val="clear" w:color="auto" w:fill="auto"/>
            <w:noWrap/>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Aktywa obrotowe</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14 754</w:t>
            </w:r>
          </w:p>
        </w:tc>
        <w:tc>
          <w:tcPr>
            <w:tcW w:w="860"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2 973</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3 185</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644</w:t>
            </w:r>
          </w:p>
        </w:tc>
      </w:tr>
      <w:tr w:rsidR="006431A7" w:rsidRPr="00F06708" w:rsidTr="00C310B8">
        <w:trPr>
          <w:trHeight w:val="310"/>
        </w:trPr>
        <w:tc>
          <w:tcPr>
            <w:tcW w:w="264" w:type="pct"/>
            <w:tcBorders>
              <w:top w:val="nil"/>
              <w:left w:val="nil"/>
              <w:bottom w:val="nil"/>
              <w:right w:val="nil"/>
            </w:tcBorders>
            <w:shd w:val="clear" w:color="auto" w:fill="auto"/>
            <w:noWrap/>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XIV.</w:t>
            </w:r>
          </w:p>
        </w:tc>
        <w:tc>
          <w:tcPr>
            <w:tcW w:w="1532" w:type="pct"/>
            <w:tcBorders>
              <w:top w:val="nil"/>
              <w:left w:val="nil"/>
              <w:bottom w:val="nil"/>
              <w:right w:val="nil"/>
            </w:tcBorders>
            <w:shd w:val="clear" w:color="auto" w:fill="auto"/>
            <w:noWrap/>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Aktywa razem</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188 104</w:t>
            </w:r>
          </w:p>
        </w:tc>
        <w:tc>
          <w:tcPr>
            <w:tcW w:w="860"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170 167</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40 602</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36 874</w:t>
            </w:r>
          </w:p>
        </w:tc>
      </w:tr>
      <w:tr w:rsidR="006431A7" w:rsidRPr="00F06708" w:rsidTr="00C310B8">
        <w:trPr>
          <w:trHeight w:val="310"/>
        </w:trPr>
        <w:tc>
          <w:tcPr>
            <w:tcW w:w="264" w:type="pct"/>
            <w:tcBorders>
              <w:top w:val="nil"/>
              <w:left w:val="nil"/>
              <w:bottom w:val="nil"/>
              <w:right w:val="nil"/>
            </w:tcBorders>
            <w:shd w:val="clear" w:color="auto" w:fill="auto"/>
            <w:noWrap/>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XV.</w:t>
            </w:r>
          </w:p>
        </w:tc>
        <w:tc>
          <w:tcPr>
            <w:tcW w:w="1532" w:type="pct"/>
            <w:tcBorders>
              <w:top w:val="nil"/>
              <w:left w:val="nil"/>
              <w:bottom w:val="nil"/>
              <w:right w:val="nil"/>
            </w:tcBorders>
            <w:shd w:val="clear" w:color="auto" w:fill="auto"/>
            <w:noWrap/>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Zobowiązania długoterminowe</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44 304</w:t>
            </w:r>
          </w:p>
        </w:tc>
        <w:tc>
          <w:tcPr>
            <w:tcW w:w="860"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29 994</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9 563</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6 500</w:t>
            </w:r>
          </w:p>
        </w:tc>
      </w:tr>
      <w:tr w:rsidR="006431A7" w:rsidRPr="00F06708" w:rsidTr="00C310B8">
        <w:trPr>
          <w:trHeight w:val="310"/>
        </w:trPr>
        <w:tc>
          <w:tcPr>
            <w:tcW w:w="264" w:type="pct"/>
            <w:tcBorders>
              <w:top w:val="nil"/>
              <w:left w:val="nil"/>
              <w:bottom w:val="nil"/>
              <w:right w:val="nil"/>
            </w:tcBorders>
            <w:shd w:val="clear" w:color="auto" w:fill="auto"/>
            <w:noWrap/>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XVI.</w:t>
            </w:r>
          </w:p>
        </w:tc>
        <w:tc>
          <w:tcPr>
            <w:tcW w:w="1532" w:type="pct"/>
            <w:tcBorders>
              <w:top w:val="nil"/>
              <w:left w:val="nil"/>
              <w:bottom w:val="nil"/>
              <w:right w:val="nil"/>
            </w:tcBorders>
            <w:shd w:val="clear" w:color="auto" w:fill="auto"/>
            <w:noWrap/>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Zobowiązania krótkoterminowe</w:t>
            </w:r>
          </w:p>
        </w:tc>
        <w:tc>
          <w:tcPr>
            <w:tcW w:w="781" w:type="pct"/>
            <w:tcBorders>
              <w:top w:val="nil"/>
              <w:left w:val="nil"/>
              <w:bottom w:val="nil"/>
              <w:right w:val="nil"/>
            </w:tcBorders>
            <w:shd w:val="clear" w:color="auto" w:fill="auto"/>
            <w:noWrap/>
            <w:vAlign w:val="center"/>
            <w:hideMark/>
          </w:tcPr>
          <w:p w:rsidR="006431A7" w:rsidRPr="00F06708" w:rsidRDefault="000D373B">
            <w:pPr>
              <w:jc w:val="right"/>
              <w:rPr>
                <w:rFonts w:ascii="Arial" w:hAnsi="Arial" w:cs="Arial"/>
                <w:color w:val="000000"/>
                <w:sz w:val="16"/>
                <w:szCs w:val="16"/>
              </w:rPr>
            </w:pPr>
            <w:r w:rsidRPr="00F06708">
              <w:rPr>
                <w:rFonts w:ascii="Arial" w:hAnsi="Arial" w:cs="Arial"/>
                <w:color w:val="000000"/>
                <w:sz w:val="16"/>
                <w:szCs w:val="16"/>
              </w:rPr>
              <w:t>19 466</w:t>
            </w:r>
          </w:p>
        </w:tc>
        <w:tc>
          <w:tcPr>
            <w:tcW w:w="860"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19 381</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4 202</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4 200</w:t>
            </w:r>
          </w:p>
        </w:tc>
      </w:tr>
      <w:tr w:rsidR="006431A7" w:rsidRPr="00F06708" w:rsidTr="00C310B8">
        <w:trPr>
          <w:trHeight w:val="310"/>
        </w:trPr>
        <w:tc>
          <w:tcPr>
            <w:tcW w:w="264" w:type="pct"/>
            <w:tcBorders>
              <w:top w:val="nil"/>
              <w:left w:val="nil"/>
              <w:bottom w:val="nil"/>
              <w:right w:val="nil"/>
            </w:tcBorders>
            <w:shd w:val="clear" w:color="auto" w:fill="auto"/>
            <w:noWrap/>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XVII.</w:t>
            </w:r>
          </w:p>
        </w:tc>
        <w:tc>
          <w:tcPr>
            <w:tcW w:w="1532" w:type="pct"/>
            <w:tcBorders>
              <w:top w:val="nil"/>
              <w:left w:val="nil"/>
              <w:bottom w:val="nil"/>
              <w:right w:val="nil"/>
            </w:tcBorders>
            <w:shd w:val="clear" w:color="auto" w:fill="auto"/>
            <w:noWrap/>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Kapitał własny</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124 124</w:t>
            </w:r>
          </w:p>
        </w:tc>
        <w:tc>
          <w:tcPr>
            <w:tcW w:w="860"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120 792</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26 792</w:t>
            </w:r>
          </w:p>
        </w:tc>
        <w:tc>
          <w:tcPr>
            <w:tcW w:w="781" w:type="pct"/>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26 175</w:t>
            </w:r>
          </w:p>
        </w:tc>
      </w:tr>
    </w:tbl>
    <w:p w:rsidR="006418A8" w:rsidRPr="00F451D4" w:rsidRDefault="006418A8" w:rsidP="006418A8">
      <w:pPr>
        <w:tabs>
          <w:tab w:val="left" w:pos="540"/>
        </w:tabs>
        <w:rPr>
          <w:rFonts w:ascii="Arial" w:hAnsi="Arial" w:cs="Arial"/>
          <w:b/>
          <w:sz w:val="18"/>
          <w:szCs w:val="18"/>
          <w:highlight w:val="yellow"/>
        </w:rPr>
      </w:pPr>
    </w:p>
    <w:p w:rsidR="006418A8" w:rsidRPr="00F451D4" w:rsidRDefault="006418A8" w:rsidP="006418A8">
      <w:pPr>
        <w:tabs>
          <w:tab w:val="left" w:pos="540"/>
        </w:tabs>
        <w:jc w:val="center"/>
        <w:rPr>
          <w:rFonts w:ascii="Arial" w:hAnsi="Arial" w:cs="Arial"/>
          <w:sz w:val="18"/>
          <w:szCs w:val="18"/>
          <w:highlight w:val="yellow"/>
        </w:rPr>
      </w:pPr>
      <w:r w:rsidRPr="00F451D4">
        <w:rPr>
          <w:rFonts w:ascii="Arial" w:hAnsi="Arial" w:cs="Arial"/>
          <w:color w:val="FF0000"/>
          <w:sz w:val="18"/>
          <w:szCs w:val="18"/>
          <w:highlight w:val="yellow"/>
        </w:rPr>
        <w:br w:type="page"/>
      </w:r>
    </w:p>
    <w:p w:rsidR="006418A8" w:rsidRPr="00D80B55" w:rsidRDefault="006418A8" w:rsidP="006418A8">
      <w:pPr>
        <w:tabs>
          <w:tab w:val="left" w:pos="540"/>
        </w:tabs>
        <w:rPr>
          <w:rFonts w:ascii="Arial" w:hAnsi="Arial" w:cs="Arial"/>
          <w:b/>
        </w:rPr>
      </w:pPr>
      <w:r w:rsidRPr="00D80B55">
        <w:rPr>
          <w:rFonts w:ascii="Arial" w:hAnsi="Arial" w:cs="Arial"/>
          <w:b/>
        </w:rPr>
        <w:lastRenderedPageBreak/>
        <w:t>Śródroczne skrócone jednostkowe sprawozdanie z sytuacji finansowej</w:t>
      </w:r>
    </w:p>
    <w:p w:rsidR="006418A8" w:rsidRPr="00F451D4" w:rsidRDefault="006418A8" w:rsidP="006418A8">
      <w:pPr>
        <w:tabs>
          <w:tab w:val="left" w:pos="540"/>
        </w:tabs>
        <w:jc w:val="center"/>
        <w:rPr>
          <w:rFonts w:ascii="Arial" w:hAnsi="Arial" w:cs="Arial"/>
          <w:sz w:val="18"/>
          <w:szCs w:val="18"/>
          <w:highlight w:val="yellow"/>
        </w:rPr>
      </w:pPr>
    </w:p>
    <w:p w:rsidR="006418A8" w:rsidRPr="00F451D4" w:rsidRDefault="006418A8" w:rsidP="006418A8">
      <w:pPr>
        <w:tabs>
          <w:tab w:val="left" w:pos="540"/>
        </w:tabs>
        <w:rPr>
          <w:rFonts w:ascii="Arial" w:hAnsi="Arial" w:cs="Arial"/>
          <w:sz w:val="18"/>
          <w:szCs w:val="18"/>
          <w:highlight w:val="yellow"/>
        </w:rPr>
      </w:pPr>
    </w:p>
    <w:tbl>
      <w:tblPr>
        <w:tblW w:w="0" w:type="auto"/>
        <w:tblInd w:w="55" w:type="dxa"/>
        <w:tblCellMar>
          <w:left w:w="70" w:type="dxa"/>
          <w:right w:w="70" w:type="dxa"/>
        </w:tblCellMar>
        <w:tblLook w:val="04A0" w:firstRow="1" w:lastRow="0" w:firstColumn="1" w:lastColumn="0" w:noHBand="0" w:noVBand="1"/>
      </w:tblPr>
      <w:tblGrid>
        <w:gridCol w:w="7220"/>
        <w:gridCol w:w="994"/>
        <w:gridCol w:w="941"/>
      </w:tblGrid>
      <w:tr w:rsidR="00C310B8" w:rsidRPr="00F06708" w:rsidTr="006431A7">
        <w:trPr>
          <w:trHeight w:val="300"/>
        </w:trPr>
        <w:tc>
          <w:tcPr>
            <w:tcW w:w="0" w:type="auto"/>
            <w:tcBorders>
              <w:top w:val="nil"/>
              <w:left w:val="nil"/>
              <w:bottom w:val="nil"/>
              <w:right w:val="nil"/>
            </w:tcBorders>
            <w:shd w:val="clear" w:color="auto" w:fill="auto"/>
            <w:noWrap/>
            <w:vAlign w:val="bottom"/>
            <w:hideMark/>
          </w:tcPr>
          <w:p w:rsidR="00C310B8" w:rsidRPr="00F06708" w:rsidRDefault="00C310B8">
            <w:pPr>
              <w:rPr>
                <w:color w:val="000000"/>
                <w:sz w:val="16"/>
                <w:szCs w:val="16"/>
              </w:rPr>
            </w:pPr>
          </w:p>
        </w:tc>
        <w:tc>
          <w:tcPr>
            <w:tcW w:w="0" w:type="auto"/>
            <w:tcBorders>
              <w:top w:val="nil"/>
              <w:left w:val="nil"/>
              <w:bottom w:val="nil"/>
              <w:right w:val="nil"/>
            </w:tcBorders>
            <w:shd w:val="clear" w:color="auto" w:fill="auto"/>
            <w:noWrap/>
            <w:vAlign w:val="center"/>
            <w:hideMark/>
          </w:tcPr>
          <w:p w:rsidR="00C310B8" w:rsidRPr="00F06708" w:rsidRDefault="00C310B8">
            <w:pPr>
              <w:jc w:val="right"/>
              <w:rPr>
                <w:rFonts w:ascii="Arial" w:hAnsi="Arial" w:cs="Arial"/>
                <w:b/>
                <w:bCs/>
                <w:color w:val="000000"/>
                <w:sz w:val="16"/>
                <w:szCs w:val="16"/>
              </w:rPr>
            </w:pPr>
            <w:r w:rsidRPr="00F06708">
              <w:rPr>
                <w:rFonts w:ascii="Arial" w:hAnsi="Arial" w:cs="Arial"/>
                <w:b/>
                <w:bCs/>
                <w:color w:val="000000"/>
                <w:sz w:val="16"/>
                <w:szCs w:val="16"/>
              </w:rPr>
              <w:t>Stan na</w:t>
            </w:r>
          </w:p>
        </w:tc>
        <w:tc>
          <w:tcPr>
            <w:tcW w:w="0" w:type="auto"/>
            <w:tcBorders>
              <w:top w:val="nil"/>
              <w:left w:val="nil"/>
              <w:bottom w:val="nil"/>
              <w:right w:val="nil"/>
            </w:tcBorders>
            <w:shd w:val="clear" w:color="000000" w:fill="FFFFFF"/>
            <w:noWrap/>
            <w:vAlign w:val="center"/>
            <w:hideMark/>
          </w:tcPr>
          <w:p w:rsidR="00C310B8" w:rsidRPr="00F06708" w:rsidRDefault="00C310B8">
            <w:pPr>
              <w:jc w:val="right"/>
              <w:rPr>
                <w:rFonts w:ascii="Arial" w:hAnsi="Arial" w:cs="Arial"/>
                <w:b/>
                <w:bCs/>
                <w:color w:val="000000"/>
                <w:sz w:val="16"/>
                <w:szCs w:val="16"/>
              </w:rPr>
            </w:pPr>
            <w:r w:rsidRPr="00F06708">
              <w:rPr>
                <w:rFonts w:ascii="Arial" w:hAnsi="Arial" w:cs="Arial"/>
                <w:b/>
                <w:bCs/>
                <w:color w:val="000000"/>
                <w:sz w:val="16"/>
                <w:szCs w:val="16"/>
              </w:rPr>
              <w:t>Stan na</w:t>
            </w:r>
          </w:p>
        </w:tc>
      </w:tr>
      <w:tr w:rsidR="00C310B8" w:rsidRPr="00F06708" w:rsidTr="006431A7">
        <w:trPr>
          <w:trHeight w:val="300"/>
        </w:trPr>
        <w:tc>
          <w:tcPr>
            <w:tcW w:w="0" w:type="auto"/>
            <w:tcBorders>
              <w:top w:val="nil"/>
              <w:left w:val="nil"/>
              <w:bottom w:val="nil"/>
              <w:right w:val="nil"/>
            </w:tcBorders>
            <w:shd w:val="clear" w:color="auto" w:fill="auto"/>
            <w:noWrap/>
            <w:vAlign w:val="bottom"/>
            <w:hideMark/>
          </w:tcPr>
          <w:p w:rsidR="00C310B8" w:rsidRPr="00F06708" w:rsidRDefault="00C310B8">
            <w:pPr>
              <w:rPr>
                <w:color w:val="000000"/>
                <w:sz w:val="16"/>
                <w:szCs w:val="16"/>
              </w:rPr>
            </w:pPr>
          </w:p>
        </w:tc>
        <w:tc>
          <w:tcPr>
            <w:tcW w:w="0" w:type="auto"/>
            <w:tcBorders>
              <w:top w:val="nil"/>
              <w:left w:val="nil"/>
              <w:bottom w:val="nil"/>
              <w:right w:val="nil"/>
            </w:tcBorders>
            <w:shd w:val="clear" w:color="auto" w:fill="auto"/>
            <w:noWrap/>
            <w:vAlign w:val="center"/>
            <w:hideMark/>
          </w:tcPr>
          <w:p w:rsidR="00C310B8" w:rsidRPr="00F06708" w:rsidRDefault="00C310B8">
            <w:pPr>
              <w:jc w:val="right"/>
              <w:rPr>
                <w:rFonts w:ascii="Arial" w:hAnsi="Arial" w:cs="Arial"/>
                <w:b/>
                <w:bCs/>
                <w:color w:val="000000"/>
                <w:sz w:val="16"/>
                <w:szCs w:val="16"/>
              </w:rPr>
            </w:pPr>
            <w:r w:rsidRPr="00F06708">
              <w:rPr>
                <w:rFonts w:ascii="Arial" w:hAnsi="Arial" w:cs="Arial"/>
                <w:b/>
                <w:bCs/>
                <w:color w:val="000000"/>
                <w:sz w:val="16"/>
                <w:szCs w:val="16"/>
              </w:rPr>
              <w:t>30.09.2021</w:t>
            </w:r>
          </w:p>
        </w:tc>
        <w:tc>
          <w:tcPr>
            <w:tcW w:w="0" w:type="auto"/>
            <w:tcBorders>
              <w:top w:val="nil"/>
              <w:left w:val="nil"/>
              <w:bottom w:val="nil"/>
              <w:right w:val="nil"/>
            </w:tcBorders>
            <w:shd w:val="clear" w:color="000000" w:fill="FFFFFF"/>
            <w:noWrap/>
            <w:vAlign w:val="center"/>
            <w:hideMark/>
          </w:tcPr>
          <w:p w:rsidR="00C310B8" w:rsidRPr="00F06708" w:rsidRDefault="00C310B8">
            <w:pPr>
              <w:jc w:val="right"/>
              <w:rPr>
                <w:rFonts w:ascii="Arial" w:hAnsi="Arial" w:cs="Arial"/>
                <w:b/>
                <w:bCs/>
                <w:color w:val="000000"/>
                <w:sz w:val="16"/>
                <w:szCs w:val="16"/>
              </w:rPr>
            </w:pPr>
            <w:r w:rsidRPr="00F06708">
              <w:rPr>
                <w:rFonts w:ascii="Arial" w:hAnsi="Arial" w:cs="Arial"/>
                <w:b/>
                <w:bCs/>
                <w:color w:val="000000"/>
                <w:sz w:val="16"/>
                <w:szCs w:val="16"/>
              </w:rPr>
              <w:t>31.12.2020</w:t>
            </w:r>
          </w:p>
        </w:tc>
      </w:tr>
      <w:tr w:rsidR="00C310B8" w:rsidRPr="00F06708" w:rsidTr="006431A7">
        <w:trPr>
          <w:trHeight w:val="315"/>
        </w:trPr>
        <w:tc>
          <w:tcPr>
            <w:tcW w:w="0" w:type="auto"/>
            <w:tcBorders>
              <w:top w:val="nil"/>
              <w:left w:val="nil"/>
              <w:bottom w:val="nil"/>
              <w:right w:val="nil"/>
            </w:tcBorders>
            <w:shd w:val="clear" w:color="auto" w:fill="auto"/>
            <w:noWrap/>
            <w:vAlign w:val="bottom"/>
            <w:hideMark/>
          </w:tcPr>
          <w:p w:rsidR="00C310B8" w:rsidRPr="00F06708" w:rsidRDefault="00C310B8">
            <w:pPr>
              <w:rPr>
                <w:color w:val="000000"/>
                <w:sz w:val="16"/>
                <w:szCs w:val="16"/>
              </w:rPr>
            </w:pPr>
          </w:p>
        </w:tc>
        <w:tc>
          <w:tcPr>
            <w:tcW w:w="0" w:type="auto"/>
            <w:tcBorders>
              <w:top w:val="nil"/>
              <w:left w:val="nil"/>
              <w:bottom w:val="single" w:sz="8" w:space="0" w:color="auto"/>
              <w:right w:val="nil"/>
            </w:tcBorders>
            <w:shd w:val="clear" w:color="000000" w:fill="FFFFFF"/>
            <w:noWrap/>
            <w:vAlign w:val="center"/>
            <w:hideMark/>
          </w:tcPr>
          <w:p w:rsidR="00C310B8" w:rsidRPr="00F06708" w:rsidRDefault="00C310B8">
            <w:pPr>
              <w:jc w:val="right"/>
              <w:rPr>
                <w:rFonts w:ascii="Arial" w:hAnsi="Arial" w:cs="Arial"/>
                <w:color w:val="000000"/>
                <w:sz w:val="16"/>
                <w:szCs w:val="16"/>
              </w:rPr>
            </w:pPr>
            <w:r w:rsidRPr="00F06708">
              <w:rPr>
                <w:rFonts w:ascii="Arial" w:hAnsi="Arial" w:cs="Arial"/>
                <w:color w:val="000000"/>
                <w:sz w:val="16"/>
                <w:szCs w:val="16"/>
              </w:rPr>
              <w:t>(niebadane)</w:t>
            </w:r>
          </w:p>
        </w:tc>
        <w:tc>
          <w:tcPr>
            <w:tcW w:w="0" w:type="auto"/>
            <w:tcBorders>
              <w:top w:val="nil"/>
              <w:left w:val="nil"/>
              <w:bottom w:val="single" w:sz="8" w:space="0" w:color="auto"/>
              <w:right w:val="nil"/>
            </w:tcBorders>
            <w:shd w:val="clear" w:color="000000" w:fill="FFFFFF"/>
            <w:noWrap/>
            <w:vAlign w:val="center"/>
            <w:hideMark/>
          </w:tcPr>
          <w:p w:rsidR="00C310B8" w:rsidRPr="00F06708" w:rsidRDefault="00C310B8">
            <w:pPr>
              <w:jc w:val="right"/>
              <w:rPr>
                <w:rFonts w:ascii="Arial" w:hAnsi="Arial" w:cs="Arial"/>
                <w:color w:val="000000"/>
                <w:sz w:val="16"/>
                <w:szCs w:val="16"/>
              </w:rPr>
            </w:pPr>
            <w:r w:rsidRPr="00F06708">
              <w:rPr>
                <w:rFonts w:ascii="Arial" w:hAnsi="Arial" w:cs="Arial"/>
                <w:color w:val="000000"/>
                <w:sz w:val="16"/>
                <w:szCs w:val="16"/>
              </w:rPr>
              <w:t> </w:t>
            </w:r>
          </w:p>
        </w:tc>
      </w:tr>
      <w:tr w:rsidR="00C310B8" w:rsidRPr="00F06708" w:rsidTr="006431A7">
        <w:trPr>
          <w:trHeight w:val="300"/>
        </w:trPr>
        <w:tc>
          <w:tcPr>
            <w:tcW w:w="0" w:type="auto"/>
            <w:tcBorders>
              <w:top w:val="nil"/>
              <w:left w:val="nil"/>
              <w:bottom w:val="nil"/>
              <w:right w:val="nil"/>
            </w:tcBorders>
            <w:shd w:val="clear" w:color="auto" w:fill="auto"/>
            <w:vAlign w:val="center"/>
            <w:hideMark/>
          </w:tcPr>
          <w:p w:rsidR="00C310B8" w:rsidRPr="00F06708" w:rsidRDefault="00C310B8">
            <w:pPr>
              <w:rPr>
                <w:rFonts w:ascii="Arial" w:hAnsi="Arial" w:cs="Arial"/>
                <w:b/>
                <w:bCs/>
                <w:color w:val="000000"/>
                <w:sz w:val="16"/>
                <w:szCs w:val="16"/>
              </w:rPr>
            </w:pPr>
            <w:r w:rsidRPr="00F06708">
              <w:rPr>
                <w:rFonts w:ascii="Arial" w:hAnsi="Arial" w:cs="Arial"/>
                <w:b/>
                <w:bCs/>
                <w:color w:val="000000"/>
                <w:sz w:val="16"/>
                <w:szCs w:val="16"/>
              </w:rPr>
              <w:t>Aktywa</w:t>
            </w:r>
          </w:p>
        </w:tc>
        <w:tc>
          <w:tcPr>
            <w:tcW w:w="0" w:type="auto"/>
            <w:tcBorders>
              <w:top w:val="nil"/>
              <w:left w:val="nil"/>
              <w:bottom w:val="nil"/>
              <w:right w:val="nil"/>
            </w:tcBorders>
            <w:shd w:val="clear" w:color="000000" w:fill="FFFFFF"/>
            <w:noWrap/>
            <w:vAlign w:val="center"/>
            <w:hideMark/>
          </w:tcPr>
          <w:p w:rsidR="00C310B8" w:rsidRPr="00F06708" w:rsidRDefault="00C310B8">
            <w:pPr>
              <w:jc w:val="center"/>
              <w:rPr>
                <w:rFonts w:ascii="Arial" w:hAnsi="Arial" w:cs="Arial"/>
                <w:color w:val="000000"/>
                <w:sz w:val="16"/>
                <w:szCs w:val="16"/>
              </w:rPr>
            </w:pPr>
            <w:r w:rsidRPr="00F06708">
              <w:rPr>
                <w:rFonts w:ascii="Arial" w:hAnsi="Arial" w:cs="Arial"/>
                <w:color w:val="000000"/>
                <w:sz w:val="16"/>
                <w:szCs w:val="16"/>
              </w:rPr>
              <w:t> </w:t>
            </w:r>
          </w:p>
        </w:tc>
        <w:tc>
          <w:tcPr>
            <w:tcW w:w="0" w:type="auto"/>
            <w:tcBorders>
              <w:top w:val="nil"/>
              <w:left w:val="nil"/>
              <w:bottom w:val="nil"/>
              <w:right w:val="nil"/>
            </w:tcBorders>
            <w:shd w:val="clear" w:color="000000" w:fill="FFFFFF"/>
            <w:noWrap/>
            <w:vAlign w:val="center"/>
            <w:hideMark/>
          </w:tcPr>
          <w:p w:rsidR="00C310B8" w:rsidRPr="00F06708" w:rsidRDefault="00C310B8">
            <w:pPr>
              <w:jc w:val="center"/>
              <w:rPr>
                <w:rFonts w:ascii="Arial" w:hAnsi="Arial" w:cs="Arial"/>
                <w:color w:val="000000"/>
                <w:sz w:val="16"/>
                <w:szCs w:val="16"/>
              </w:rPr>
            </w:pPr>
            <w:r w:rsidRPr="00F06708">
              <w:rPr>
                <w:rFonts w:ascii="Arial" w:hAnsi="Arial" w:cs="Arial"/>
                <w:color w:val="000000"/>
                <w:sz w:val="16"/>
                <w:szCs w:val="16"/>
              </w:rPr>
              <w:t> </w:t>
            </w:r>
          </w:p>
        </w:tc>
      </w:tr>
      <w:tr w:rsidR="006431A7" w:rsidRPr="00F06708" w:rsidTr="006431A7">
        <w:trPr>
          <w:trHeight w:val="300"/>
        </w:trPr>
        <w:tc>
          <w:tcPr>
            <w:tcW w:w="0" w:type="auto"/>
            <w:tcBorders>
              <w:top w:val="nil"/>
              <w:left w:val="nil"/>
              <w:bottom w:val="nil"/>
              <w:right w:val="nil"/>
            </w:tcBorders>
            <w:shd w:val="clear" w:color="auto" w:fill="auto"/>
            <w:vAlign w:val="center"/>
            <w:hideMark/>
          </w:tcPr>
          <w:p w:rsidR="006431A7" w:rsidRPr="00F06708" w:rsidRDefault="006431A7">
            <w:pPr>
              <w:rPr>
                <w:rFonts w:ascii="Arial" w:hAnsi="Arial" w:cs="Arial"/>
                <w:b/>
                <w:bCs/>
                <w:color w:val="000000"/>
                <w:sz w:val="16"/>
                <w:szCs w:val="16"/>
              </w:rPr>
            </w:pPr>
            <w:r w:rsidRPr="00F06708">
              <w:rPr>
                <w:rFonts w:ascii="Arial" w:hAnsi="Arial" w:cs="Arial"/>
                <w:b/>
                <w:bCs/>
                <w:color w:val="000000"/>
                <w:sz w:val="16"/>
                <w:szCs w:val="16"/>
              </w:rPr>
              <w:t>Aktywa trwałe</w:t>
            </w:r>
          </w:p>
        </w:tc>
        <w:tc>
          <w:tcPr>
            <w:tcW w:w="0" w:type="auto"/>
            <w:tcBorders>
              <w:top w:val="nil"/>
              <w:left w:val="nil"/>
              <w:bottom w:val="nil"/>
              <w:right w:val="nil"/>
            </w:tcBorders>
            <w:shd w:val="clear" w:color="000000" w:fill="FFFFFF"/>
            <w:noWrap/>
            <w:vAlign w:val="center"/>
            <w:hideMark/>
          </w:tcPr>
          <w:p w:rsidR="006431A7" w:rsidRPr="00F06708" w:rsidRDefault="006431A7">
            <w:pPr>
              <w:jc w:val="right"/>
              <w:rPr>
                <w:rFonts w:ascii="Arial" w:hAnsi="Arial" w:cs="Arial"/>
                <w:b/>
                <w:bCs/>
                <w:color w:val="000000"/>
                <w:sz w:val="16"/>
                <w:szCs w:val="16"/>
              </w:rPr>
            </w:pPr>
            <w:r w:rsidRPr="00F06708">
              <w:rPr>
                <w:rFonts w:ascii="Arial" w:hAnsi="Arial" w:cs="Arial"/>
                <w:b/>
                <w:bCs/>
                <w:color w:val="000000"/>
                <w:sz w:val="16"/>
                <w:szCs w:val="16"/>
              </w:rPr>
              <w:t>171 105</w:t>
            </w:r>
          </w:p>
        </w:tc>
        <w:tc>
          <w:tcPr>
            <w:tcW w:w="0" w:type="auto"/>
            <w:tcBorders>
              <w:top w:val="nil"/>
              <w:left w:val="nil"/>
              <w:bottom w:val="nil"/>
              <w:right w:val="nil"/>
            </w:tcBorders>
            <w:shd w:val="clear" w:color="000000" w:fill="FFFFFF"/>
            <w:noWrap/>
            <w:vAlign w:val="center"/>
            <w:hideMark/>
          </w:tcPr>
          <w:p w:rsidR="006431A7" w:rsidRPr="00F06708" w:rsidRDefault="006431A7">
            <w:pPr>
              <w:jc w:val="right"/>
              <w:rPr>
                <w:rFonts w:ascii="Arial" w:hAnsi="Arial" w:cs="Arial"/>
                <w:b/>
                <w:bCs/>
                <w:color w:val="000000"/>
                <w:sz w:val="16"/>
                <w:szCs w:val="16"/>
              </w:rPr>
            </w:pPr>
            <w:r w:rsidRPr="00F06708">
              <w:rPr>
                <w:rFonts w:ascii="Arial" w:hAnsi="Arial" w:cs="Arial"/>
                <w:b/>
                <w:bCs/>
                <w:color w:val="000000"/>
                <w:sz w:val="16"/>
                <w:szCs w:val="16"/>
              </w:rPr>
              <w:t>167 194</w:t>
            </w:r>
          </w:p>
        </w:tc>
      </w:tr>
      <w:tr w:rsidR="006431A7" w:rsidRPr="00F06708" w:rsidTr="006431A7">
        <w:trPr>
          <w:trHeight w:val="300"/>
        </w:trPr>
        <w:tc>
          <w:tcPr>
            <w:tcW w:w="0" w:type="auto"/>
            <w:tcBorders>
              <w:top w:val="nil"/>
              <w:left w:val="nil"/>
              <w:bottom w:val="nil"/>
              <w:right w:val="nil"/>
            </w:tcBorders>
            <w:shd w:val="clear" w:color="auto" w:fill="auto"/>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Rzeczowe aktywa trwałe</w:t>
            </w:r>
          </w:p>
        </w:tc>
        <w:tc>
          <w:tcPr>
            <w:tcW w:w="0" w:type="auto"/>
            <w:tcBorders>
              <w:top w:val="nil"/>
              <w:left w:val="nil"/>
              <w:bottom w:val="nil"/>
              <w:right w:val="nil"/>
            </w:tcBorders>
            <w:shd w:val="clear" w:color="000000" w:fill="FFFFFF"/>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150 490</w:t>
            </w:r>
          </w:p>
        </w:tc>
        <w:tc>
          <w:tcPr>
            <w:tcW w:w="0" w:type="auto"/>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146 537</w:t>
            </w:r>
          </w:p>
        </w:tc>
      </w:tr>
      <w:tr w:rsidR="006431A7" w:rsidRPr="00F06708" w:rsidTr="006431A7">
        <w:trPr>
          <w:trHeight w:val="300"/>
        </w:trPr>
        <w:tc>
          <w:tcPr>
            <w:tcW w:w="0" w:type="auto"/>
            <w:tcBorders>
              <w:top w:val="nil"/>
              <w:left w:val="nil"/>
              <w:bottom w:val="nil"/>
              <w:right w:val="nil"/>
            </w:tcBorders>
            <w:shd w:val="clear" w:color="auto" w:fill="auto"/>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Wartości niematerialne</w:t>
            </w:r>
          </w:p>
        </w:tc>
        <w:tc>
          <w:tcPr>
            <w:tcW w:w="0" w:type="auto"/>
            <w:tcBorders>
              <w:top w:val="nil"/>
              <w:left w:val="nil"/>
              <w:bottom w:val="nil"/>
              <w:right w:val="nil"/>
            </w:tcBorders>
            <w:shd w:val="clear" w:color="000000" w:fill="FFFFFF"/>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27</w:t>
            </w:r>
          </w:p>
        </w:tc>
        <w:tc>
          <w:tcPr>
            <w:tcW w:w="0" w:type="auto"/>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39</w:t>
            </w:r>
          </w:p>
        </w:tc>
      </w:tr>
      <w:tr w:rsidR="006431A7" w:rsidRPr="00F06708" w:rsidTr="006431A7">
        <w:trPr>
          <w:trHeight w:val="300"/>
        </w:trPr>
        <w:tc>
          <w:tcPr>
            <w:tcW w:w="0" w:type="auto"/>
            <w:tcBorders>
              <w:top w:val="nil"/>
              <w:left w:val="nil"/>
              <w:bottom w:val="nil"/>
              <w:right w:val="nil"/>
            </w:tcBorders>
            <w:shd w:val="clear" w:color="auto" w:fill="auto"/>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 xml:space="preserve">Inwestycje w jednostkach stowarzyszonych </w:t>
            </w:r>
          </w:p>
        </w:tc>
        <w:tc>
          <w:tcPr>
            <w:tcW w:w="0" w:type="auto"/>
            <w:tcBorders>
              <w:top w:val="nil"/>
              <w:left w:val="nil"/>
              <w:bottom w:val="nil"/>
              <w:right w:val="nil"/>
            </w:tcBorders>
            <w:shd w:val="clear" w:color="000000" w:fill="FFFFFF"/>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20 012</w:t>
            </w:r>
          </w:p>
        </w:tc>
        <w:tc>
          <w:tcPr>
            <w:tcW w:w="0" w:type="auto"/>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20 012</w:t>
            </w:r>
          </w:p>
        </w:tc>
      </w:tr>
      <w:tr w:rsidR="006431A7" w:rsidRPr="00F06708" w:rsidTr="006431A7">
        <w:trPr>
          <w:trHeight w:val="705"/>
        </w:trPr>
        <w:tc>
          <w:tcPr>
            <w:tcW w:w="0" w:type="auto"/>
            <w:tcBorders>
              <w:top w:val="nil"/>
              <w:left w:val="nil"/>
              <w:bottom w:val="nil"/>
              <w:right w:val="nil"/>
            </w:tcBorders>
            <w:shd w:val="clear" w:color="auto" w:fill="auto"/>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Aktywa finansowe wyceniane w wartości godziwej przez pozostałe całkowite dochody za wyjątkiem instrumentów pochodnych</w:t>
            </w:r>
          </w:p>
        </w:tc>
        <w:tc>
          <w:tcPr>
            <w:tcW w:w="0" w:type="auto"/>
            <w:tcBorders>
              <w:top w:val="nil"/>
              <w:left w:val="nil"/>
              <w:bottom w:val="nil"/>
              <w:right w:val="nil"/>
            </w:tcBorders>
            <w:shd w:val="clear" w:color="000000" w:fill="FFFFFF"/>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387</w:t>
            </w:r>
          </w:p>
        </w:tc>
        <w:tc>
          <w:tcPr>
            <w:tcW w:w="0" w:type="auto"/>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387</w:t>
            </w:r>
          </w:p>
        </w:tc>
      </w:tr>
      <w:tr w:rsidR="006431A7" w:rsidRPr="00F06708" w:rsidTr="006431A7">
        <w:trPr>
          <w:trHeight w:val="300"/>
        </w:trPr>
        <w:tc>
          <w:tcPr>
            <w:tcW w:w="0" w:type="auto"/>
            <w:tcBorders>
              <w:top w:val="nil"/>
              <w:left w:val="nil"/>
              <w:bottom w:val="nil"/>
              <w:right w:val="nil"/>
            </w:tcBorders>
            <w:shd w:val="clear" w:color="auto" w:fill="auto"/>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 xml:space="preserve">Pozostałe aktywa </w:t>
            </w:r>
          </w:p>
        </w:tc>
        <w:tc>
          <w:tcPr>
            <w:tcW w:w="0" w:type="auto"/>
            <w:tcBorders>
              <w:top w:val="nil"/>
              <w:left w:val="nil"/>
              <w:bottom w:val="nil"/>
              <w:right w:val="nil"/>
            </w:tcBorders>
            <w:shd w:val="clear" w:color="000000" w:fill="FFFFFF"/>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189</w:t>
            </w:r>
          </w:p>
        </w:tc>
        <w:tc>
          <w:tcPr>
            <w:tcW w:w="0" w:type="auto"/>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219</w:t>
            </w:r>
          </w:p>
        </w:tc>
      </w:tr>
      <w:tr w:rsidR="006431A7" w:rsidRPr="00F06708" w:rsidTr="006431A7">
        <w:trPr>
          <w:trHeight w:val="300"/>
        </w:trPr>
        <w:tc>
          <w:tcPr>
            <w:tcW w:w="0" w:type="auto"/>
            <w:tcBorders>
              <w:top w:val="nil"/>
              <w:left w:val="nil"/>
              <w:bottom w:val="nil"/>
              <w:right w:val="nil"/>
            </w:tcBorders>
            <w:shd w:val="clear" w:color="auto" w:fill="auto"/>
            <w:vAlign w:val="center"/>
            <w:hideMark/>
          </w:tcPr>
          <w:p w:rsidR="006431A7" w:rsidRPr="00F06708" w:rsidRDefault="006431A7">
            <w:pPr>
              <w:rPr>
                <w:rFonts w:ascii="Arial" w:hAnsi="Arial" w:cs="Arial"/>
                <w:b/>
                <w:bCs/>
                <w:color w:val="000000"/>
                <w:sz w:val="16"/>
                <w:szCs w:val="16"/>
              </w:rPr>
            </w:pPr>
            <w:r w:rsidRPr="00F06708">
              <w:rPr>
                <w:rFonts w:ascii="Arial" w:hAnsi="Arial" w:cs="Arial"/>
                <w:b/>
                <w:bCs/>
                <w:color w:val="000000"/>
                <w:sz w:val="16"/>
                <w:szCs w:val="16"/>
              </w:rPr>
              <w:t>Aktywa obrotowe</w:t>
            </w:r>
          </w:p>
        </w:tc>
        <w:tc>
          <w:tcPr>
            <w:tcW w:w="0" w:type="auto"/>
            <w:tcBorders>
              <w:top w:val="nil"/>
              <w:left w:val="nil"/>
              <w:bottom w:val="nil"/>
              <w:right w:val="nil"/>
            </w:tcBorders>
            <w:shd w:val="clear" w:color="000000" w:fill="FFFFFF"/>
            <w:noWrap/>
            <w:vAlign w:val="center"/>
            <w:hideMark/>
          </w:tcPr>
          <w:p w:rsidR="006431A7" w:rsidRPr="00F06708" w:rsidRDefault="006431A7">
            <w:pPr>
              <w:jc w:val="right"/>
              <w:rPr>
                <w:rFonts w:ascii="Arial" w:hAnsi="Arial" w:cs="Arial"/>
                <w:b/>
                <w:bCs/>
                <w:color w:val="000000"/>
                <w:sz w:val="16"/>
                <w:szCs w:val="16"/>
              </w:rPr>
            </w:pPr>
            <w:r w:rsidRPr="00F06708">
              <w:rPr>
                <w:rFonts w:ascii="Arial" w:hAnsi="Arial" w:cs="Arial"/>
                <w:b/>
                <w:bCs/>
                <w:color w:val="000000"/>
                <w:sz w:val="16"/>
                <w:szCs w:val="16"/>
              </w:rPr>
              <w:t>14 754</w:t>
            </w:r>
          </w:p>
        </w:tc>
        <w:tc>
          <w:tcPr>
            <w:tcW w:w="0" w:type="auto"/>
            <w:tcBorders>
              <w:top w:val="nil"/>
              <w:left w:val="nil"/>
              <w:bottom w:val="nil"/>
              <w:right w:val="nil"/>
            </w:tcBorders>
            <w:shd w:val="clear" w:color="000000" w:fill="FFFFFF"/>
            <w:noWrap/>
            <w:vAlign w:val="center"/>
            <w:hideMark/>
          </w:tcPr>
          <w:p w:rsidR="006431A7" w:rsidRPr="00F06708" w:rsidRDefault="006431A7">
            <w:pPr>
              <w:jc w:val="right"/>
              <w:rPr>
                <w:rFonts w:ascii="Arial" w:hAnsi="Arial" w:cs="Arial"/>
                <w:b/>
                <w:bCs/>
                <w:color w:val="000000"/>
                <w:sz w:val="16"/>
                <w:szCs w:val="16"/>
              </w:rPr>
            </w:pPr>
            <w:r w:rsidRPr="00F06708">
              <w:rPr>
                <w:rFonts w:ascii="Arial" w:hAnsi="Arial" w:cs="Arial"/>
                <w:b/>
                <w:bCs/>
                <w:color w:val="000000"/>
                <w:sz w:val="16"/>
                <w:szCs w:val="16"/>
              </w:rPr>
              <w:t>2 973</w:t>
            </w:r>
          </w:p>
        </w:tc>
      </w:tr>
      <w:tr w:rsidR="006431A7" w:rsidRPr="00F06708" w:rsidTr="006431A7">
        <w:trPr>
          <w:trHeight w:val="285"/>
        </w:trPr>
        <w:tc>
          <w:tcPr>
            <w:tcW w:w="0" w:type="auto"/>
            <w:tcBorders>
              <w:top w:val="nil"/>
              <w:left w:val="nil"/>
              <w:bottom w:val="nil"/>
              <w:right w:val="nil"/>
            </w:tcBorders>
            <w:shd w:val="clear" w:color="auto" w:fill="auto"/>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Zapasy</w:t>
            </w:r>
          </w:p>
        </w:tc>
        <w:tc>
          <w:tcPr>
            <w:tcW w:w="0" w:type="auto"/>
            <w:tcBorders>
              <w:top w:val="nil"/>
              <w:left w:val="nil"/>
              <w:bottom w:val="nil"/>
              <w:right w:val="nil"/>
            </w:tcBorders>
            <w:shd w:val="clear" w:color="auto" w:fill="auto"/>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332</w:t>
            </w:r>
          </w:p>
        </w:tc>
        <w:tc>
          <w:tcPr>
            <w:tcW w:w="0" w:type="auto"/>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217</w:t>
            </w:r>
          </w:p>
        </w:tc>
      </w:tr>
      <w:tr w:rsidR="006431A7" w:rsidRPr="00F06708" w:rsidTr="006431A7">
        <w:trPr>
          <w:trHeight w:val="285"/>
        </w:trPr>
        <w:tc>
          <w:tcPr>
            <w:tcW w:w="0" w:type="auto"/>
            <w:tcBorders>
              <w:top w:val="nil"/>
              <w:left w:val="nil"/>
              <w:bottom w:val="nil"/>
              <w:right w:val="nil"/>
            </w:tcBorders>
            <w:shd w:val="clear" w:color="auto" w:fill="auto"/>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 xml:space="preserve">Należności z tytułu bieżącego podatku dochodowego </w:t>
            </w:r>
          </w:p>
        </w:tc>
        <w:tc>
          <w:tcPr>
            <w:tcW w:w="0" w:type="auto"/>
            <w:tcBorders>
              <w:top w:val="nil"/>
              <w:left w:val="nil"/>
              <w:bottom w:val="nil"/>
              <w:right w:val="nil"/>
            </w:tcBorders>
            <w:shd w:val="clear" w:color="auto" w:fill="auto"/>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35</w:t>
            </w:r>
          </w:p>
        </w:tc>
        <w:tc>
          <w:tcPr>
            <w:tcW w:w="0" w:type="auto"/>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 xml:space="preserve"> -</w:t>
            </w:r>
          </w:p>
        </w:tc>
      </w:tr>
      <w:tr w:rsidR="006431A7" w:rsidRPr="00F06708" w:rsidTr="006431A7">
        <w:trPr>
          <w:trHeight w:val="285"/>
        </w:trPr>
        <w:tc>
          <w:tcPr>
            <w:tcW w:w="0" w:type="auto"/>
            <w:tcBorders>
              <w:top w:val="nil"/>
              <w:left w:val="nil"/>
              <w:bottom w:val="nil"/>
              <w:right w:val="nil"/>
            </w:tcBorders>
            <w:shd w:val="clear" w:color="auto" w:fill="auto"/>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Aktywa finansowe wyceniane w zamortyzowanym koszcie</w:t>
            </w:r>
          </w:p>
        </w:tc>
        <w:tc>
          <w:tcPr>
            <w:tcW w:w="0" w:type="auto"/>
            <w:tcBorders>
              <w:top w:val="nil"/>
              <w:left w:val="nil"/>
              <w:bottom w:val="nil"/>
              <w:right w:val="nil"/>
            </w:tcBorders>
            <w:shd w:val="clear" w:color="auto" w:fill="auto"/>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1 223</w:t>
            </w:r>
          </w:p>
        </w:tc>
        <w:tc>
          <w:tcPr>
            <w:tcW w:w="0" w:type="auto"/>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107</w:t>
            </w:r>
          </w:p>
        </w:tc>
      </w:tr>
      <w:tr w:rsidR="006431A7" w:rsidRPr="00F06708" w:rsidTr="006431A7">
        <w:trPr>
          <w:trHeight w:val="285"/>
        </w:trPr>
        <w:tc>
          <w:tcPr>
            <w:tcW w:w="0" w:type="auto"/>
            <w:tcBorders>
              <w:top w:val="nil"/>
              <w:left w:val="nil"/>
              <w:bottom w:val="nil"/>
              <w:right w:val="nil"/>
            </w:tcBorders>
            <w:shd w:val="clear" w:color="auto" w:fill="auto"/>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Pozostałe aktywa</w:t>
            </w:r>
          </w:p>
        </w:tc>
        <w:tc>
          <w:tcPr>
            <w:tcW w:w="0" w:type="auto"/>
            <w:tcBorders>
              <w:top w:val="nil"/>
              <w:left w:val="nil"/>
              <w:bottom w:val="nil"/>
              <w:right w:val="nil"/>
            </w:tcBorders>
            <w:shd w:val="clear" w:color="000000" w:fill="FFFFFF"/>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3 462</w:t>
            </w:r>
          </w:p>
        </w:tc>
        <w:tc>
          <w:tcPr>
            <w:tcW w:w="0" w:type="auto"/>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1 293</w:t>
            </w:r>
          </w:p>
        </w:tc>
      </w:tr>
      <w:tr w:rsidR="006431A7" w:rsidRPr="00F06708" w:rsidTr="006431A7">
        <w:trPr>
          <w:trHeight w:val="285"/>
        </w:trPr>
        <w:tc>
          <w:tcPr>
            <w:tcW w:w="0" w:type="auto"/>
            <w:tcBorders>
              <w:top w:val="nil"/>
              <w:left w:val="nil"/>
              <w:bottom w:val="nil"/>
              <w:right w:val="nil"/>
            </w:tcBorders>
            <w:shd w:val="clear" w:color="auto" w:fill="auto"/>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Środki pieniężne i ich ekwiwalenty</w:t>
            </w:r>
          </w:p>
        </w:tc>
        <w:tc>
          <w:tcPr>
            <w:tcW w:w="0" w:type="auto"/>
            <w:tcBorders>
              <w:top w:val="nil"/>
              <w:left w:val="nil"/>
              <w:bottom w:val="nil"/>
              <w:right w:val="nil"/>
            </w:tcBorders>
            <w:shd w:val="clear" w:color="000000" w:fill="FFFFFF"/>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9 702</w:t>
            </w:r>
          </w:p>
        </w:tc>
        <w:tc>
          <w:tcPr>
            <w:tcW w:w="0" w:type="auto"/>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1 356</w:t>
            </w:r>
          </w:p>
        </w:tc>
      </w:tr>
      <w:tr w:rsidR="006431A7" w:rsidRPr="00F06708" w:rsidTr="006431A7">
        <w:trPr>
          <w:trHeight w:val="465"/>
        </w:trPr>
        <w:tc>
          <w:tcPr>
            <w:tcW w:w="0" w:type="auto"/>
            <w:tcBorders>
              <w:top w:val="nil"/>
              <w:left w:val="nil"/>
              <w:bottom w:val="nil"/>
              <w:right w:val="nil"/>
            </w:tcBorders>
            <w:shd w:val="clear" w:color="auto" w:fill="auto"/>
            <w:vAlign w:val="center"/>
            <w:hideMark/>
          </w:tcPr>
          <w:p w:rsidR="006431A7" w:rsidRPr="00F06708" w:rsidRDefault="006431A7">
            <w:pPr>
              <w:rPr>
                <w:rFonts w:ascii="Arial" w:hAnsi="Arial" w:cs="Arial"/>
                <w:b/>
                <w:bCs/>
                <w:color w:val="000000"/>
                <w:sz w:val="16"/>
                <w:szCs w:val="16"/>
              </w:rPr>
            </w:pPr>
            <w:r w:rsidRPr="00F06708">
              <w:rPr>
                <w:rFonts w:ascii="Arial" w:hAnsi="Arial" w:cs="Arial"/>
                <w:b/>
                <w:bCs/>
                <w:color w:val="000000"/>
                <w:sz w:val="16"/>
                <w:szCs w:val="16"/>
              </w:rPr>
              <w:t xml:space="preserve">Aktywa trwałe przeznaczone do sprzedaży oraz aktywa wchodzące w skład grupy do zbycia </w:t>
            </w:r>
          </w:p>
        </w:tc>
        <w:tc>
          <w:tcPr>
            <w:tcW w:w="0" w:type="auto"/>
            <w:tcBorders>
              <w:top w:val="nil"/>
              <w:left w:val="nil"/>
              <w:bottom w:val="nil"/>
              <w:right w:val="nil"/>
            </w:tcBorders>
            <w:shd w:val="clear" w:color="000000" w:fill="FFFFFF"/>
            <w:noWrap/>
            <w:vAlign w:val="center"/>
            <w:hideMark/>
          </w:tcPr>
          <w:p w:rsidR="006431A7" w:rsidRPr="00F06708" w:rsidRDefault="006431A7">
            <w:pPr>
              <w:jc w:val="right"/>
              <w:rPr>
                <w:rFonts w:ascii="Arial" w:hAnsi="Arial" w:cs="Arial"/>
                <w:b/>
                <w:bCs/>
                <w:color w:val="000000"/>
                <w:sz w:val="16"/>
                <w:szCs w:val="16"/>
              </w:rPr>
            </w:pPr>
            <w:r w:rsidRPr="00F06708">
              <w:rPr>
                <w:rFonts w:ascii="Arial" w:hAnsi="Arial" w:cs="Arial"/>
                <w:b/>
                <w:bCs/>
                <w:color w:val="000000"/>
                <w:sz w:val="16"/>
                <w:szCs w:val="16"/>
              </w:rPr>
              <w:t>2 245</w:t>
            </w:r>
          </w:p>
        </w:tc>
        <w:tc>
          <w:tcPr>
            <w:tcW w:w="0" w:type="auto"/>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 xml:space="preserve"> -</w:t>
            </w:r>
          </w:p>
        </w:tc>
      </w:tr>
      <w:tr w:rsidR="006431A7" w:rsidRPr="00F06708" w:rsidTr="006431A7">
        <w:trPr>
          <w:trHeight w:val="315"/>
        </w:trPr>
        <w:tc>
          <w:tcPr>
            <w:tcW w:w="0" w:type="auto"/>
            <w:tcBorders>
              <w:top w:val="nil"/>
              <w:left w:val="nil"/>
              <w:bottom w:val="nil"/>
              <w:right w:val="nil"/>
            </w:tcBorders>
            <w:shd w:val="clear" w:color="auto" w:fill="auto"/>
            <w:vAlign w:val="center"/>
            <w:hideMark/>
          </w:tcPr>
          <w:p w:rsidR="006431A7" w:rsidRPr="00F06708" w:rsidRDefault="006431A7">
            <w:pPr>
              <w:rPr>
                <w:rFonts w:ascii="Arial" w:hAnsi="Arial" w:cs="Arial"/>
                <w:b/>
                <w:bCs/>
                <w:color w:val="000000"/>
                <w:sz w:val="16"/>
                <w:szCs w:val="16"/>
              </w:rPr>
            </w:pPr>
            <w:r w:rsidRPr="00F06708">
              <w:rPr>
                <w:rFonts w:ascii="Arial" w:hAnsi="Arial" w:cs="Arial"/>
                <w:b/>
                <w:bCs/>
                <w:color w:val="000000"/>
                <w:sz w:val="16"/>
                <w:szCs w:val="16"/>
              </w:rPr>
              <w:t>RAZEM AKTYWA</w:t>
            </w:r>
          </w:p>
        </w:tc>
        <w:tc>
          <w:tcPr>
            <w:tcW w:w="0" w:type="auto"/>
            <w:tcBorders>
              <w:top w:val="single" w:sz="8" w:space="0" w:color="auto"/>
              <w:left w:val="nil"/>
              <w:bottom w:val="single" w:sz="8" w:space="0" w:color="auto"/>
              <w:right w:val="nil"/>
            </w:tcBorders>
            <w:shd w:val="clear" w:color="000000" w:fill="FFFFFF"/>
            <w:noWrap/>
            <w:vAlign w:val="center"/>
            <w:hideMark/>
          </w:tcPr>
          <w:p w:rsidR="006431A7" w:rsidRPr="00F06708" w:rsidRDefault="006431A7">
            <w:pPr>
              <w:jc w:val="right"/>
              <w:rPr>
                <w:rFonts w:ascii="Arial" w:hAnsi="Arial" w:cs="Arial"/>
                <w:b/>
                <w:bCs/>
                <w:color w:val="000000"/>
                <w:sz w:val="16"/>
                <w:szCs w:val="16"/>
              </w:rPr>
            </w:pPr>
            <w:r w:rsidRPr="00F06708">
              <w:rPr>
                <w:rFonts w:ascii="Arial" w:hAnsi="Arial" w:cs="Arial"/>
                <w:b/>
                <w:bCs/>
                <w:color w:val="000000"/>
                <w:sz w:val="16"/>
                <w:szCs w:val="16"/>
              </w:rPr>
              <w:t>188 104</w:t>
            </w:r>
          </w:p>
        </w:tc>
        <w:tc>
          <w:tcPr>
            <w:tcW w:w="0" w:type="auto"/>
            <w:tcBorders>
              <w:top w:val="single" w:sz="8" w:space="0" w:color="auto"/>
              <w:left w:val="nil"/>
              <w:bottom w:val="single" w:sz="8" w:space="0" w:color="auto"/>
              <w:right w:val="nil"/>
            </w:tcBorders>
            <w:shd w:val="clear" w:color="000000" w:fill="FFFFFF"/>
            <w:noWrap/>
            <w:vAlign w:val="center"/>
            <w:hideMark/>
          </w:tcPr>
          <w:p w:rsidR="006431A7" w:rsidRPr="00F06708" w:rsidRDefault="006431A7">
            <w:pPr>
              <w:jc w:val="right"/>
              <w:rPr>
                <w:rFonts w:ascii="Arial" w:hAnsi="Arial" w:cs="Arial"/>
                <w:b/>
                <w:bCs/>
                <w:color w:val="000000"/>
                <w:sz w:val="16"/>
                <w:szCs w:val="16"/>
              </w:rPr>
            </w:pPr>
            <w:r w:rsidRPr="00F06708">
              <w:rPr>
                <w:rFonts w:ascii="Arial" w:hAnsi="Arial" w:cs="Arial"/>
                <w:b/>
                <w:bCs/>
                <w:color w:val="000000"/>
                <w:sz w:val="16"/>
                <w:szCs w:val="16"/>
              </w:rPr>
              <w:t>170 167</w:t>
            </w:r>
          </w:p>
        </w:tc>
      </w:tr>
      <w:tr w:rsidR="006431A7" w:rsidRPr="00F06708" w:rsidTr="006431A7">
        <w:trPr>
          <w:trHeight w:val="300"/>
        </w:trPr>
        <w:tc>
          <w:tcPr>
            <w:tcW w:w="0" w:type="auto"/>
            <w:tcBorders>
              <w:top w:val="nil"/>
              <w:left w:val="nil"/>
              <w:bottom w:val="nil"/>
              <w:right w:val="nil"/>
            </w:tcBorders>
            <w:shd w:val="clear" w:color="auto" w:fill="auto"/>
            <w:vAlign w:val="bottom"/>
            <w:hideMark/>
          </w:tcPr>
          <w:p w:rsidR="006431A7" w:rsidRPr="00F06708" w:rsidRDefault="006431A7">
            <w:pPr>
              <w:rPr>
                <w:color w:val="000000"/>
                <w:sz w:val="16"/>
                <w:szCs w:val="16"/>
              </w:rPr>
            </w:pPr>
          </w:p>
        </w:tc>
        <w:tc>
          <w:tcPr>
            <w:tcW w:w="0" w:type="auto"/>
            <w:tcBorders>
              <w:top w:val="nil"/>
              <w:left w:val="nil"/>
              <w:bottom w:val="nil"/>
              <w:right w:val="nil"/>
            </w:tcBorders>
            <w:shd w:val="clear" w:color="auto" w:fill="auto"/>
            <w:noWrap/>
            <w:vAlign w:val="bottom"/>
            <w:hideMark/>
          </w:tcPr>
          <w:p w:rsidR="006431A7" w:rsidRPr="00F06708" w:rsidRDefault="006431A7">
            <w:pPr>
              <w:rPr>
                <w:color w:val="000000"/>
                <w:sz w:val="16"/>
                <w:szCs w:val="16"/>
              </w:rPr>
            </w:pPr>
          </w:p>
        </w:tc>
        <w:tc>
          <w:tcPr>
            <w:tcW w:w="0" w:type="auto"/>
            <w:tcBorders>
              <w:top w:val="nil"/>
              <w:left w:val="nil"/>
              <w:bottom w:val="nil"/>
              <w:right w:val="nil"/>
            </w:tcBorders>
            <w:shd w:val="clear" w:color="auto" w:fill="auto"/>
            <w:noWrap/>
            <w:vAlign w:val="bottom"/>
            <w:hideMark/>
          </w:tcPr>
          <w:p w:rsidR="006431A7" w:rsidRPr="00F06708" w:rsidRDefault="006431A7">
            <w:pPr>
              <w:rPr>
                <w:color w:val="000000"/>
                <w:sz w:val="16"/>
                <w:szCs w:val="16"/>
              </w:rPr>
            </w:pPr>
          </w:p>
        </w:tc>
      </w:tr>
      <w:tr w:rsidR="006431A7" w:rsidRPr="00F06708" w:rsidTr="006431A7">
        <w:trPr>
          <w:trHeight w:val="300"/>
        </w:trPr>
        <w:tc>
          <w:tcPr>
            <w:tcW w:w="0" w:type="auto"/>
            <w:tcBorders>
              <w:top w:val="nil"/>
              <w:left w:val="nil"/>
              <w:bottom w:val="nil"/>
              <w:right w:val="nil"/>
            </w:tcBorders>
            <w:shd w:val="clear" w:color="auto" w:fill="auto"/>
            <w:vAlign w:val="center"/>
            <w:hideMark/>
          </w:tcPr>
          <w:p w:rsidR="006431A7" w:rsidRPr="00F06708" w:rsidRDefault="006431A7">
            <w:pPr>
              <w:rPr>
                <w:rFonts w:ascii="Arial" w:hAnsi="Arial" w:cs="Arial"/>
                <w:b/>
                <w:bCs/>
                <w:color w:val="000000"/>
                <w:sz w:val="16"/>
                <w:szCs w:val="16"/>
              </w:rPr>
            </w:pPr>
            <w:r w:rsidRPr="00F06708">
              <w:rPr>
                <w:rFonts w:ascii="Arial" w:hAnsi="Arial" w:cs="Arial"/>
                <w:b/>
                <w:bCs/>
                <w:color w:val="000000"/>
                <w:sz w:val="16"/>
                <w:szCs w:val="16"/>
              </w:rPr>
              <w:t>Pasywa</w:t>
            </w:r>
          </w:p>
        </w:tc>
        <w:tc>
          <w:tcPr>
            <w:tcW w:w="0" w:type="auto"/>
            <w:tcBorders>
              <w:top w:val="nil"/>
              <w:left w:val="nil"/>
              <w:bottom w:val="nil"/>
              <w:right w:val="nil"/>
            </w:tcBorders>
            <w:shd w:val="clear" w:color="000000" w:fill="FFFFFF"/>
            <w:noWrap/>
            <w:vAlign w:val="center"/>
            <w:hideMark/>
          </w:tcPr>
          <w:p w:rsidR="006431A7" w:rsidRPr="00F06708" w:rsidRDefault="006431A7">
            <w:pPr>
              <w:rPr>
                <w:rFonts w:ascii="Arial" w:hAnsi="Arial" w:cs="Arial"/>
                <w:b/>
                <w:bCs/>
                <w:color w:val="000000"/>
                <w:sz w:val="16"/>
                <w:szCs w:val="16"/>
              </w:rPr>
            </w:pPr>
            <w:r w:rsidRPr="00F06708">
              <w:rPr>
                <w:rFonts w:ascii="Arial" w:hAnsi="Arial" w:cs="Arial"/>
                <w:b/>
                <w:bCs/>
                <w:color w:val="000000"/>
                <w:sz w:val="16"/>
                <w:szCs w:val="16"/>
              </w:rPr>
              <w:t> </w:t>
            </w:r>
          </w:p>
        </w:tc>
        <w:tc>
          <w:tcPr>
            <w:tcW w:w="0" w:type="auto"/>
            <w:tcBorders>
              <w:top w:val="nil"/>
              <w:left w:val="nil"/>
              <w:bottom w:val="nil"/>
              <w:right w:val="nil"/>
            </w:tcBorders>
            <w:shd w:val="clear" w:color="000000" w:fill="FFFFFF"/>
            <w:noWrap/>
            <w:vAlign w:val="center"/>
            <w:hideMark/>
          </w:tcPr>
          <w:p w:rsidR="006431A7" w:rsidRPr="00F06708" w:rsidRDefault="006431A7">
            <w:pPr>
              <w:rPr>
                <w:rFonts w:ascii="Arial" w:hAnsi="Arial" w:cs="Arial"/>
                <w:b/>
                <w:bCs/>
                <w:color w:val="000000"/>
                <w:sz w:val="16"/>
                <w:szCs w:val="16"/>
              </w:rPr>
            </w:pPr>
            <w:r w:rsidRPr="00F06708">
              <w:rPr>
                <w:rFonts w:ascii="Arial" w:hAnsi="Arial" w:cs="Arial"/>
                <w:b/>
                <w:bCs/>
                <w:color w:val="000000"/>
                <w:sz w:val="16"/>
                <w:szCs w:val="16"/>
              </w:rPr>
              <w:t> </w:t>
            </w:r>
          </w:p>
        </w:tc>
      </w:tr>
      <w:tr w:rsidR="006431A7" w:rsidRPr="00F06708" w:rsidTr="006431A7">
        <w:trPr>
          <w:trHeight w:val="300"/>
        </w:trPr>
        <w:tc>
          <w:tcPr>
            <w:tcW w:w="0" w:type="auto"/>
            <w:tcBorders>
              <w:top w:val="nil"/>
              <w:left w:val="nil"/>
              <w:bottom w:val="nil"/>
              <w:right w:val="nil"/>
            </w:tcBorders>
            <w:shd w:val="clear" w:color="auto" w:fill="auto"/>
            <w:vAlign w:val="center"/>
            <w:hideMark/>
          </w:tcPr>
          <w:p w:rsidR="006431A7" w:rsidRPr="00F06708" w:rsidRDefault="006431A7">
            <w:pPr>
              <w:rPr>
                <w:rFonts w:ascii="Arial" w:hAnsi="Arial" w:cs="Arial"/>
                <w:b/>
                <w:bCs/>
                <w:color w:val="000000"/>
                <w:sz w:val="16"/>
                <w:szCs w:val="16"/>
              </w:rPr>
            </w:pPr>
            <w:r w:rsidRPr="00F06708">
              <w:rPr>
                <w:rFonts w:ascii="Arial" w:hAnsi="Arial" w:cs="Arial"/>
                <w:b/>
                <w:bCs/>
                <w:color w:val="000000"/>
                <w:sz w:val="16"/>
                <w:szCs w:val="16"/>
              </w:rPr>
              <w:t>KAPITAŁ WŁASNY</w:t>
            </w:r>
          </w:p>
        </w:tc>
        <w:tc>
          <w:tcPr>
            <w:tcW w:w="0" w:type="auto"/>
            <w:tcBorders>
              <w:top w:val="nil"/>
              <w:left w:val="nil"/>
              <w:bottom w:val="nil"/>
              <w:right w:val="nil"/>
            </w:tcBorders>
            <w:shd w:val="clear" w:color="000000" w:fill="FFFFFF"/>
            <w:noWrap/>
            <w:vAlign w:val="center"/>
            <w:hideMark/>
          </w:tcPr>
          <w:p w:rsidR="006431A7" w:rsidRPr="00F06708" w:rsidRDefault="006431A7">
            <w:pPr>
              <w:jc w:val="right"/>
              <w:rPr>
                <w:rFonts w:ascii="Arial" w:hAnsi="Arial" w:cs="Arial"/>
                <w:b/>
                <w:bCs/>
                <w:color w:val="000000"/>
                <w:sz w:val="16"/>
                <w:szCs w:val="16"/>
              </w:rPr>
            </w:pPr>
            <w:r w:rsidRPr="00F06708">
              <w:rPr>
                <w:rFonts w:ascii="Arial" w:hAnsi="Arial" w:cs="Arial"/>
                <w:b/>
                <w:bCs/>
                <w:color w:val="000000"/>
                <w:sz w:val="16"/>
                <w:szCs w:val="16"/>
              </w:rPr>
              <w:t>124 124</w:t>
            </w:r>
          </w:p>
        </w:tc>
        <w:tc>
          <w:tcPr>
            <w:tcW w:w="0" w:type="auto"/>
            <w:tcBorders>
              <w:top w:val="nil"/>
              <w:left w:val="nil"/>
              <w:bottom w:val="nil"/>
              <w:right w:val="nil"/>
            </w:tcBorders>
            <w:shd w:val="clear" w:color="000000" w:fill="FFFFFF"/>
            <w:noWrap/>
            <w:vAlign w:val="center"/>
            <w:hideMark/>
          </w:tcPr>
          <w:p w:rsidR="006431A7" w:rsidRPr="00F06708" w:rsidRDefault="006431A7">
            <w:pPr>
              <w:jc w:val="right"/>
              <w:rPr>
                <w:rFonts w:ascii="Arial" w:hAnsi="Arial" w:cs="Arial"/>
                <w:b/>
                <w:bCs/>
                <w:color w:val="000000"/>
                <w:sz w:val="16"/>
                <w:szCs w:val="16"/>
              </w:rPr>
            </w:pPr>
            <w:r w:rsidRPr="00F06708">
              <w:rPr>
                <w:rFonts w:ascii="Arial" w:hAnsi="Arial" w:cs="Arial"/>
                <w:b/>
                <w:bCs/>
                <w:color w:val="000000"/>
                <w:sz w:val="16"/>
                <w:szCs w:val="16"/>
              </w:rPr>
              <w:t>120 792</w:t>
            </w:r>
          </w:p>
        </w:tc>
      </w:tr>
      <w:tr w:rsidR="006431A7" w:rsidRPr="00F06708" w:rsidTr="006431A7">
        <w:trPr>
          <w:trHeight w:val="330"/>
        </w:trPr>
        <w:tc>
          <w:tcPr>
            <w:tcW w:w="0" w:type="auto"/>
            <w:tcBorders>
              <w:top w:val="nil"/>
              <w:left w:val="nil"/>
              <w:bottom w:val="nil"/>
              <w:right w:val="nil"/>
            </w:tcBorders>
            <w:shd w:val="clear" w:color="auto" w:fill="auto"/>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 xml:space="preserve">Kapitał akcyjny/podstawowy </w:t>
            </w:r>
          </w:p>
        </w:tc>
        <w:tc>
          <w:tcPr>
            <w:tcW w:w="0" w:type="auto"/>
            <w:tcBorders>
              <w:top w:val="nil"/>
              <w:left w:val="nil"/>
              <w:bottom w:val="nil"/>
              <w:right w:val="nil"/>
            </w:tcBorders>
            <w:shd w:val="clear" w:color="auto" w:fill="auto"/>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72 821</w:t>
            </w:r>
          </w:p>
        </w:tc>
        <w:tc>
          <w:tcPr>
            <w:tcW w:w="0" w:type="auto"/>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72 821</w:t>
            </w:r>
          </w:p>
        </w:tc>
      </w:tr>
      <w:tr w:rsidR="006431A7" w:rsidRPr="00F06708" w:rsidTr="006431A7">
        <w:trPr>
          <w:trHeight w:val="330"/>
        </w:trPr>
        <w:tc>
          <w:tcPr>
            <w:tcW w:w="0" w:type="auto"/>
            <w:tcBorders>
              <w:top w:val="nil"/>
              <w:left w:val="nil"/>
              <w:bottom w:val="nil"/>
              <w:right w:val="nil"/>
            </w:tcBorders>
            <w:shd w:val="clear" w:color="auto" w:fill="auto"/>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Nadwyżka wartości emisyjnej nad wartością nominalną akcji</w:t>
            </w:r>
          </w:p>
        </w:tc>
        <w:tc>
          <w:tcPr>
            <w:tcW w:w="0" w:type="auto"/>
            <w:tcBorders>
              <w:top w:val="nil"/>
              <w:left w:val="nil"/>
              <w:bottom w:val="nil"/>
              <w:right w:val="nil"/>
            </w:tcBorders>
            <w:shd w:val="clear" w:color="auto" w:fill="auto"/>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3 873</w:t>
            </w:r>
          </w:p>
        </w:tc>
        <w:tc>
          <w:tcPr>
            <w:tcW w:w="0" w:type="auto"/>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3 873</w:t>
            </w:r>
          </w:p>
        </w:tc>
      </w:tr>
      <w:tr w:rsidR="006431A7" w:rsidRPr="00F06708" w:rsidTr="006431A7">
        <w:trPr>
          <w:trHeight w:val="330"/>
        </w:trPr>
        <w:tc>
          <w:tcPr>
            <w:tcW w:w="0" w:type="auto"/>
            <w:tcBorders>
              <w:top w:val="nil"/>
              <w:left w:val="nil"/>
              <w:bottom w:val="nil"/>
              <w:right w:val="nil"/>
            </w:tcBorders>
            <w:shd w:val="clear" w:color="auto" w:fill="auto"/>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Pozostałe elementy kapitału własnego</w:t>
            </w:r>
          </w:p>
        </w:tc>
        <w:tc>
          <w:tcPr>
            <w:tcW w:w="0" w:type="auto"/>
            <w:tcBorders>
              <w:top w:val="nil"/>
              <w:left w:val="nil"/>
              <w:bottom w:val="nil"/>
              <w:right w:val="nil"/>
            </w:tcBorders>
            <w:shd w:val="clear" w:color="auto" w:fill="auto"/>
            <w:vAlign w:val="center"/>
            <w:hideMark/>
          </w:tcPr>
          <w:p w:rsidR="006431A7" w:rsidRPr="00F06708" w:rsidRDefault="006431A7" w:rsidP="007C72C8">
            <w:pPr>
              <w:jc w:val="right"/>
              <w:rPr>
                <w:rFonts w:ascii="Arial" w:hAnsi="Arial" w:cs="Arial"/>
                <w:color w:val="000000"/>
                <w:sz w:val="16"/>
                <w:szCs w:val="16"/>
              </w:rPr>
            </w:pPr>
            <w:r w:rsidRPr="00F06708">
              <w:rPr>
                <w:rFonts w:ascii="Arial" w:hAnsi="Arial" w:cs="Arial"/>
                <w:color w:val="000000"/>
                <w:sz w:val="16"/>
                <w:szCs w:val="16"/>
              </w:rPr>
              <w:t>-8</w:t>
            </w:r>
            <w:r w:rsidR="007C72C8" w:rsidRPr="00F06708">
              <w:rPr>
                <w:rFonts w:ascii="Arial" w:hAnsi="Arial" w:cs="Arial"/>
                <w:color w:val="000000"/>
                <w:sz w:val="16"/>
                <w:szCs w:val="16"/>
              </w:rPr>
              <w:t>8</w:t>
            </w:r>
          </w:p>
        </w:tc>
        <w:tc>
          <w:tcPr>
            <w:tcW w:w="0" w:type="auto"/>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-88</w:t>
            </w:r>
          </w:p>
        </w:tc>
      </w:tr>
      <w:tr w:rsidR="006431A7" w:rsidRPr="00F06708" w:rsidTr="006431A7">
        <w:trPr>
          <w:trHeight w:val="330"/>
        </w:trPr>
        <w:tc>
          <w:tcPr>
            <w:tcW w:w="0" w:type="auto"/>
            <w:tcBorders>
              <w:top w:val="nil"/>
              <w:left w:val="nil"/>
              <w:bottom w:val="nil"/>
              <w:right w:val="nil"/>
            </w:tcBorders>
            <w:shd w:val="clear" w:color="auto" w:fill="auto"/>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 xml:space="preserve">Zyski zatrzymane  </w:t>
            </w:r>
          </w:p>
        </w:tc>
        <w:tc>
          <w:tcPr>
            <w:tcW w:w="0" w:type="auto"/>
            <w:tcBorders>
              <w:top w:val="nil"/>
              <w:left w:val="nil"/>
              <w:bottom w:val="nil"/>
              <w:right w:val="nil"/>
            </w:tcBorders>
            <w:shd w:val="clear" w:color="auto" w:fill="auto"/>
            <w:vAlign w:val="center"/>
            <w:hideMark/>
          </w:tcPr>
          <w:p w:rsidR="006431A7" w:rsidRPr="00F06708" w:rsidRDefault="006431A7" w:rsidP="000D373B">
            <w:pPr>
              <w:jc w:val="right"/>
              <w:rPr>
                <w:rFonts w:ascii="Arial" w:hAnsi="Arial" w:cs="Arial"/>
                <w:color w:val="000000"/>
                <w:sz w:val="16"/>
                <w:szCs w:val="16"/>
              </w:rPr>
            </w:pPr>
            <w:r w:rsidRPr="00F06708">
              <w:rPr>
                <w:rFonts w:ascii="Arial" w:hAnsi="Arial" w:cs="Arial"/>
                <w:color w:val="000000"/>
                <w:sz w:val="16"/>
                <w:szCs w:val="16"/>
              </w:rPr>
              <w:t>47 51</w:t>
            </w:r>
            <w:r w:rsidR="000D373B" w:rsidRPr="00F06708">
              <w:rPr>
                <w:rFonts w:ascii="Arial" w:hAnsi="Arial" w:cs="Arial"/>
                <w:color w:val="000000"/>
                <w:sz w:val="16"/>
                <w:szCs w:val="16"/>
              </w:rPr>
              <w:t>8</w:t>
            </w:r>
          </w:p>
        </w:tc>
        <w:tc>
          <w:tcPr>
            <w:tcW w:w="0" w:type="auto"/>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44 186</w:t>
            </w:r>
          </w:p>
        </w:tc>
      </w:tr>
      <w:tr w:rsidR="006431A7" w:rsidRPr="00F06708" w:rsidTr="006431A7">
        <w:trPr>
          <w:trHeight w:val="300"/>
        </w:trPr>
        <w:tc>
          <w:tcPr>
            <w:tcW w:w="0" w:type="auto"/>
            <w:tcBorders>
              <w:top w:val="nil"/>
              <w:left w:val="nil"/>
              <w:bottom w:val="nil"/>
              <w:right w:val="nil"/>
            </w:tcBorders>
            <w:shd w:val="clear" w:color="auto" w:fill="auto"/>
            <w:vAlign w:val="center"/>
            <w:hideMark/>
          </w:tcPr>
          <w:p w:rsidR="006431A7" w:rsidRPr="00F06708" w:rsidRDefault="006431A7">
            <w:pPr>
              <w:rPr>
                <w:rFonts w:ascii="Arial" w:hAnsi="Arial" w:cs="Arial"/>
                <w:b/>
                <w:bCs/>
                <w:color w:val="000000"/>
                <w:sz w:val="16"/>
                <w:szCs w:val="16"/>
              </w:rPr>
            </w:pPr>
            <w:r w:rsidRPr="00F06708">
              <w:rPr>
                <w:rFonts w:ascii="Arial" w:hAnsi="Arial" w:cs="Arial"/>
                <w:b/>
                <w:bCs/>
                <w:color w:val="000000"/>
                <w:sz w:val="16"/>
                <w:szCs w:val="16"/>
              </w:rPr>
              <w:t>ZOBOWIĄZANIA</w:t>
            </w:r>
          </w:p>
        </w:tc>
        <w:tc>
          <w:tcPr>
            <w:tcW w:w="0" w:type="auto"/>
            <w:tcBorders>
              <w:top w:val="nil"/>
              <w:left w:val="nil"/>
              <w:bottom w:val="nil"/>
              <w:right w:val="nil"/>
            </w:tcBorders>
            <w:shd w:val="clear" w:color="000000" w:fill="FFFFFF"/>
            <w:noWrap/>
            <w:vAlign w:val="center"/>
            <w:hideMark/>
          </w:tcPr>
          <w:p w:rsidR="006431A7" w:rsidRPr="00F06708" w:rsidRDefault="006431A7" w:rsidP="000D373B">
            <w:pPr>
              <w:jc w:val="right"/>
              <w:rPr>
                <w:rFonts w:ascii="Arial" w:hAnsi="Arial" w:cs="Arial"/>
                <w:b/>
                <w:bCs/>
                <w:color w:val="000000"/>
                <w:sz w:val="16"/>
                <w:szCs w:val="16"/>
              </w:rPr>
            </w:pPr>
            <w:r w:rsidRPr="00F06708">
              <w:rPr>
                <w:rFonts w:ascii="Arial" w:hAnsi="Arial" w:cs="Arial"/>
                <w:b/>
                <w:bCs/>
                <w:color w:val="000000"/>
                <w:sz w:val="16"/>
                <w:szCs w:val="16"/>
              </w:rPr>
              <w:t>63 77</w:t>
            </w:r>
            <w:r w:rsidR="000D373B" w:rsidRPr="00F06708">
              <w:rPr>
                <w:rFonts w:ascii="Arial" w:hAnsi="Arial" w:cs="Arial"/>
                <w:b/>
                <w:bCs/>
                <w:color w:val="000000"/>
                <w:sz w:val="16"/>
                <w:szCs w:val="16"/>
              </w:rPr>
              <w:t>0</w:t>
            </w:r>
          </w:p>
        </w:tc>
        <w:tc>
          <w:tcPr>
            <w:tcW w:w="0" w:type="auto"/>
            <w:tcBorders>
              <w:top w:val="nil"/>
              <w:left w:val="nil"/>
              <w:bottom w:val="nil"/>
              <w:right w:val="nil"/>
            </w:tcBorders>
            <w:shd w:val="clear" w:color="000000" w:fill="FFFFFF"/>
            <w:noWrap/>
            <w:vAlign w:val="center"/>
            <w:hideMark/>
          </w:tcPr>
          <w:p w:rsidR="006431A7" w:rsidRPr="00F06708" w:rsidRDefault="006431A7">
            <w:pPr>
              <w:jc w:val="right"/>
              <w:rPr>
                <w:rFonts w:ascii="Arial" w:hAnsi="Arial" w:cs="Arial"/>
                <w:b/>
                <w:bCs/>
                <w:color w:val="000000"/>
                <w:sz w:val="16"/>
                <w:szCs w:val="16"/>
              </w:rPr>
            </w:pPr>
            <w:r w:rsidRPr="00F06708">
              <w:rPr>
                <w:rFonts w:ascii="Arial" w:hAnsi="Arial" w:cs="Arial"/>
                <w:b/>
                <w:bCs/>
                <w:color w:val="000000"/>
                <w:sz w:val="16"/>
                <w:szCs w:val="16"/>
              </w:rPr>
              <w:t>49 375</w:t>
            </w:r>
          </w:p>
        </w:tc>
      </w:tr>
      <w:tr w:rsidR="006431A7" w:rsidRPr="00F06708" w:rsidTr="006431A7">
        <w:trPr>
          <w:trHeight w:val="300"/>
        </w:trPr>
        <w:tc>
          <w:tcPr>
            <w:tcW w:w="0" w:type="auto"/>
            <w:tcBorders>
              <w:top w:val="nil"/>
              <w:left w:val="nil"/>
              <w:bottom w:val="nil"/>
              <w:right w:val="nil"/>
            </w:tcBorders>
            <w:shd w:val="clear" w:color="auto" w:fill="auto"/>
            <w:vAlign w:val="center"/>
            <w:hideMark/>
          </w:tcPr>
          <w:p w:rsidR="006431A7" w:rsidRPr="00F06708" w:rsidRDefault="006431A7">
            <w:pPr>
              <w:rPr>
                <w:rFonts w:ascii="Arial" w:hAnsi="Arial" w:cs="Arial"/>
                <w:b/>
                <w:bCs/>
                <w:color w:val="000000"/>
                <w:sz w:val="16"/>
                <w:szCs w:val="16"/>
              </w:rPr>
            </w:pPr>
            <w:r w:rsidRPr="00F06708">
              <w:rPr>
                <w:rFonts w:ascii="Arial" w:hAnsi="Arial" w:cs="Arial"/>
                <w:b/>
                <w:bCs/>
                <w:color w:val="000000"/>
                <w:sz w:val="16"/>
                <w:szCs w:val="16"/>
              </w:rPr>
              <w:t>Zobowiązania długoterminowe</w:t>
            </w:r>
          </w:p>
        </w:tc>
        <w:tc>
          <w:tcPr>
            <w:tcW w:w="0" w:type="auto"/>
            <w:tcBorders>
              <w:top w:val="nil"/>
              <w:left w:val="nil"/>
              <w:bottom w:val="nil"/>
              <w:right w:val="nil"/>
            </w:tcBorders>
            <w:shd w:val="clear" w:color="000000" w:fill="FFFFFF"/>
            <w:noWrap/>
            <w:vAlign w:val="center"/>
            <w:hideMark/>
          </w:tcPr>
          <w:p w:rsidR="006431A7" w:rsidRPr="00F06708" w:rsidRDefault="006431A7">
            <w:pPr>
              <w:jc w:val="right"/>
              <w:rPr>
                <w:rFonts w:ascii="Arial" w:hAnsi="Arial" w:cs="Arial"/>
                <w:b/>
                <w:bCs/>
                <w:color w:val="000000"/>
                <w:sz w:val="16"/>
                <w:szCs w:val="16"/>
              </w:rPr>
            </w:pPr>
            <w:r w:rsidRPr="00F06708">
              <w:rPr>
                <w:rFonts w:ascii="Arial" w:hAnsi="Arial" w:cs="Arial"/>
                <w:b/>
                <w:bCs/>
                <w:color w:val="000000"/>
                <w:sz w:val="16"/>
                <w:szCs w:val="16"/>
              </w:rPr>
              <w:t>44 304</w:t>
            </w:r>
          </w:p>
        </w:tc>
        <w:tc>
          <w:tcPr>
            <w:tcW w:w="0" w:type="auto"/>
            <w:tcBorders>
              <w:top w:val="nil"/>
              <w:left w:val="nil"/>
              <w:bottom w:val="nil"/>
              <w:right w:val="nil"/>
            </w:tcBorders>
            <w:shd w:val="clear" w:color="000000" w:fill="FFFFFF"/>
            <w:noWrap/>
            <w:vAlign w:val="center"/>
            <w:hideMark/>
          </w:tcPr>
          <w:p w:rsidR="006431A7" w:rsidRPr="00F06708" w:rsidRDefault="006431A7">
            <w:pPr>
              <w:jc w:val="right"/>
              <w:rPr>
                <w:rFonts w:ascii="Arial" w:hAnsi="Arial" w:cs="Arial"/>
                <w:b/>
                <w:bCs/>
                <w:color w:val="000000"/>
                <w:sz w:val="16"/>
                <w:szCs w:val="16"/>
              </w:rPr>
            </w:pPr>
            <w:r w:rsidRPr="00F06708">
              <w:rPr>
                <w:rFonts w:ascii="Arial" w:hAnsi="Arial" w:cs="Arial"/>
                <w:b/>
                <w:bCs/>
                <w:color w:val="000000"/>
                <w:sz w:val="16"/>
                <w:szCs w:val="16"/>
              </w:rPr>
              <w:t>29 994</w:t>
            </w:r>
          </w:p>
        </w:tc>
      </w:tr>
      <w:tr w:rsidR="006431A7" w:rsidRPr="00F06708" w:rsidTr="006431A7">
        <w:trPr>
          <w:trHeight w:val="450"/>
        </w:trPr>
        <w:tc>
          <w:tcPr>
            <w:tcW w:w="0" w:type="auto"/>
            <w:tcBorders>
              <w:top w:val="nil"/>
              <w:left w:val="nil"/>
              <w:bottom w:val="nil"/>
              <w:right w:val="nil"/>
            </w:tcBorders>
            <w:shd w:val="clear" w:color="auto" w:fill="auto"/>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Zobowiązania z tytułu dostaw i usług oraz pozostałe zobowiązania</w:t>
            </w:r>
          </w:p>
        </w:tc>
        <w:tc>
          <w:tcPr>
            <w:tcW w:w="0" w:type="auto"/>
            <w:tcBorders>
              <w:top w:val="nil"/>
              <w:left w:val="nil"/>
              <w:bottom w:val="nil"/>
              <w:right w:val="nil"/>
            </w:tcBorders>
            <w:shd w:val="clear" w:color="auto" w:fill="auto"/>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36</w:t>
            </w:r>
          </w:p>
        </w:tc>
        <w:tc>
          <w:tcPr>
            <w:tcW w:w="0" w:type="auto"/>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29</w:t>
            </w:r>
          </w:p>
        </w:tc>
      </w:tr>
      <w:tr w:rsidR="006431A7" w:rsidRPr="00F06708" w:rsidTr="006431A7">
        <w:trPr>
          <w:trHeight w:val="330"/>
        </w:trPr>
        <w:tc>
          <w:tcPr>
            <w:tcW w:w="0" w:type="auto"/>
            <w:tcBorders>
              <w:top w:val="nil"/>
              <w:left w:val="nil"/>
              <w:bottom w:val="nil"/>
              <w:right w:val="nil"/>
            </w:tcBorders>
            <w:shd w:val="clear" w:color="auto" w:fill="auto"/>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Kredyty, pożyczki i inne źródła finansowania</w:t>
            </w:r>
          </w:p>
        </w:tc>
        <w:tc>
          <w:tcPr>
            <w:tcW w:w="0" w:type="auto"/>
            <w:tcBorders>
              <w:top w:val="nil"/>
              <w:left w:val="nil"/>
              <w:bottom w:val="nil"/>
              <w:right w:val="nil"/>
            </w:tcBorders>
            <w:shd w:val="clear" w:color="auto" w:fill="auto"/>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43 056</w:t>
            </w:r>
          </w:p>
        </w:tc>
        <w:tc>
          <w:tcPr>
            <w:tcW w:w="0" w:type="auto"/>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28 843</w:t>
            </w:r>
          </w:p>
        </w:tc>
      </w:tr>
      <w:tr w:rsidR="006431A7" w:rsidRPr="00F06708" w:rsidTr="006431A7">
        <w:trPr>
          <w:trHeight w:val="330"/>
        </w:trPr>
        <w:tc>
          <w:tcPr>
            <w:tcW w:w="0" w:type="auto"/>
            <w:tcBorders>
              <w:top w:val="nil"/>
              <w:left w:val="nil"/>
              <w:bottom w:val="nil"/>
              <w:right w:val="nil"/>
            </w:tcBorders>
            <w:shd w:val="clear" w:color="auto" w:fill="auto"/>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Zobowiązanie z tytułu odroczonego podatku dochodowego</w:t>
            </w:r>
          </w:p>
        </w:tc>
        <w:tc>
          <w:tcPr>
            <w:tcW w:w="0" w:type="auto"/>
            <w:tcBorders>
              <w:top w:val="nil"/>
              <w:left w:val="nil"/>
              <w:bottom w:val="nil"/>
              <w:right w:val="nil"/>
            </w:tcBorders>
            <w:shd w:val="clear" w:color="auto" w:fill="auto"/>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338</w:t>
            </w:r>
          </w:p>
        </w:tc>
        <w:tc>
          <w:tcPr>
            <w:tcW w:w="0" w:type="auto"/>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248</w:t>
            </w:r>
          </w:p>
        </w:tc>
      </w:tr>
      <w:tr w:rsidR="006431A7" w:rsidRPr="00F06708" w:rsidTr="006431A7">
        <w:trPr>
          <w:trHeight w:val="330"/>
        </w:trPr>
        <w:tc>
          <w:tcPr>
            <w:tcW w:w="0" w:type="auto"/>
            <w:tcBorders>
              <w:top w:val="nil"/>
              <w:left w:val="nil"/>
              <w:bottom w:val="nil"/>
              <w:right w:val="nil"/>
            </w:tcBorders>
            <w:shd w:val="clear" w:color="auto" w:fill="auto"/>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Zobowiązania z tytułu świadczeń pracowniczych</w:t>
            </w:r>
          </w:p>
        </w:tc>
        <w:tc>
          <w:tcPr>
            <w:tcW w:w="0" w:type="auto"/>
            <w:tcBorders>
              <w:top w:val="nil"/>
              <w:left w:val="nil"/>
              <w:bottom w:val="nil"/>
              <w:right w:val="nil"/>
            </w:tcBorders>
            <w:shd w:val="clear" w:color="auto" w:fill="auto"/>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874</w:t>
            </w:r>
          </w:p>
        </w:tc>
        <w:tc>
          <w:tcPr>
            <w:tcW w:w="0" w:type="auto"/>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874</w:t>
            </w:r>
          </w:p>
        </w:tc>
      </w:tr>
      <w:tr w:rsidR="006431A7" w:rsidRPr="00F06708" w:rsidTr="006431A7">
        <w:trPr>
          <w:trHeight w:val="300"/>
        </w:trPr>
        <w:tc>
          <w:tcPr>
            <w:tcW w:w="0" w:type="auto"/>
            <w:tcBorders>
              <w:top w:val="nil"/>
              <w:left w:val="nil"/>
              <w:bottom w:val="nil"/>
              <w:right w:val="nil"/>
            </w:tcBorders>
            <w:shd w:val="clear" w:color="auto" w:fill="auto"/>
            <w:vAlign w:val="center"/>
            <w:hideMark/>
          </w:tcPr>
          <w:p w:rsidR="006431A7" w:rsidRPr="00F06708" w:rsidRDefault="006431A7">
            <w:pPr>
              <w:rPr>
                <w:rFonts w:ascii="Arial" w:hAnsi="Arial" w:cs="Arial"/>
                <w:b/>
                <w:bCs/>
                <w:color w:val="000000"/>
                <w:sz w:val="16"/>
                <w:szCs w:val="16"/>
              </w:rPr>
            </w:pPr>
            <w:r w:rsidRPr="00F06708">
              <w:rPr>
                <w:rFonts w:ascii="Arial" w:hAnsi="Arial" w:cs="Arial"/>
                <w:b/>
                <w:bCs/>
                <w:color w:val="000000"/>
                <w:sz w:val="16"/>
                <w:szCs w:val="16"/>
              </w:rPr>
              <w:t>Zobowiązania krótkoterminowe</w:t>
            </w:r>
          </w:p>
        </w:tc>
        <w:tc>
          <w:tcPr>
            <w:tcW w:w="0" w:type="auto"/>
            <w:tcBorders>
              <w:top w:val="nil"/>
              <w:left w:val="nil"/>
              <w:bottom w:val="nil"/>
              <w:right w:val="nil"/>
            </w:tcBorders>
            <w:shd w:val="clear" w:color="000000" w:fill="FFFFFF"/>
            <w:noWrap/>
            <w:vAlign w:val="center"/>
            <w:hideMark/>
          </w:tcPr>
          <w:p w:rsidR="006431A7" w:rsidRPr="00F06708" w:rsidRDefault="006431A7" w:rsidP="000D373B">
            <w:pPr>
              <w:jc w:val="right"/>
              <w:rPr>
                <w:rFonts w:ascii="Arial" w:hAnsi="Arial" w:cs="Arial"/>
                <w:b/>
                <w:bCs/>
                <w:color w:val="000000"/>
                <w:sz w:val="16"/>
                <w:szCs w:val="16"/>
              </w:rPr>
            </w:pPr>
            <w:r w:rsidRPr="00F06708">
              <w:rPr>
                <w:rFonts w:ascii="Arial" w:hAnsi="Arial" w:cs="Arial"/>
                <w:b/>
                <w:bCs/>
                <w:color w:val="000000"/>
                <w:sz w:val="16"/>
                <w:szCs w:val="16"/>
              </w:rPr>
              <w:t>19 46</w:t>
            </w:r>
            <w:r w:rsidR="000D373B" w:rsidRPr="00F06708">
              <w:rPr>
                <w:rFonts w:ascii="Arial" w:hAnsi="Arial" w:cs="Arial"/>
                <w:b/>
                <w:bCs/>
                <w:color w:val="000000"/>
                <w:sz w:val="16"/>
                <w:szCs w:val="16"/>
              </w:rPr>
              <w:t>6</w:t>
            </w:r>
          </w:p>
        </w:tc>
        <w:tc>
          <w:tcPr>
            <w:tcW w:w="0" w:type="auto"/>
            <w:tcBorders>
              <w:top w:val="nil"/>
              <w:left w:val="nil"/>
              <w:bottom w:val="nil"/>
              <w:right w:val="nil"/>
            </w:tcBorders>
            <w:shd w:val="clear" w:color="000000" w:fill="FFFFFF"/>
            <w:noWrap/>
            <w:vAlign w:val="center"/>
            <w:hideMark/>
          </w:tcPr>
          <w:p w:rsidR="006431A7" w:rsidRPr="00F06708" w:rsidRDefault="006431A7">
            <w:pPr>
              <w:jc w:val="right"/>
              <w:rPr>
                <w:rFonts w:ascii="Arial" w:hAnsi="Arial" w:cs="Arial"/>
                <w:b/>
                <w:bCs/>
                <w:color w:val="000000"/>
                <w:sz w:val="16"/>
                <w:szCs w:val="16"/>
              </w:rPr>
            </w:pPr>
            <w:r w:rsidRPr="00F06708">
              <w:rPr>
                <w:rFonts w:ascii="Arial" w:hAnsi="Arial" w:cs="Arial"/>
                <w:b/>
                <w:bCs/>
                <w:color w:val="000000"/>
                <w:sz w:val="16"/>
                <w:szCs w:val="16"/>
              </w:rPr>
              <w:t>19 381</w:t>
            </w:r>
          </w:p>
        </w:tc>
      </w:tr>
      <w:tr w:rsidR="006431A7" w:rsidRPr="00F06708" w:rsidTr="006431A7">
        <w:trPr>
          <w:trHeight w:val="420"/>
        </w:trPr>
        <w:tc>
          <w:tcPr>
            <w:tcW w:w="0" w:type="auto"/>
            <w:tcBorders>
              <w:top w:val="nil"/>
              <w:left w:val="nil"/>
              <w:bottom w:val="nil"/>
              <w:right w:val="nil"/>
            </w:tcBorders>
            <w:shd w:val="clear" w:color="auto" w:fill="auto"/>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Zobowiązania z tytułu dostaw i usług oraz pozostałe zobowiązania</w:t>
            </w:r>
          </w:p>
        </w:tc>
        <w:tc>
          <w:tcPr>
            <w:tcW w:w="0" w:type="auto"/>
            <w:tcBorders>
              <w:top w:val="nil"/>
              <w:left w:val="nil"/>
              <w:bottom w:val="nil"/>
              <w:right w:val="nil"/>
            </w:tcBorders>
            <w:shd w:val="clear" w:color="auto" w:fill="auto"/>
            <w:vAlign w:val="center"/>
            <w:hideMark/>
          </w:tcPr>
          <w:p w:rsidR="006431A7" w:rsidRPr="00F06708" w:rsidRDefault="006431A7" w:rsidP="000D373B">
            <w:pPr>
              <w:jc w:val="right"/>
              <w:rPr>
                <w:rFonts w:ascii="Arial" w:hAnsi="Arial" w:cs="Arial"/>
                <w:color w:val="000000"/>
                <w:sz w:val="16"/>
                <w:szCs w:val="16"/>
              </w:rPr>
            </w:pPr>
            <w:r w:rsidRPr="00F06708">
              <w:rPr>
                <w:rFonts w:ascii="Arial" w:hAnsi="Arial" w:cs="Arial"/>
                <w:color w:val="000000"/>
                <w:sz w:val="16"/>
                <w:szCs w:val="16"/>
              </w:rPr>
              <w:t>16 24</w:t>
            </w:r>
            <w:r w:rsidR="000D373B" w:rsidRPr="00F06708">
              <w:rPr>
                <w:rFonts w:ascii="Arial" w:hAnsi="Arial" w:cs="Arial"/>
                <w:color w:val="000000"/>
                <w:sz w:val="16"/>
                <w:szCs w:val="16"/>
              </w:rPr>
              <w:t>6</w:t>
            </w:r>
          </w:p>
        </w:tc>
        <w:tc>
          <w:tcPr>
            <w:tcW w:w="0" w:type="auto"/>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13 657</w:t>
            </w:r>
          </w:p>
        </w:tc>
      </w:tr>
      <w:tr w:rsidR="006431A7" w:rsidRPr="00F06708" w:rsidTr="006431A7">
        <w:trPr>
          <w:trHeight w:val="285"/>
        </w:trPr>
        <w:tc>
          <w:tcPr>
            <w:tcW w:w="0" w:type="auto"/>
            <w:tcBorders>
              <w:top w:val="nil"/>
              <w:left w:val="nil"/>
              <w:bottom w:val="nil"/>
              <w:right w:val="nil"/>
            </w:tcBorders>
            <w:shd w:val="clear" w:color="auto" w:fill="auto"/>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Kredyty, pożyczki i inne źródła finansowania</w:t>
            </w:r>
          </w:p>
        </w:tc>
        <w:tc>
          <w:tcPr>
            <w:tcW w:w="0" w:type="auto"/>
            <w:tcBorders>
              <w:top w:val="nil"/>
              <w:left w:val="nil"/>
              <w:bottom w:val="nil"/>
              <w:right w:val="nil"/>
            </w:tcBorders>
            <w:shd w:val="clear" w:color="auto" w:fill="auto"/>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3 062</w:t>
            </w:r>
          </w:p>
        </w:tc>
        <w:tc>
          <w:tcPr>
            <w:tcW w:w="0" w:type="auto"/>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5 507</w:t>
            </w:r>
          </w:p>
        </w:tc>
      </w:tr>
      <w:tr w:rsidR="006431A7" w:rsidRPr="00F06708" w:rsidTr="006431A7">
        <w:trPr>
          <w:trHeight w:val="285"/>
        </w:trPr>
        <w:tc>
          <w:tcPr>
            <w:tcW w:w="0" w:type="auto"/>
            <w:tcBorders>
              <w:top w:val="nil"/>
              <w:left w:val="nil"/>
              <w:bottom w:val="nil"/>
              <w:right w:val="nil"/>
            </w:tcBorders>
            <w:shd w:val="clear" w:color="auto" w:fill="auto"/>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Zobowiązania z tytułu bieżącego podatku dochodowego</w:t>
            </w:r>
          </w:p>
        </w:tc>
        <w:tc>
          <w:tcPr>
            <w:tcW w:w="0" w:type="auto"/>
            <w:tcBorders>
              <w:top w:val="nil"/>
              <w:left w:val="nil"/>
              <w:bottom w:val="nil"/>
              <w:right w:val="nil"/>
            </w:tcBorders>
            <w:shd w:val="clear" w:color="auto" w:fill="auto"/>
            <w:vAlign w:val="center"/>
            <w:hideMark/>
          </w:tcPr>
          <w:p w:rsidR="006431A7" w:rsidRPr="00F06708" w:rsidRDefault="006D7B2E">
            <w:pPr>
              <w:jc w:val="right"/>
              <w:rPr>
                <w:rFonts w:ascii="Arial" w:hAnsi="Arial" w:cs="Arial"/>
                <w:color w:val="000000"/>
                <w:sz w:val="16"/>
                <w:szCs w:val="16"/>
              </w:rPr>
            </w:pPr>
            <w:r w:rsidRPr="00F06708">
              <w:rPr>
                <w:rFonts w:ascii="Arial" w:hAnsi="Arial" w:cs="Arial"/>
                <w:color w:val="000000"/>
                <w:sz w:val="16"/>
                <w:szCs w:val="16"/>
              </w:rPr>
              <w:t>158</w:t>
            </w:r>
          </w:p>
        </w:tc>
        <w:tc>
          <w:tcPr>
            <w:tcW w:w="0" w:type="auto"/>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158</w:t>
            </w:r>
          </w:p>
        </w:tc>
      </w:tr>
      <w:tr w:rsidR="006431A7" w:rsidRPr="00F06708" w:rsidTr="006431A7">
        <w:trPr>
          <w:trHeight w:val="285"/>
        </w:trPr>
        <w:tc>
          <w:tcPr>
            <w:tcW w:w="0" w:type="auto"/>
            <w:tcBorders>
              <w:top w:val="nil"/>
              <w:left w:val="nil"/>
              <w:bottom w:val="nil"/>
              <w:right w:val="nil"/>
            </w:tcBorders>
            <w:shd w:val="clear" w:color="auto" w:fill="auto"/>
            <w:vAlign w:val="center"/>
            <w:hideMark/>
          </w:tcPr>
          <w:p w:rsidR="006431A7" w:rsidRPr="00F06708" w:rsidRDefault="006431A7">
            <w:pPr>
              <w:rPr>
                <w:rFonts w:ascii="Arial" w:hAnsi="Arial" w:cs="Arial"/>
                <w:color w:val="000000"/>
                <w:sz w:val="16"/>
                <w:szCs w:val="16"/>
              </w:rPr>
            </w:pPr>
            <w:r w:rsidRPr="00F06708">
              <w:rPr>
                <w:rFonts w:ascii="Arial" w:hAnsi="Arial" w:cs="Arial"/>
                <w:color w:val="000000"/>
                <w:sz w:val="16"/>
                <w:szCs w:val="16"/>
              </w:rPr>
              <w:t>Zobowiązania z tytułu świadczeń pracowniczych</w:t>
            </w:r>
          </w:p>
        </w:tc>
        <w:tc>
          <w:tcPr>
            <w:tcW w:w="0" w:type="auto"/>
            <w:tcBorders>
              <w:top w:val="nil"/>
              <w:left w:val="nil"/>
              <w:bottom w:val="nil"/>
              <w:right w:val="nil"/>
            </w:tcBorders>
            <w:shd w:val="clear" w:color="auto" w:fill="auto"/>
            <w:vAlign w:val="center"/>
            <w:hideMark/>
          </w:tcPr>
          <w:p w:rsidR="006431A7" w:rsidRPr="00F06708" w:rsidRDefault="006D7B2E">
            <w:pPr>
              <w:jc w:val="right"/>
              <w:rPr>
                <w:rFonts w:ascii="Arial" w:hAnsi="Arial" w:cs="Arial"/>
                <w:color w:val="000000"/>
                <w:sz w:val="16"/>
                <w:szCs w:val="16"/>
              </w:rPr>
            </w:pPr>
            <w:r w:rsidRPr="00F06708">
              <w:rPr>
                <w:rFonts w:ascii="Arial" w:hAnsi="Arial" w:cs="Arial"/>
                <w:color w:val="000000"/>
                <w:sz w:val="16"/>
                <w:szCs w:val="16"/>
              </w:rPr>
              <w:t>-</w:t>
            </w:r>
          </w:p>
        </w:tc>
        <w:tc>
          <w:tcPr>
            <w:tcW w:w="0" w:type="auto"/>
            <w:tcBorders>
              <w:top w:val="nil"/>
              <w:left w:val="nil"/>
              <w:bottom w:val="nil"/>
              <w:right w:val="nil"/>
            </w:tcBorders>
            <w:shd w:val="clear" w:color="auto" w:fill="auto"/>
            <w:noWrap/>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59</w:t>
            </w:r>
          </w:p>
        </w:tc>
      </w:tr>
      <w:tr w:rsidR="006431A7" w:rsidRPr="00F06708" w:rsidTr="006431A7">
        <w:trPr>
          <w:trHeight w:val="285"/>
        </w:trPr>
        <w:tc>
          <w:tcPr>
            <w:tcW w:w="0" w:type="auto"/>
            <w:tcBorders>
              <w:top w:val="nil"/>
              <w:left w:val="nil"/>
              <w:bottom w:val="nil"/>
              <w:right w:val="nil"/>
            </w:tcBorders>
            <w:shd w:val="clear" w:color="auto" w:fill="auto"/>
            <w:vAlign w:val="center"/>
            <w:hideMark/>
          </w:tcPr>
          <w:p w:rsidR="006431A7" w:rsidRPr="00F06708" w:rsidRDefault="006431A7">
            <w:pPr>
              <w:rPr>
                <w:rFonts w:ascii="Arial" w:hAnsi="Arial" w:cs="Arial"/>
                <w:b/>
                <w:bCs/>
                <w:color w:val="000000"/>
                <w:sz w:val="16"/>
                <w:szCs w:val="16"/>
              </w:rPr>
            </w:pPr>
            <w:r w:rsidRPr="00F06708">
              <w:rPr>
                <w:rFonts w:ascii="Arial" w:hAnsi="Arial" w:cs="Arial"/>
                <w:b/>
                <w:bCs/>
                <w:color w:val="000000"/>
                <w:sz w:val="16"/>
                <w:szCs w:val="16"/>
              </w:rPr>
              <w:t>Zobowiązania wchodzące w skład  grupy zbycia</w:t>
            </w:r>
          </w:p>
        </w:tc>
        <w:tc>
          <w:tcPr>
            <w:tcW w:w="0" w:type="auto"/>
            <w:tcBorders>
              <w:top w:val="nil"/>
              <w:left w:val="nil"/>
              <w:bottom w:val="nil"/>
              <w:right w:val="nil"/>
            </w:tcBorders>
            <w:shd w:val="clear" w:color="auto" w:fill="auto"/>
            <w:vAlign w:val="center"/>
            <w:hideMark/>
          </w:tcPr>
          <w:p w:rsidR="006431A7" w:rsidRPr="00F06708" w:rsidRDefault="006431A7">
            <w:pPr>
              <w:jc w:val="right"/>
              <w:rPr>
                <w:rFonts w:ascii="Arial" w:hAnsi="Arial" w:cs="Arial"/>
                <w:b/>
                <w:color w:val="000000"/>
                <w:sz w:val="16"/>
                <w:szCs w:val="16"/>
              </w:rPr>
            </w:pPr>
            <w:r w:rsidRPr="00F06708">
              <w:rPr>
                <w:rFonts w:ascii="Arial" w:hAnsi="Arial" w:cs="Arial"/>
                <w:b/>
                <w:color w:val="000000"/>
                <w:sz w:val="16"/>
                <w:szCs w:val="16"/>
              </w:rPr>
              <w:t>210</w:t>
            </w:r>
          </w:p>
        </w:tc>
        <w:tc>
          <w:tcPr>
            <w:tcW w:w="0" w:type="auto"/>
            <w:tcBorders>
              <w:top w:val="nil"/>
              <w:left w:val="nil"/>
              <w:bottom w:val="nil"/>
              <w:right w:val="nil"/>
            </w:tcBorders>
            <w:shd w:val="clear" w:color="auto" w:fill="auto"/>
            <w:vAlign w:val="center"/>
            <w:hideMark/>
          </w:tcPr>
          <w:p w:rsidR="006431A7" w:rsidRPr="00F06708" w:rsidRDefault="006431A7">
            <w:pPr>
              <w:jc w:val="right"/>
              <w:rPr>
                <w:rFonts w:ascii="Arial" w:hAnsi="Arial" w:cs="Arial"/>
                <w:color w:val="000000"/>
                <w:sz w:val="16"/>
                <w:szCs w:val="16"/>
              </w:rPr>
            </w:pPr>
            <w:r w:rsidRPr="00F06708">
              <w:rPr>
                <w:rFonts w:ascii="Arial" w:hAnsi="Arial" w:cs="Arial"/>
                <w:color w:val="000000"/>
                <w:sz w:val="16"/>
                <w:szCs w:val="16"/>
              </w:rPr>
              <w:t xml:space="preserve"> -</w:t>
            </w:r>
          </w:p>
        </w:tc>
      </w:tr>
      <w:tr w:rsidR="006431A7" w:rsidRPr="00F06708" w:rsidTr="006431A7">
        <w:trPr>
          <w:trHeight w:val="315"/>
        </w:trPr>
        <w:tc>
          <w:tcPr>
            <w:tcW w:w="0" w:type="auto"/>
            <w:tcBorders>
              <w:top w:val="nil"/>
              <w:left w:val="nil"/>
              <w:bottom w:val="nil"/>
              <w:right w:val="nil"/>
            </w:tcBorders>
            <w:shd w:val="clear" w:color="auto" w:fill="auto"/>
            <w:vAlign w:val="center"/>
            <w:hideMark/>
          </w:tcPr>
          <w:p w:rsidR="006431A7" w:rsidRPr="00F06708" w:rsidRDefault="006431A7">
            <w:pPr>
              <w:rPr>
                <w:rFonts w:ascii="Arial" w:hAnsi="Arial" w:cs="Arial"/>
                <w:b/>
                <w:bCs/>
                <w:color w:val="000000"/>
                <w:sz w:val="16"/>
                <w:szCs w:val="16"/>
              </w:rPr>
            </w:pPr>
            <w:r w:rsidRPr="00F06708">
              <w:rPr>
                <w:rFonts w:ascii="Arial" w:hAnsi="Arial" w:cs="Arial"/>
                <w:b/>
                <w:bCs/>
                <w:color w:val="000000"/>
                <w:sz w:val="16"/>
                <w:szCs w:val="16"/>
              </w:rPr>
              <w:t>RAZEM PASYWA</w:t>
            </w:r>
          </w:p>
        </w:tc>
        <w:tc>
          <w:tcPr>
            <w:tcW w:w="0" w:type="auto"/>
            <w:tcBorders>
              <w:top w:val="single" w:sz="8" w:space="0" w:color="auto"/>
              <w:left w:val="nil"/>
              <w:bottom w:val="single" w:sz="8" w:space="0" w:color="auto"/>
              <w:right w:val="nil"/>
            </w:tcBorders>
            <w:shd w:val="clear" w:color="000000" w:fill="FFFFFF"/>
            <w:noWrap/>
            <w:vAlign w:val="center"/>
            <w:hideMark/>
          </w:tcPr>
          <w:p w:rsidR="006431A7" w:rsidRPr="00F06708" w:rsidRDefault="006431A7">
            <w:pPr>
              <w:jc w:val="right"/>
              <w:rPr>
                <w:rFonts w:ascii="Arial" w:hAnsi="Arial" w:cs="Arial"/>
                <w:b/>
                <w:bCs/>
                <w:color w:val="000000"/>
                <w:sz w:val="16"/>
                <w:szCs w:val="16"/>
              </w:rPr>
            </w:pPr>
            <w:r w:rsidRPr="00F06708">
              <w:rPr>
                <w:rFonts w:ascii="Arial" w:hAnsi="Arial" w:cs="Arial"/>
                <w:b/>
                <w:bCs/>
                <w:color w:val="000000"/>
                <w:sz w:val="16"/>
                <w:szCs w:val="16"/>
              </w:rPr>
              <w:t>188 104</w:t>
            </w:r>
          </w:p>
        </w:tc>
        <w:tc>
          <w:tcPr>
            <w:tcW w:w="0" w:type="auto"/>
            <w:tcBorders>
              <w:top w:val="single" w:sz="8" w:space="0" w:color="auto"/>
              <w:left w:val="nil"/>
              <w:bottom w:val="single" w:sz="8" w:space="0" w:color="auto"/>
              <w:right w:val="nil"/>
            </w:tcBorders>
            <w:shd w:val="clear" w:color="000000" w:fill="FFFFFF"/>
            <w:noWrap/>
            <w:vAlign w:val="center"/>
            <w:hideMark/>
          </w:tcPr>
          <w:p w:rsidR="006431A7" w:rsidRPr="00F06708" w:rsidRDefault="006431A7">
            <w:pPr>
              <w:jc w:val="right"/>
              <w:rPr>
                <w:rFonts w:ascii="Arial" w:hAnsi="Arial" w:cs="Arial"/>
                <w:b/>
                <w:bCs/>
                <w:color w:val="000000"/>
                <w:sz w:val="16"/>
                <w:szCs w:val="16"/>
              </w:rPr>
            </w:pPr>
            <w:r w:rsidRPr="00F06708">
              <w:rPr>
                <w:rFonts w:ascii="Arial" w:hAnsi="Arial" w:cs="Arial"/>
                <w:b/>
                <w:bCs/>
                <w:color w:val="000000"/>
                <w:sz w:val="16"/>
                <w:szCs w:val="16"/>
              </w:rPr>
              <w:t>170 167</w:t>
            </w:r>
          </w:p>
        </w:tc>
      </w:tr>
    </w:tbl>
    <w:p w:rsidR="006418A8" w:rsidRPr="00F451D4" w:rsidRDefault="006418A8" w:rsidP="006418A8">
      <w:pPr>
        <w:tabs>
          <w:tab w:val="left" w:pos="540"/>
        </w:tabs>
        <w:rPr>
          <w:rFonts w:ascii="Arial" w:hAnsi="Arial" w:cs="Arial"/>
          <w:sz w:val="18"/>
          <w:szCs w:val="18"/>
          <w:highlight w:val="yellow"/>
        </w:rPr>
      </w:pPr>
    </w:p>
    <w:p w:rsidR="006418A8" w:rsidRPr="00F451D4" w:rsidRDefault="006418A8" w:rsidP="006418A8">
      <w:pPr>
        <w:tabs>
          <w:tab w:val="left" w:pos="540"/>
        </w:tabs>
        <w:rPr>
          <w:rFonts w:ascii="Arial" w:hAnsi="Arial" w:cs="Arial"/>
          <w:sz w:val="18"/>
          <w:szCs w:val="18"/>
          <w:highlight w:val="yellow"/>
        </w:rPr>
      </w:pPr>
    </w:p>
    <w:p w:rsidR="00207526" w:rsidRDefault="00207526">
      <w:pPr>
        <w:rPr>
          <w:rFonts w:ascii="Arial" w:hAnsi="Arial" w:cs="Arial"/>
          <w:b/>
        </w:rPr>
      </w:pPr>
    </w:p>
    <w:p w:rsidR="006418A8" w:rsidRPr="00D80B55" w:rsidRDefault="006418A8" w:rsidP="006431A7">
      <w:pPr>
        <w:rPr>
          <w:rFonts w:ascii="Arial" w:hAnsi="Arial" w:cs="Arial"/>
          <w:b/>
        </w:rPr>
      </w:pPr>
      <w:r w:rsidRPr="00D80B55">
        <w:rPr>
          <w:rFonts w:ascii="Arial" w:hAnsi="Arial" w:cs="Arial"/>
          <w:b/>
        </w:rPr>
        <w:t>Śródroczne skrócone jednostkowe sprawozdanie z całkowitych dochodów</w:t>
      </w:r>
    </w:p>
    <w:p w:rsidR="0082040F" w:rsidRPr="00D80B55" w:rsidRDefault="0082040F" w:rsidP="006418A8">
      <w:pPr>
        <w:tabs>
          <w:tab w:val="left" w:pos="540"/>
        </w:tabs>
        <w:rPr>
          <w:rFonts w:ascii="Arial" w:hAnsi="Arial" w:cs="Arial"/>
          <w:b/>
        </w:rPr>
      </w:pPr>
    </w:p>
    <w:p w:rsidR="0082040F" w:rsidRPr="00F451D4" w:rsidRDefault="0082040F" w:rsidP="00774AAA">
      <w:pPr>
        <w:tabs>
          <w:tab w:val="left" w:pos="540"/>
        </w:tabs>
        <w:jc w:val="center"/>
        <w:rPr>
          <w:rFonts w:ascii="Arial" w:hAnsi="Arial" w:cs="Arial"/>
          <w:b/>
          <w:highlight w:val="yellow"/>
        </w:rPr>
      </w:pPr>
    </w:p>
    <w:tbl>
      <w:tblPr>
        <w:tblpPr w:leftFromText="141" w:rightFromText="141" w:vertAnchor="text" w:horzAnchor="margin" w:tblpY="-26"/>
        <w:tblW w:w="9342" w:type="dxa"/>
        <w:tblCellMar>
          <w:left w:w="70" w:type="dxa"/>
          <w:right w:w="70" w:type="dxa"/>
        </w:tblCellMar>
        <w:tblLook w:val="04A0" w:firstRow="1" w:lastRow="0" w:firstColumn="1" w:lastColumn="0" w:noHBand="0" w:noVBand="1"/>
      </w:tblPr>
      <w:tblGrid>
        <w:gridCol w:w="4126"/>
        <w:gridCol w:w="1304"/>
        <w:gridCol w:w="1304"/>
        <w:gridCol w:w="1304"/>
        <w:gridCol w:w="1304"/>
      </w:tblGrid>
      <w:tr w:rsidR="006431A7" w:rsidRPr="00F06708" w:rsidTr="006431A7">
        <w:trPr>
          <w:trHeight w:val="300"/>
        </w:trPr>
        <w:tc>
          <w:tcPr>
            <w:tcW w:w="4126" w:type="dxa"/>
            <w:tcBorders>
              <w:top w:val="nil"/>
              <w:left w:val="nil"/>
              <w:bottom w:val="nil"/>
              <w:right w:val="nil"/>
            </w:tcBorders>
            <w:shd w:val="clear" w:color="auto" w:fill="auto"/>
            <w:noWrap/>
            <w:vAlign w:val="bottom"/>
            <w:hideMark/>
          </w:tcPr>
          <w:p w:rsidR="006431A7" w:rsidRPr="00F06708" w:rsidRDefault="006431A7" w:rsidP="006431A7">
            <w:pPr>
              <w:rPr>
                <w:color w:val="000000"/>
                <w:sz w:val="16"/>
                <w:szCs w:val="16"/>
              </w:rPr>
            </w:pPr>
            <w:r w:rsidRPr="00F06708">
              <w:rPr>
                <w:rFonts w:ascii="Arial" w:hAnsi="Arial" w:cs="Arial"/>
                <w:b/>
                <w:sz w:val="16"/>
                <w:szCs w:val="16"/>
              </w:rPr>
              <w:br w:type="page"/>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center"/>
              <w:rPr>
                <w:rFonts w:ascii="Arial" w:hAnsi="Arial" w:cs="Arial"/>
                <w:b/>
                <w:bCs/>
                <w:color w:val="000000"/>
                <w:sz w:val="16"/>
                <w:szCs w:val="16"/>
              </w:rPr>
            </w:pPr>
            <w:r w:rsidRPr="00F06708">
              <w:rPr>
                <w:rFonts w:ascii="Arial" w:hAnsi="Arial" w:cs="Arial"/>
                <w:b/>
                <w:bCs/>
                <w:color w:val="000000"/>
                <w:sz w:val="16"/>
                <w:szCs w:val="16"/>
              </w:rPr>
              <w:t>za 3 miesiące</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center"/>
              <w:rPr>
                <w:rFonts w:ascii="Arial" w:hAnsi="Arial" w:cs="Arial"/>
                <w:b/>
                <w:bCs/>
                <w:color w:val="000000"/>
                <w:sz w:val="16"/>
                <w:szCs w:val="16"/>
              </w:rPr>
            </w:pPr>
            <w:r w:rsidRPr="00F06708">
              <w:rPr>
                <w:rFonts w:ascii="Arial" w:hAnsi="Arial" w:cs="Arial"/>
                <w:b/>
                <w:bCs/>
                <w:color w:val="000000"/>
                <w:sz w:val="16"/>
                <w:szCs w:val="16"/>
              </w:rPr>
              <w:t>za 9 miesięcy</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center"/>
              <w:rPr>
                <w:rFonts w:ascii="Arial" w:hAnsi="Arial" w:cs="Arial"/>
                <w:b/>
                <w:bCs/>
                <w:color w:val="000000"/>
                <w:sz w:val="16"/>
                <w:szCs w:val="16"/>
              </w:rPr>
            </w:pPr>
            <w:r w:rsidRPr="00F06708">
              <w:rPr>
                <w:rFonts w:ascii="Arial" w:hAnsi="Arial" w:cs="Arial"/>
                <w:b/>
                <w:bCs/>
                <w:color w:val="000000"/>
                <w:sz w:val="16"/>
                <w:szCs w:val="16"/>
              </w:rPr>
              <w:t>za 3 miesiące</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center"/>
              <w:rPr>
                <w:rFonts w:ascii="Arial" w:hAnsi="Arial" w:cs="Arial"/>
                <w:b/>
                <w:bCs/>
                <w:color w:val="000000"/>
                <w:sz w:val="16"/>
                <w:szCs w:val="16"/>
              </w:rPr>
            </w:pPr>
            <w:r w:rsidRPr="00F06708">
              <w:rPr>
                <w:rFonts w:ascii="Arial" w:hAnsi="Arial" w:cs="Arial"/>
                <w:b/>
                <w:bCs/>
                <w:color w:val="000000"/>
                <w:sz w:val="16"/>
                <w:szCs w:val="16"/>
              </w:rPr>
              <w:t>za 9 miesięcy</w:t>
            </w:r>
          </w:p>
        </w:tc>
      </w:tr>
      <w:tr w:rsidR="006431A7" w:rsidRPr="00F06708" w:rsidTr="006431A7">
        <w:trPr>
          <w:trHeight w:val="300"/>
        </w:trPr>
        <w:tc>
          <w:tcPr>
            <w:tcW w:w="4126" w:type="dxa"/>
            <w:tcBorders>
              <w:top w:val="nil"/>
              <w:left w:val="nil"/>
              <w:bottom w:val="nil"/>
              <w:right w:val="nil"/>
            </w:tcBorders>
            <w:shd w:val="clear" w:color="auto" w:fill="auto"/>
            <w:noWrap/>
            <w:vAlign w:val="bottom"/>
            <w:hideMark/>
          </w:tcPr>
          <w:p w:rsidR="006431A7" w:rsidRPr="00F06708" w:rsidRDefault="006431A7" w:rsidP="006431A7">
            <w:pPr>
              <w:rPr>
                <w:color w:val="000000"/>
                <w:sz w:val="16"/>
                <w:szCs w:val="16"/>
              </w:rPr>
            </w:pP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center"/>
              <w:rPr>
                <w:rFonts w:ascii="Arial" w:hAnsi="Arial" w:cs="Arial"/>
                <w:b/>
                <w:bCs/>
                <w:color w:val="000000"/>
                <w:sz w:val="16"/>
                <w:szCs w:val="16"/>
              </w:rPr>
            </w:pPr>
            <w:r w:rsidRPr="00F06708">
              <w:rPr>
                <w:rFonts w:ascii="Arial" w:hAnsi="Arial" w:cs="Arial"/>
                <w:b/>
                <w:bCs/>
                <w:color w:val="000000"/>
                <w:sz w:val="16"/>
                <w:szCs w:val="16"/>
              </w:rPr>
              <w:t xml:space="preserve">kończące się </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center"/>
              <w:rPr>
                <w:rFonts w:ascii="Arial" w:hAnsi="Arial" w:cs="Arial"/>
                <w:b/>
                <w:bCs/>
                <w:color w:val="000000"/>
                <w:sz w:val="16"/>
                <w:szCs w:val="16"/>
              </w:rPr>
            </w:pPr>
            <w:r w:rsidRPr="00F06708">
              <w:rPr>
                <w:rFonts w:ascii="Arial" w:hAnsi="Arial" w:cs="Arial"/>
                <w:b/>
                <w:bCs/>
                <w:color w:val="000000"/>
                <w:sz w:val="16"/>
                <w:szCs w:val="16"/>
              </w:rPr>
              <w:t>kończące się</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center"/>
              <w:rPr>
                <w:rFonts w:ascii="Arial" w:hAnsi="Arial" w:cs="Arial"/>
                <w:b/>
                <w:bCs/>
                <w:color w:val="000000"/>
                <w:sz w:val="16"/>
                <w:szCs w:val="16"/>
              </w:rPr>
            </w:pPr>
            <w:r w:rsidRPr="00F06708">
              <w:rPr>
                <w:rFonts w:ascii="Arial" w:hAnsi="Arial" w:cs="Arial"/>
                <w:b/>
                <w:bCs/>
                <w:color w:val="000000"/>
                <w:sz w:val="16"/>
                <w:szCs w:val="16"/>
              </w:rPr>
              <w:t xml:space="preserve">kończące się </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center"/>
              <w:rPr>
                <w:rFonts w:ascii="Arial" w:hAnsi="Arial" w:cs="Arial"/>
                <w:b/>
                <w:bCs/>
                <w:color w:val="000000"/>
                <w:sz w:val="16"/>
                <w:szCs w:val="16"/>
              </w:rPr>
            </w:pPr>
            <w:r w:rsidRPr="00F06708">
              <w:rPr>
                <w:rFonts w:ascii="Arial" w:hAnsi="Arial" w:cs="Arial"/>
                <w:b/>
                <w:bCs/>
                <w:color w:val="000000"/>
                <w:sz w:val="16"/>
                <w:szCs w:val="16"/>
              </w:rPr>
              <w:t>kończące się</w:t>
            </w:r>
          </w:p>
        </w:tc>
      </w:tr>
      <w:tr w:rsidR="006431A7" w:rsidRPr="00F06708" w:rsidTr="006431A7">
        <w:trPr>
          <w:trHeight w:val="315"/>
        </w:trPr>
        <w:tc>
          <w:tcPr>
            <w:tcW w:w="4126" w:type="dxa"/>
            <w:tcBorders>
              <w:top w:val="nil"/>
              <w:left w:val="nil"/>
              <w:bottom w:val="single" w:sz="8" w:space="0" w:color="auto"/>
              <w:right w:val="nil"/>
            </w:tcBorders>
            <w:shd w:val="clear" w:color="auto" w:fill="auto"/>
            <w:noWrap/>
            <w:vAlign w:val="center"/>
            <w:hideMark/>
          </w:tcPr>
          <w:p w:rsidR="006431A7" w:rsidRPr="00F06708" w:rsidRDefault="006431A7" w:rsidP="006431A7">
            <w:pPr>
              <w:rPr>
                <w:rFonts w:ascii="Arial" w:hAnsi="Arial" w:cs="Arial"/>
                <w:b/>
                <w:bCs/>
                <w:color w:val="000000"/>
                <w:sz w:val="16"/>
                <w:szCs w:val="16"/>
                <w:u w:val="single"/>
              </w:rPr>
            </w:pPr>
            <w:r w:rsidRPr="00F06708">
              <w:rPr>
                <w:rFonts w:ascii="Arial" w:hAnsi="Arial" w:cs="Arial"/>
                <w:b/>
                <w:bCs/>
                <w:color w:val="000000"/>
                <w:sz w:val="16"/>
                <w:szCs w:val="16"/>
                <w:u w:val="single"/>
              </w:rPr>
              <w:t>Rachunek zysków i strat</w:t>
            </w:r>
          </w:p>
        </w:tc>
        <w:tc>
          <w:tcPr>
            <w:tcW w:w="1304" w:type="dxa"/>
            <w:tcBorders>
              <w:top w:val="nil"/>
              <w:left w:val="nil"/>
              <w:bottom w:val="single" w:sz="8" w:space="0" w:color="auto"/>
              <w:right w:val="nil"/>
            </w:tcBorders>
            <w:shd w:val="clear" w:color="auto" w:fill="auto"/>
            <w:noWrap/>
            <w:vAlign w:val="center"/>
            <w:hideMark/>
          </w:tcPr>
          <w:p w:rsidR="006431A7" w:rsidRPr="00F06708" w:rsidRDefault="006431A7" w:rsidP="006431A7">
            <w:pPr>
              <w:jc w:val="right"/>
              <w:rPr>
                <w:rFonts w:ascii="Arial" w:hAnsi="Arial" w:cs="Arial"/>
                <w:b/>
                <w:bCs/>
                <w:color w:val="000000"/>
                <w:sz w:val="16"/>
                <w:szCs w:val="16"/>
              </w:rPr>
            </w:pPr>
            <w:r w:rsidRPr="00F06708">
              <w:rPr>
                <w:rFonts w:ascii="Arial" w:hAnsi="Arial" w:cs="Arial"/>
                <w:b/>
                <w:bCs/>
                <w:color w:val="000000"/>
                <w:sz w:val="16"/>
                <w:szCs w:val="16"/>
              </w:rPr>
              <w:t>30 września 2021</w:t>
            </w:r>
          </w:p>
        </w:tc>
        <w:tc>
          <w:tcPr>
            <w:tcW w:w="1304" w:type="dxa"/>
            <w:tcBorders>
              <w:top w:val="nil"/>
              <w:left w:val="nil"/>
              <w:bottom w:val="single" w:sz="8" w:space="0" w:color="auto"/>
              <w:right w:val="nil"/>
            </w:tcBorders>
            <w:shd w:val="clear" w:color="auto" w:fill="auto"/>
            <w:noWrap/>
            <w:vAlign w:val="center"/>
            <w:hideMark/>
          </w:tcPr>
          <w:p w:rsidR="006431A7" w:rsidRPr="00F06708" w:rsidRDefault="006431A7" w:rsidP="006431A7">
            <w:pPr>
              <w:jc w:val="right"/>
              <w:rPr>
                <w:rFonts w:ascii="Arial" w:hAnsi="Arial" w:cs="Arial"/>
                <w:b/>
                <w:bCs/>
                <w:color w:val="000000"/>
                <w:sz w:val="16"/>
                <w:szCs w:val="16"/>
              </w:rPr>
            </w:pPr>
            <w:r w:rsidRPr="00F06708">
              <w:rPr>
                <w:rFonts w:ascii="Arial" w:hAnsi="Arial" w:cs="Arial"/>
                <w:b/>
                <w:bCs/>
                <w:color w:val="000000"/>
                <w:sz w:val="16"/>
                <w:szCs w:val="16"/>
              </w:rPr>
              <w:t>30 września 2021</w:t>
            </w:r>
          </w:p>
        </w:tc>
        <w:tc>
          <w:tcPr>
            <w:tcW w:w="1304" w:type="dxa"/>
            <w:tcBorders>
              <w:top w:val="nil"/>
              <w:left w:val="nil"/>
              <w:bottom w:val="single" w:sz="8" w:space="0" w:color="auto"/>
              <w:right w:val="nil"/>
            </w:tcBorders>
            <w:shd w:val="clear" w:color="auto" w:fill="auto"/>
            <w:noWrap/>
            <w:vAlign w:val="center"/>
            <w:hideMark/>
          </w:tcPr>
          <w:p w:rsidR="006431A7" w:rsidRPr="00F06708" w:rsidRDefault="006431A7" w:rsidP="006431A7">
            <w:pPr>
              <w:jc w:val="right"/>
              <w:rPr>
                <w:rFonts w:ascii="Arial" w:hAnsi="Arial" w:cs="Arial"/>
                <w:b/>
                <w:bCs/>
                <w:color w:val="000000"/>
                <w:sz w:val="16"/>
                <w:szCs w:val="16"/>
              </w:rPr>
            </w:pPr>
            <w:r w:rsidRPr="00F06708">
              <w:rPr>
                <w:rFonts w:ascii="Arial" w:hAnsi="Arial" w:cs="Arial"/>
                <w:b/>
                <w:bCs/>
                <w:color w:val="000000"/>
                <w:sz w:val="16"/>
                <w:szCs w:val="16"/>
              </w:rPr>
              <w:t>30 września 2020</w:t>
            </w:r>
          </w:p>
        </w:tc>
        <w:tc>
          <w:tcPr>
            <w:tcW w:w="1304" w:type="dxa"/>
            <w:tcBorders>
              <w:top w:val="nil"/>
              <w:left w:val="nil"/>
              <w:bottom w:val="single" w:sz="8" w:space="0" w:color="auto"/>
              <w:right w:val="nil"/>
            </w:tcBorders>
            <w:shd w:val="clear" w:color="auto" w:fill="auto"/>
            <w:noWrap/>
            <w:vAlign w:val="center"/>
            <w:hideMark/>
          </w:tcPr>
          <w:p w:rsidR="006431A7" w:rsidRPr="00F06708" w:rsidRDefault="006431A7" w:rsidP="006431A7">
            <w:pPr>
              <w:jc w:val="right"/>
              <w:rPr>
                <w:rFonts w:ascii="Arial" w:hAnsi="Arial" w:cs="Arial"/>
                <w:b/>
                <w:bCs/>
                <w:color w:val="000000"/>
                <w:sz w:val="16"/>
                <w:szCs w:val="16"/>
              </w:rPr>
            </w:pPr>
            <w:r w:rsidRPr="00F06708">
              <w:rPr>
                <w:rFonts w:ascii="Arial" w:hAnsi="Arial" w:cs="Arial"/>
                <w:b/>
                <w:bCs/>
                <w:color w:val="000000"/>
                <w:sz w:val="16"/>
                <w:szCs w:val="16"/>
              </w:rPr>
              <w:t>30 września 2020</w:t>
            </w:r>
          </w:p>
        </w:tc>
      </w:tr>
      <w:tr w:rsidR="006431A7" w:rsidRPr="00F06708" w:rsidTr="006431A7">
        <w:trPr>
          <w:trHeight w:val="300"/>
        </w:trPr>
        <w:tc>
          <w:tcPr>
            <w:tcW w:w="4126" w:type="dxa"/>
            <w:tcBorders>
              <w:top w:val="nil"/>
              <w:left w:val="nil"/>
              <w:bottom w:val="nil"/>
              <w:right w:val="nil"/>
            </w:tcBorders>
            <w:shd w:val="clear" w:color="auto" w:fill="auto"/>
            <w:noWrap/>
            <w:vAlign w:val="center"/>
            <w:hideMark/>
          </w:tcPr>
          <w:p w:rsidR="006431A7" w:rsidRPr="00F06708" w:rsidRDefault="006431A7" w:rsidP="006431A7">
            <w:pPr>
              <w:rPr>
                <w:rFonts w:ascii="Arial" w:hAnsi="Arial" w:cs="Arial"/>
                <w:color w:val="000000"/>
                <w:sz w:val="16"/>
                <w:szCs w:val="16"/>
              </w:rPr>
            </w:pPr>
            <w:r w:rsidRPr="00F06708">
              <w:rPr>
                <w:rFonts w:ascii="Arial" w:hAnsi="Arial" w:cs="Arial"/>
                <w:color w:val="000000"/>
                <w:sz w:val="16"/>
                <w:szCs w:val="16"/>
              </w:rPr>
              <w:t>Przychody ze sprzedaży</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18 965</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31 580</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9 983</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19 460</w:t>
            </w:r>
          </w:p>
        </w:tc>
      </w:tr>
      <w:tr w:rsidR="006431A7" w:rsidRPr="00F06708" w:rsidTr="006431A7">
        <w:trPr>
          <w:trHeight w:val="300"/>
        </w:trPr>
        <w:tc>
          <w:tcPr>
            <w:tcW w:w="4126" w:type="dxa"/>
            <w:tcBorders>
              <w:top w:val="nil"/>
              <w:left w:val="nil"/>
              <w:bottom w:val="nil"/>
              <w:right w:val="nil"/>
            </w:tcBorders>
            <w:shd w:val="clear" w:color="auto" w:fill="auto"/>
            <w:noWrap/>
            <w:vAlign w:val="center"/>
            <w:hideMark/>
          </w:tcPr>
          <w:p w:rsidR="006431A7" w:rsidRPr="00F06708" w:rsidRDefault="006431A7" w:rsidP="006431A7">
            <w:pPr>
              <w:rPr>
                <w:rFonts w:ascii="Arial" w:hAnsi="Arial" w:cs="Arial"/>
                <w:color w:val="000000"/>
                <w:sz w:val="16"/>
                <w:szCs w:val="16"/>
              </w:rPr>
            </w:pPr>
            <w:r w:rsidRPr="00F06708">
              <w:rPr>
                <w:rFonts w:ascii="Arial" w:hAnsi="Arial" w:cs="Arial"/>
                <w:color w:val="000000"/>
                <w:sz w:val="16"/>
                <w:szCs w:val="16"/>
              </w:rPr>
              <w:t xml:space="preserve">  Przychody ze sprzedaży usług</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18 905</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31 472</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9 936</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19 340</w:t>
            </w:r>
          </w:p>
        </w:tc>
      </w:tr>
      <w:tr w:rsidR="006431A7" w:rsidRPr="00F06708" w:rsidTr="006431A7">
        <w:trPr>
          <w:trHeight w:val="300"/>
        </w:trPr>
        <w:tc>
          <w:tcPr>
            <w:tcW w:w="4126" w:type="dxa"/>
            <w:tcBorders>
              <w:top w:val="nil"/>
              <w:left w:val="nil"/>
              <w:bottom w:val="nil"/>
              <w:right w:val="nil"/>
            </w:tcBorders>
            <w:shd w:val="clear" w:color="auto" w:fill="auto"/>
            <w:noWrap/>
            <w:vAlign w:val="center"/>
            <w:hideMark/>
          </w:tcPr>
          <w:p w:rsidR="006431A7" w:rsidRPr="00F06708" w:rsidRDefault="006431A7" w:rsidP="006431A7">
            <w:pPr>
              <w:rPr>
                <w:rFonts w:ascii="Arial" w:hAnsi="Arial" w:cs="Arial"/>
                <w:color w:val="000000"/>
                <w:sz w:val="16"/>
                <w:szCs w:val="16"/>
              </w:rPr>
            </w:pPr>
            <w:r w:rsidRPr="00F06708">
              <w:rPr>
                <w:rFonts w:ascii="Arial" w:hAnsi="Arial" w:cs="Arial"/>
                <w:color w:val="000000"/>
                <w:sz w:val="16"/>
                <w:szCs w:val="16"/>
              </w:rPr>
              <w:t xml:space="preserve">  Przychody ze sprzedaży towarów i materiałów</w:t>
            </w:r>
          </w:p>
        </w:tc>
        <w:tc>
          <w:tcPr>
            <w:tcW w:w="1304" w:type="dxa"/>
            <w:tcBorders>
              <w:top w:val="nil"/>
              <w:left w:val="nil"/>
              <w:bottom w:val="nil"/>
              <w:right w:val="nil"/>
            </w:tcBorders>
            <w:shd w:val="clear" w:color="auto" w:fill="auto"/>
            <w:noWrap/>
            <w:vAlign w:val="center"/>
            <w:hideMark/>
          </w:tcPr>
          <w:p w:rsidR="006431A7" w:rsidRPr="00F06708" w:rsidRDefault="000D373B" w:rsidP="006431A7">
            <w:pPr>
              <w:jc w:val="right"/>
              <w:rPr>
                <w:rFonts w:ascii="Arial" w:hAnsi="Arial" w:cs="Arial"/>
                <w:color w:val="000000"/>
                <w:sz w:val="16"/>
                <w:szCs w:val="16"/>
              </w:rPr>
            </w:pPr>
            <w:r w:rsidRPr="00F06708">
              <w:rPr>
                <w:rFonts w:ascii="Arial" w:hAnsi="Arial" w:cs="Arial"/>
                <w:color w:val="000000"/>
                <w:sz w:val="16"/>
                <w:szCs w:val="16"/>
              </w:rPr>
              <w:t>60</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108</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47</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120</w:t>
            </w:r>
          </w:p>
        </w:tc>
      </w:tr>
      <w:tr w:rsidR="006431A7" w:rsidRPr="00F06708" w:rsidTr="006431A7">
        <w:trPr>
          <w:trHeight w:val="300"/>
        </w:trPr>
        <w:tc>
          <w:tcPr>
            <w:tcW w:w="4126" w:type="dxa"/>
            <w:tcBorders>
              <w:top w:val="nil"/>
              <w:left w:val="nil"/>
              <w:bottom w:val="nil"/>
              <w:right w:val="nil"/>
            </w:tcBorders>
            <w:shd w:val="clear" w:color="auto" w:fill="auto"/>
            <w:vAlign w:val="center"/>
            <w:hideMark/>
          </w:tcPr>
          <w:p w:rsidR="006431A7" w:rsidRPr="00F06708" w:rsidRDefault="006431A7" w:rsidP="006431A7">
            <w:pPr>
              <w:rPr>
                <w:rFonts w:ascii="Arial" w:hAnsi="Arial" w:cs="Arial"/>
                <w:color w:val="000000"/>
                <w:sz w:val="16"/>
                <w:szCs w:val="16"/>
              </w:rPr>
            </w:pPr>
            <w:r w:rsidRPr="00F06708">
              <w:rPr>
                <w:rFonts w:ascii="Arial" w:hAnsi="Arial" w:cs="Arial"/>
                <w:color w:val="000000"/>
                <w:sz w:val="16"/>
                <w:szCs w:val="16"/>
              </w:rPr>
              <w:t>Koszty sprzedanych produktów, towarów i materiałów</w:t>
            </w:r>
          </w:p>
        </w:tc>
        <w:tc>
          <w:tcPr>
            <w:tcW w:w="1304" w:type="dxa"/>
            <w:tcBorders>
              <w:top w:val="nil"/>
              <w:left w:val="nil"/>
              <w:bottom w:val="nil"/>
              <w:right w:val="nil"/>
            </w:tcBorders>
            <w:shd w:val="clear" w:color="auto" w:fill="auto"/>
            <w:vAlign w:val="center"/>
            <w:hideMark/>
          </w:tcPr>
          <w:p w:rsidR="006431A7" w:rsidRPr="00F06708" w:rsidRDefault="006431A7" w:rsidP="000D373B">
            <w:pPr>
              <w:jc w:val="right"/>
              <w:rPr>
                <w:rFonts w:ascii="Arial" w:hAnsi="Arial" w:cs="Arial"/>
                <w:color w:val="000000"/>
                <w:sz w:val="16"/>
                <w:szCs w:val="16"/>
              </w:rPr>
            </w:pPr>
            <w:r w:rsidRPr="00F06708">
              <w:rPr>
                <w:rFonts w:ascii="Arial" w:hAnsi="Arial" w:cs="Arial"/>
                <w:color w:val="000000"/>
                <w:sz w:val="16"/>
                <w:szCs w:val="16"/>
              </w:rPr>
              <w:t>11 78</w:t>
            </w:r>
            <w:r w:rsidR="000D373B" w:rsidRPr="00F06708">
              <w:rPr>
                <w:rFonts w:ascii="Arial" w:hAnsi="Arial" w:cs="Arial"/>
                <w:color w:val="000000"/>
                <w:sz w:val="16"/>
                <w:szCs w:val="16"/>
              </w:rPr>
              <w:t>1</w:t>
            </w:r>
          </w:p>
        </w:tc>
        <w:tc>
          <w:tcPr>
            <w:tcW w:w="1304" w:type="dxa"/>
            <w:tcBorders>
              <w:top w:val="nil"/>
              <w:left w:val="nil"/>
              <w:bottom w:val="nil"/>
              <w:right w:val="nil"/>
            </w:tcBorders>
            <w:shd w:val="clear" w:color="auto" w:fill="auto"/>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24 907</w:t>
            </w:r>
          </w:p>
        </w:tc>
        <w:tc>
          <w:tcPr>
            <w:tcW w:w="1304" w:type="dxa"/>
            <w:tcBorders>
              <w:top w:val="nil"/>
              <w:left w:val="nil"/>
              <w:bottom w:val="nil"/>
              <w:right w:val="nil"/>
            </w:tcBorders>
            <w:shd w:val="clear" w:color="auto" w:fill="auto"/>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6 753</w:t>
            </w:r>
          </w:p>
        </w:tc>
        <w:tc>
          <w:tcPr>
            <w:tcW w:w="1304" w:type="dxa"/>
            <w:tcBorders>
              <w:top w:val="nil"/>
              <w:left w:val="nil"/>
              <w:bottom w:val="nil"/>
              <w:right w:val="nil"/>
            </w:tcBorders>
            <w:shd w:val="clear" w:color="auto" w:fill="auto"/>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15 023</w:t>
            </w:r>
          </w:p>
        </w:tc>
      </w:tr>
      <w:tr w:rsidR="006431A7" w:rsidRPr="00F06708" w:rsidTr="006431A7">
        <w:trPr>
          <w:trHeight w:val="300"/>
        </w:trPr>
        <w:tc>
          <w:tcPr>
            <w:tcW w:w="4126" w:type="dxa"/>
            <w:tcBorders>
              <w:top w:val="nil"/>
              <w:left w:val="nil"/>
              <w:bottom w:val="nil"/>
              <w:right w:val="nil"/>
            </w:tcBorders>
            <w:shd w:val="clear" w:color="auto" w:fill="auto"/>
            <w:noWrap/>
            <w:vAlign w:val="center"/>
            <w:hideMark/>
          </w:tcPr>
          <w:p w:rsidR="006431A7" w:rsidRPr="00F06708" w:rsidRDefault="006431A7" w:rsidP="006431A7">
            <w:pPr>
              <w:rPr>
                <w:rFonts w:ascii="Arial" w:hAnsi="Arial" w:cs="Arial"/>
                <w:color w:val="000000"/>
                <w:sz w:val="16"/>
                <w:szCs w:val="16"/>
              </w:rPr>
            </w:pPr>
            <w:r w:rsidRPr="00F06708">
              <w:rPr>
                <w:rFonts w:ascii="Arial" w:hAnsi="Arial" w:cs="Arial"/>
                <w:color w:val="000000"/>
                <w:sz w:val="16"/>
                <w:szCs w:val="16"/>
              </w:rPr>
              <w:t xml:space="preserve">  Koszty sprzedanych usług</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11 747</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24 852</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6 736</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14 980</w:t>
            </w:r>
          </w:p>
        </w:tc>
      </w:tr>
      <w:tr w:rsidR="006431A7" w:rsidRPr="00F06708" w:rsidTr="006431A7">
        <w:trPr>
          <w:trHeight w:val="300"/>
        </w:trPr>
        <w:tc>
          <w:tcPr>
            <w:tcW w:w="4126" w:type="dxa"/>
            <w:tcBorders>
              <w:top w:val="nil"/>
              <w:left w:val="nil"/>
              <w:bottom w:val="nil"/>
              <w:right w:val="nil"/>
            </w:tcBorders>
            <w:shd w:val="clear" w:color="auto" w:fill="auto"/>
            <w:vAlign w:val="center"/>
            <w:hideMark/>
          </w:tcPr>
          <w:p w:rsidR="006431A7" w:rsidRPr="00F06708" w:rsidRDefault="006431A7" w:rsidP="006431A7">
            <w:pPr>
              <w:rPr>
                <w:rFonts w:ascii="Arial" w:hAnsi="Arial" w:cs="Arial"/>
                <w:color w:val="000000"/>
                <w:sz w:val="16"/>
                <w:szCs w:val="16"/>
              </w:rPr>
            </w:pPr>
            <w:r w:rsidRPr="00F06708">
              <w:rPr>
                <w:rFonts w:ascii="Arial" w:hAnsi="Arial" w:cs="Arial"/>
                <w:color w:val="000000"/>
                <w:sz w:val="16"/>
                <w:szCs w:val="16"/>
              </w:rPr>
              <w:t xml:space="preserve">  Wartość sprzedanych towarów i materiałów</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34</w:t>
            </w:r>
          </w:p>
        </w:tc>
        <w:tc>
          <w:tcPr>
            <w:tcW w:w="1304" w:type="dxa"/>
            <w:tcBorders>
              <w:top w:val="nil"/>
              <w:left w:val="nil"/>
              <w:bottom w:val="nil"/>
              <w:right w:val="nil"/>
            </w:tcBorders>
            <w:shd w:val="clear" w:color="auto" w:fill="auto"/>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55</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17</w:t>
            </w:r>
          </w:p>
        </w:tc>
        <w:tc>
          <w:tcPr>
            <w:tcW w:w="1304" w:type="dxa"/>
            <w:tcBorders>
              <w:top w:val="nil"/>
              <w:left w:val="nil"/>
              <w:bottom w:val="nil"/>
              <w:right w:val="nil"/>
            </w:tcBorders>
            <w:shd w:val="clear" w:color="auto" w:fill="auto"/>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43</w:t>
            </w:r>
          </w:p>
        </w:tc>
      </w:tr>
      <w:tr w:rsidR="006431A7" w:rsidRPr="00F06708" w:rsidTr="006431A7">
        <w:trPr>
          <w:trHeight w:val="300"/>
        </w:trPr>
        <w:tc>
          <w:tcPr>
            <w:tcW w:w="4126" w:type="dxa"/>
            <w:tcBorders>
              <w:top w:val="nil"/>
              <w:left w:val="nil"/>
              <w:bottom w:val="nil"/>
              <w:right w:val="nil"/>
            </w:tcBorders>
            <w:shd w:val="clear" w:color="auto" w:fill="auto"/>
            <w:noWrap/>
            <w:vAlign w:val="center"/>
            <w:hideMark/>
          </w:tcPr>
          <w:p w:rsidR="006431A7" w:rsidRPr="00F06708" w:rsidRDefault="006431A7" w:rsidP="006431A7">
            <w:pPr>
              <w:rPr>
                <w:rFonts w:ascii="Arial" w:hAnsi="Arial" w:cs="Arial"/>
                <w:b/>
                <w:bCs/>
                <w:color w:val="000000"/>
                <w:sz w:val="16"/>
                <w:szCs w:val="16"/>
              </w:rPr>
            </w:pPr>
            <w:r w:rsidRPr="00F06708">
              <w:rPr>
                <w:rFonts w:ascii="Arial" w:hAnsi="Arial" w:cs="Arial"/>
                <w:b/>
                <w:bCs/>
                <w:color w:val="000000"/>
                <w:sz w:val="16"/>
                <w:szCs w:val="16"/>
              </w:rPr>
              <w:t>Zysk brutto ze sprzedaży</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b/>
                <w:bCs/>
                <w:color w:val="000000"/>
                <w:sz w:val="16"/>
                <w:szCs w:val="16"/>
              </w:rPr>
            </w:pPr>
            <w:r w:rsidRPr="00F06708">
              <w:rPr>
                <w:rFonts w:ascii="Arial" w:hAnsi="Arial" w:cs="Arial"/>
                <w:b/>
                <w:bCs/>
                <w:color w:val="000000"/>
                <w:sz w:val="16"/>
                <w:szCs w:val="16"/>
              </w:rPr>
              <w:t>7 184</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b/>
                <w:bCs/>
                <w:color w:val="000000"/>
                <w:sz w:val="16"/>
                <w:szCs w:val="16"/>
              </w:rPr>
            </w:pPr>
            <w:r w:rsidRPr="00F06708">
              <w:rPr>
                <w:rFonts w:ascii="Arial" w:hAnsi="Arial" w:cs="Arial"/>
                <w:b/>
                <w:bCs/>
                <w:color w:val="000000"/>
                <w:sz w:val="16"/>
                <w:szCs w:val="16"/>
              </w:rPr>
              <w:t>6 673</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b/>
                <w:bCs/>
                <w:color w:val="000000"/>
                <w:sz w:val="16"/>
                <w:szCs w:val="16"/>
              </w:rPr>
            </w:pPr>
            <w:r w:rsidRPr="00F06708">
              <w:rPr>
                <w:rFonts w:ascii="Arial" w:hAnsi="Arial" w:cs="Arial"/>
                <w:b/>
                <w:bCs/>
                <w:color w:val="000000"/>
                <w:sz w:val="16"/>
                <w:szCs w:val="16"/>
              </w:rPr>
              <w:t>3 230</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b/>
                <w:bCs/>
                <w:color w:val="000000"/>
                <w:sz w:val="16"/>
                <w:szCs w:val="16"/>
              </w:rPr>
            </w:pPr>
            <w:r w:rsidRPr="00F06708">
              <w:rPr>
                <w:rFonts w:ascii="Arial" w:hAnsi="Arial" w:cs="Arial"/>
                <w:b/>
                <w:bCs/>
                <w:color w:val="000000"/>
                <w:sz w:val="16"/>
                <w:szCs w:val="16"/>
              </w:rPr>
              <w:t>4 437</w:t>
            </w:r>
          </w:p>
        </w:tc>
      </w:tr>
      <w:tr w:rsidR="006431A7" w:rsidRPr="00F06708" w:rsidTr="006431A7">
        <w:trPr>
          <w:trHeight w:val="300"/>
        </w:trPr>
        <w:tc>
          <w:tcPr>
            <w:tcW w:w="4126" w:type="dxa"/>
            <w:tcBorders>
              <w:top w:val="nil"/>
              <w:left w:val="nil"/>
              <w:bottom w:val="nil"/>
              <w:right w:val="nil"/>
            </w:tcBorders>
            <w:shd w:val="clear" w:color="auto" w:fill="auto"/>
            <w:noWrap/>
            <w:vAlign w:val="center"/>
            <w:hideMark/>
          </w:tcPr>
          <w:p w:rsidR="006431A7" w:rsidRPr="00F06708" w:rsidRDefault="006431A7" w:rsidP="006431A7">
            <w:pPr>
              <w:rPr>
                <w:rFonts w:ascii="Arial" w:hAnsi="Arial" w:cs="Arial"/>
                <w:color w:val="000000"/>
                <w:sz w:val="16"/>
                <w:szCs w:val="16"/>
              </w:rPr>
            </w:pPr>
            <w:r w:rsidRPr="00F06708">
              <w:rPr>
                <w:rFonts w:ascii="Arial" w:hAnsi="Arial" w:cs="Arial"/>
                <w:color w:val="000000"/>
                <w:sz w:val="16"/>
                <w:szCs w:val="16"/>
              </w:rPr>
              <w:t xml:space="preserve">Koszty sprzedaży </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632</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1 227</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505</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1 117</w:t>
            </w:r>
          </w:p>
        </w:tc>
      </w:tr>
      <w:tr w:rsidR="006431A7" w:rsidRPr="00F06708" w:rsidTr="006431A7">
        <w:trPr>
          <w:trHeight w:val="300"/>
        </w:trPr>
        <w:tc>
          <w:tcPr>
            <w:tcW w:w="4126" w:type="dxa"/>
            <w:tcBorders>
              <w:top w:val="nil"/>
              <w:left w:val="nil"/>
              <w:bottom w:val="nil"/>
              <w:right w:val="nil"/>
            </w:tcBorders>
            <w:shd w:val="clear" w:color="auto" w:fill="auto"/>
            <w:noWrap/>
            <w:vAlign w:val="center"/>
            <w:hideMark/>
          </w:tcPr>
          <w:p w:rsidR="006431A7" w:rsidRPr="00F06708" w:rsidRDefault="006431A7" w:rsidP="006431A7">
            <w:pPr>
              <w:rPr>
                <w:rFonts w:ascii="Arial" w:hAnsi="Arial" w:cs="Arial"/>
                <w:color w:val="000000"/>
                <w:sz w:val="16"/>
                <w:szCs w:val="16"/>
              </w:rPr>
            </w:pPr>
            <w:r w:rsidRPr="00F06708">
              <w:rPr>
                <w:rFonts w:ascii="Arial" w:hAnsi="Arial" w:cs="Arial"/>
                <w:color w:val="000000"/>
                <w:sz w:val="16"/>
                <w:szCs w:val="16"/>
              </w:rPr>
              <w:t>Koszty ogólnego zarządu</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1 498</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4 122</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1 018</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3 726</w:t>
            </w:r>
          </w:p>
        </w:tc>
      </w:tr>
      <w:tr w:rsidR="006431A7" w:rsidRPr="00F06708" w:rsidTr="006431A7">
        <w:trPr>
          <w:trHeight w:val="300"/>
        </w:trPr>
        <w:tc>
          <w:tcPr>
            <w:tcW w:w="4126" w:type="dxa"/>
            <w:tcBorders>
              <w:top w:val="nil"/>
              <w:left w:val="nil"/>
              <w:bottom w:val="nil"/>
              <w:right w:val="nil"/>
            </w:tcBorders>
            <w:shd w:val="clear" w:color="auto" w:fill="auto"/>
            <w:noWrap/>
            <w:vAlign w:val="center"/>
            <w:hideMark/>
          </w:tcPr>
          <w:p w:rsidR="006431A7" w:rsidRPr="00F06708" w:rsidRDefault="006431A7" w:rsidP="006431A7">
            <w:pPr>
              <w:rPr>
                <w:rFonts w:ascii="Arial" w:hAnsi="Arial" w:cs="Arial"/>
                <w:color w:val="000000"/>
                <w:sz w:val="16"/>
                <w:szCs w:val="16"/>
              </w:rPr>
            </w:pPr>
            <w:r w:rsidRPr="00F06708">
              <w:rPr>
                <w:rFonts w:ascii="Arial" w:hAnsi="Arial" w:cs="Arial"/>
                <w:color w:val="000000"/>
                <w:sz w:val="16"/>
                <w:szCs w:val="16"/>
              </w:rPr>
              <w:t>Pozostałe przychody i zyski operacyjne</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2 413</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2 960</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54</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2 024</w:t>
            </w:r>
          </w:p>
        </w:tc>
      </w:tr>
      <w:tr w:rsidR="006431A7" w:rsidRPr="00F06708" w:rsidTr="006431A7">
        <w:trPr>
          <w:trHeight w:val="300"/>
        </w:trPr>
        <w:tc>
          <w:tcPr>
            <w:tcW w:w="4126" w:type="dxa"/>
            <w:tcBorders>
              <w:top w:val="nil"/>
              <w:left w:val="nil"/>
              <w:bottom w:val="nil"/>
              <w:right w:val="nil"/>
            </w:tcBorders>
            <w:shd w:val="clear" w:color="auto" w:fill="auto"/>
            <w:noWrap/>
            <w:vAlign w:val="center"/>
            <w:hideMark/>
          </w:tcPr>
          <w:p w:rsidR="006431A7" w:rsidRPr="00F06708" w:rsidRDefault="006431A7" w:rsidP="006431A7">
            <w:pPr>
              <w:rPr>
                <w:rFonts w:ascii="Arial" w:hAnsi="Arial" w:cs="Arial"/>
                <w:color w:val="000000"/>
                <w:sz w:val="16"/>
                <w:szCs w:val="16"/>
              </w:rPr>
            </w:pPr>
            <w:r w:rsidRPr="00F06708">
              <w:rPr>
                <w:rFonts w:ascii="Arial" w:hAnsi="Arial" w:cs="Arial"/>
                <w:color w:val="000000"/>
                <w:sz w:val="16"/>
                <w:szCs w:val="16"/>
              </w:rPr>
              <w:t>Pozostałe koszty i straty operacyjne</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130</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328</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1 700</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7 634</w:t>
            </w:r>
          </w:p>
        </w:tc>
      </w:tr>
      <w:tr w:rsidR="006431A7" w:rsidRPr="00F06708" w:rsidTr="006431A7">
        <w:trPr>
          <w:trHeight w:val="300"/>
        </w:trPr>
        <w:tc>
          <w:tcPr>
            <w:tcW w:w="4126" w:type="dxa"/>
            <w:tcBorders>
              <w:top w:val="nil"/>
              <w:left w:val="nil"/>
              <w:bottom w:val="nil"/>
              <w:right w:val="nil"/>
            </w:tcBorders>
            <w:shd w:val="clear" w:color="auto" w:fill="auto"/>
            <w:noWrap/>
            <w:vAlign w:val="center"/>
            <w:hideMark/>
          </w:tcPr>
          <w:p w:rsidR="006431A7" w:rsidRPr="00F06708" w:rsidRDefault="006431A7" w:rsidP="006431A7">
            <w:pPr>
              <w:rPr>
                <w:rFonts w:ascii="Arial" w:hAnsi="Arial" w:cs="Arial"/>
                <w:b/>
                <w:bCs/>
                <w:color w:val="000000"/>
                <w:sz w:val="16"/>
                <w:szCs w:val="16"/>
              </w:rPr>
            </w:pPr>
            <w:r w:rsidRPr="00F06708">
              <w:rPr>
                <w:rFonts w:ascii="Arial" w:hAnsi="Arial" w:cs="Arial"/>
                <w:b/>
                <w:bCs/>
                <w:color w:val="000000"/>
                <w:sz w:val="16"/>
                <w:szCs w:val="16"/>
              </w:rPr>
              <w:t>Zysk z działalności operacyjnej</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b/>
                <w:bCs/>
                <w:color w:val="000000"/>
                <w:sz w:val="16"/>
                <w:szCs w:val="16"/>
              </w:rPr>
            </w:pPr>
            <w:r w:rsidRPr="00F06708">
              <w:rPr>
                <w:rFonts w:ascii="Arial" w:hAnsi="Arial" w:cs="Arial"/>
                <w:b/>
                <w:bCs/>
                <w:color w:val="000000"/>
                <w:sz w:val="16"/>
                <w:szCs w:val="16"/>
              </w:rPr>
              <w:t>7 337</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b/>
                <w:bCs/>
                <w:color w:val="000000"/>
                <w:sz w:val="16"/>
                <w:szCs w:val="16"/>
              </w:rPr>
            </w:pPr>
            <w:r w:rsidRPr="00F06708">
              <w:rPr>
                <w:rFonts w:ascii="Arial" w:hAnsi="Arial" w:cs="Arial"/>
                <w:b/>
                <w:bCs/>
                <w:color w:val="000000"/>
                <w:sz w:val="16"/>
                <w:szCs w:val="16"/>
              </w:rPr>
              <w:t>3 956</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b/>
                <w:bCs/>
                <w:color w:val="000000"/>
                <w:sz w:val="16"/>
                <w:szCs w:val="16"/>
              </w:rPr>
            </w:pPr>
            <w:r w:rsidRPr="00F06708">
              <w:rPr>
                <w:rFonts w:ascii="Arial" w:hAnsi="Arial" w:cs="Arial"/>
                <w:b/>
                <w:bCs/>
                <w:color w:val="000000"/>
                <w:sz w:val="16"/>
                <w:szCs w:val="16"/>
              </w:rPr>
              <w:t>61</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b/>
                <w:bCs/>
                <w:color w:val="000000"/>
                <w:sz w:val="16"/>
                <w:szCs w:val="16"/>
              </w:rPr>
            </w:pPr>
            <w:r w:rsidRPr="00F06708">
              <w:rPr>
                <w:rFonts w:ascii="Arial" w:hAnsi="Arial" w:cs="Arial"/>
                <w:b/>
                <w:bCs/>
                <w:color w:val="000000"/>
                <w:sz w:val="16"/>
                <w:szCs w:val="16"/>
              </w:rPr>
              <w:t>-6 016</w:t>
            </w:r>
          </w:p>
        </w:tc>
      </w:tr>
      <w:tr w:rsidR="006431A7" w:rsidRPr="00F06708" w:rsidTr="006431A7">
        <w:trPr>
          <w:trHeight w:val="300"/>
        </w:trPr>
        <w:tc>
          <w:tcPr>
            <w:tcW w:w="4126" w:type="dxa"/>
            <w:tcBorders>
              <w:top w:val="nil"/>
              <w:left w:val="nil"/>
              <w:bottom w:val="nil"/>
              <w:right w:val="nil"/>
            </w:tcBorders>
            <w:shd w:val="clear" w:color="auto" w:fill="auto"/>
            <w:noWrap/>
            <w:vAlign w:val="center"/>
            <w:hideMark/>
          </w:tcPr>
          <w:p w:rsidR="006431A7" w:rsidRPr="00F06708" w:rsidRDefault="006431A7" w:rsidP="006431A7">
            <w:pPr>
              <w:rPr>
                <w:rFonts w:ascii="Arial" w:hAnsi="Arial" w:cs="Arial"/>
                <w:color w:val="000000"/>
                <w:sz w:val="16"/>
                <w:szCs w:val="16"/>
              </w:rPr>
            </w:pPr>
            <w:r w:rsidRPr="00F06708">
              <w:rPr>
                <w:rFonts w:ascii="Arial" w:hAnsi="Arial" w:cs="Arial"/>
                <w:color w:val="000000"/>
                <w:sz w:val="16"/>
                <w:szCs w:val="16"/>
              </w:rPr>
              <w:t>Przychody finansowe</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53</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110</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0</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0</w:t>
            </w:r>
          </w:p>
        </w:tc>
      </w:tr>
      <w:tr w:rsidR="006431A7" w:rsidRPr="00F06708" w:rsidTr="006431A7">
        <w:trPr>
          <w:trHeight w:val="300"/>
        </w:trPr>
        <w:tc>
          <w:tcPr>
            <w:tcW w:w="4126" w:type="dxa"/>
            <w:tcBorders>
              <w:top w:val="nil"/>
              <w:left w:val="nil"/>
              <w:bottom w:val="nil"/>
              <w:right w:val="nil"/>
            </w:tcBorders>
            <w:shd w:val="clear" w:color="auto" w:fill="auto"/>
            <w:noWrap/>
            <w:vAlign w:val="center"/>
            <w:hideMark/>
          </w:tcPr>
          <w:p w:rsidR="006431A7" w:rsidRPr="00F06708" w:rsidRDefault="006431A7" w:rsidP="006431A7">
            <w:pPr>
              <w:rPr>
                <w:rFonts w:ascii="Arial" w:hAnsi="Arial" w:cs="Arial"/>
                <w:color w:val="000000"/>
                <w:sz w:val="16"/>
                <w:szCs w:val="16"/>
              </w:rPr>
            </w:pPr>
            <w:r w:rsidRPr="00F06708">
              <w:rPr>
                <w:rFonts w:ascii="Arial" w:hAnsi="Arial" w:cs="Arial"/>
                <w:color w:val="000000"/>
                <w:sz w:val="16"/>
                <w:szCs w:val="16"/>
              </w:rPr>
              <w:t>Koszty finansowe</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361</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726</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286</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835</w:t>
            </w:r>
          </w:p>
        </w:tc>
      </w:tr>
      <w:tr w:rsidR="006431A7" w:rsidRPr="00F06708" w:rsidTr="006431A7">
        <w:trPr>
          <w:trHeight w:val="300"/>
        </w:trPr>
        <w:tc>
          <w:tcPr>
            <w:tcW w:w="4126" w:type="dxa"/>
            <w:tcBorders>
              <w:top w:val="nil"/>
              <w:left w:val="nil"/>
              <w:bottom w:val="nil"/>
              <w:right w:val="nil"/>
            </w:tcBorders>
            <w:shd w:val="clear" w:color="auto" w:fill="auto"/>
            <w:noWrap/>
            <w:vAlign w:val="center"/>
            <w:hideMark/>
          </w:tcPr>
          <w:p w:rsidR="006431A7" w:rsidRPr="00F06708" w:rsidRDefault="006431A7" w:rsidP="006431A7">
            <w:pPr>
              <w:rPr>
                <w:rFonts w:ascii="Arial" w:hAnsi="Arial" w:cs="Arial"/>
                <w:b/>
                <w:bCs/>
                <w:color w:val="000000"/>
                <w:sz w:val="16"/>
                <w:szCs w:val="16"/>
              </w:rPr>
            </w:pPr>
            <w:r w:rsidRPr="00F06708">
              <w:rPr>
                <w:rFonts w:ascii="Arial" w:hAnsi="Arial" w:cs="Arial"/>
                <w:b/>
                <w:bCs/>
                <w:color w:val="000000"/>
                <w:sz w:val="16"/>
                <w:szCs w:val="16"/>
              </w:rPr>
              <w:t>Zysk przed opodatkowaniem</w:t>
            </w:r>
          </w:p>
        </w:tc>
        <w:tc>
          <w:tcPr>
            <w:tcW w:w="1304" w:type="dxa"/>
            <w:tcBorders>
              <w:top w:val="nil"/>
              <w:left w:val="nil"/>
              <w:bottom w:val="nil"/>
              <w:right w:val="nil"/>
            </w:tcBorders>
            <w:shd w:val="clear" w:color="auto" w:fill="auto"/>
            <w:noWrap/>
            <w:vAlign w:val="center"/>
            <w:hideMark/>
          </w:tcPr>
          <w:p w:rsidR="006431A7" w:rsidRPr="00F06708" w:rsidRDefault="006431A7" w:rsidP="000D373B">
            <w:pPr>
              <w:jc w:val="right"/>
              <w:rPr>
                <w:rFonts w:ascii="Arial" w:hAnsi="Arial" w:cs="Arial"/>
                <w:b/>
                <w:color w:val="000000"/>
                <w:sz w:val="16"/>
                <w:szCs w:val="16"/>
              </w:rPr>
            </w:pPr>
            <w:r w:rsidRPr="00F06708">
              <w:rPr>
                <w:rFonts w:ascii="Arial" w:hAnsi="Arial" w:cs="Arial"/>
                <w:b/>
                <w:color w:val="000000"/>
                <w:sz w:val="16"/>
                <w:szCs w:val="16"/>
              </w:rPr>
              <w:t>7 0</w:t>
            </w:r>
            <w:r w:rsidR="000D373B" w:rsidRPr="00F06708">
              <w:rPr>
                <w:rFonts w:ascii="Arial" w:hAnsi="Arial" w:cs="Arial"/>
                <w:b/>
                <w:color w:val="000000"/>
                <w:sz w:val="16"/>
                <w:szCs w:val="16"/>
              </w:rPr>
              <w:t>29</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b/>
                <w:color w:val="000000"/>
                <w:sz w:val="16"/>
                <w:szCs w:val="16"/>
              </w:rPr>
            </w:pPr>
            <w:r w:rsidRPr="00F06708">
              <w:rPr>
                <w:rFonts w:ascii="Arial" w:hAnsi="Arial" w:cs="Arial"/>
                <w:b/>
                <w:color w:val="000000"/>
                <w:sz w:val="16"/>
                <w:szCs w:val="16"/>
              </w:rPr>
              <w:t>3 340</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b/>
                <w:color w:val="000000"/>
                <w:sz w:val="16"/>
                <w:szCs w:val="16"/>
              </w:rPr>
            </w:pPr>
            <w:r w:rsidRPr="00F06708">
              <w:rPr>
                <w:rFonts w:ascii="Arial" w:hAnsi="Arial" w:cs="Arial"/>
                <w:b/>
                <w:color w:val="000000"/>
                <w:sz w:val="16"/>
                <w:szCs w:val="16"/>
              </w:rPr>
              <w:t>-225</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b/>
                <w:color w:val="000000"/>
                <w:sz w:val="16"/>
                <w:szCs w:val="16"/>
              </w:rPr>
            </w:pPr>
            <w:r w:rsidRPr="00F06708">
              <w:rPr>
                <w:rFonts w:ascii="Arial" w:hAnsi="Arial" w:cs="Arial"/>
                <w:b/>
                <w:color w:val="000000"/>
                <w:sz w:val="16"/>
                <w:szCs w:val="16"/>
              </w:rPr>
              <w:t>-6 851</w:t>
            </w:r>
          </w:p>
        </w:tc>
      </w:tr>
      <w:tr w:rsidR="006431A7" w:rsidRPr="00F06708" w:rsidTr="006431A7">
        <w:trPr>
          <w:trHeight w:val="300"/>
        </w:trPr>
        <w:tc>
          <w:tcPr>
            <w:tcW w:w="4126" w:type="dxa"/>
            <w:tcBorders>
              <w:top w:val="nil"/>
              <w:left w:val="nil"/>
              <w:bottom w:val="nil"/>
              <w:right w:val="nil"/>
            </w:tcBorders>
            <w:shd w:val="clear" w:color="auto" w:fill="auto"/>
            <w:noWrap/>
            <w:vAlign w:val="center"/>
            <w:hideMark/>
          </w:tcPr>
          <w:p w:rsidR="006431A7" w:rsidRPr="00F06708" w:rsidRDefault="006431A7" w:rsidP="006431A7">
            <w:pPr>
              <w:rPr>
                <w:rFonts w:ascii="Arial" w:hAnsi="Arial" w:cs="Arial"/>
                <w:color w:val="000000"/>
                <w:sz w:val="16"/>
                <w:szCs w:val="16"/>
              </w:rPr>
            </w:pPr>
            <w:r w:rsidRPr="00F06708">
              <w:rPr>
                <w:rFonts w:ascii="Arial" w:hAnsi="Arial" w:cs="Arial"/>
                <w:color w:val="000000"/>
                <w:sz w:val="16"/>
                <w:szCs w:val="16"/>
              </w:rPr>
              <w:t xml:space="preserve">Podatek dochodowy </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894</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8</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51</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-31</w:t>
            </w:r>
          </w:p>
        </w:tc>
      </w:tr>
      <w:tr w:rsidR="006431A7" w:rsidRPr="00F06708" w:rsidTr="006431A7">
        <w:trPr>
          <w:trHeight w:val="300"/>
        </w:trPr>
        <w:tc>
          <w:tcPr>
            <w:tcW w:w="4126" w:type="dxa"/>
            <w:tcBorders>
              <w:top w:val="nil"/>
              <w:left w:val="nil"/>
              <w:bottom w:val="nil"/>
              <w:right w:val="nil"/>
            </w:tcBorders>
            <w:shd w:val="clear" w:color="auto" w:fill="auto"/>
            <w:noWrap/>
            <w:vAlign w:val="center"/>
            <w:hideMark/>
          </w:tcPr>
          <w:p w:rsidR="006431A7" w:rsidRPr="00F06708" w:rsidRDefault="006431A7" w:rsidP="006431A7">
            <w:pPr>
              <w:rPr>
                <w:rFonts w:ascii="Arial" w:hAnsi="Arial" w:cs="Arial"/>
                <w:color w:val="000000"/>
                <w:sz w:val="16"/>
                <w:szCs w:val="16"/>
              </w:rPr>
            </w:pPr>
            <w:r w:rsidRPr="00F06708">
              <w:rPr>
                <w:rFonts w:ascii="Arial" w:hAnsi="Arial" w:cs="Arial"/>
                <w:color w:val="000000"/>
                <w:sz w:val="16"/>
                <w:szCs w:val="16"/>
              </w:rPr>
              <w:t>część bieżąca</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147</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-81</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0</w:t>
            </w:r>
          </w:p>
        </w:tc>
        <w:tc>
          <w:tcPr>
            <w:tcW w:w="1304" w:type="dxa"/>
            <w:tcBorders>
              <w:top w:val="nil"/>
              <w:left w:val="nil"/>
              <w:bottom w:val="nil"/>
              <w:right w:val="nil"/>
            </w:tcBorders>
            <w:shd w:val="clear" w:color="auto" w:fill="auto"/>
            <w:noWrap/>
            <w:vAlign w:val="center"/>
            <w:hideMark/>
          </w:tcPr>
          <w:p w:rsidR="006431A7" w:rsidRPr="00F06708" w:rsidRDefault="006431A7" w:rsidP="007C72C8">
            <w:pPr>
              <w:jc w:val="right"/>
              <w:rPr>
                <w:rFonts w:ascii="Arial" w:hAnsi="Arial" w:cs="Arial"/>
                <w:color w:val="000000"/>
                <w:sz w:val="16"/>
                <w:szCs w:val="16"/>
              </w:rPr>
            </w:pPr>
            <w:r w:rsidRPr="00F06708">
              <w:rPr>
                <w:rFonts w:ascii="Arial" w:hAnsi="Arial" w:cs="Arial"/>
                <w:color w:val="000000"/>
                <w:sz w:val="16"/>
                <w:szCs w:val="16"/>
              </w:rPr>
              <w:t>4</w:t>
            </w:r>
            <w:r w:rsidR="007C72C8" w:rsidRPr="00F06708">
              <w:rPr>
                <w:rFonts w:ascii="Arial" w:hAnsi="Arial" w:cs="Arial"/>
                <w:color w:val="000000"/>
                <w:sz w:val="16"/>
                <w:szCs w:val="16"/>
              </w:rPr>
              <w:t>0</w:t>
            </w:r>
          </w:p>
        </w:tc>
      </w:tr>
      <w:tr w:rsidR="006431A7" w:rsidRPr="00F06708" w:rsidTr="006431A7">
        <w:trPr>
          <w:trHeight w:val="300"/>
        </w:trPr>
        <w:tc>
          <w:tcPr>
            <w:tcW w:w="4126" w:type="dxa"/>
            <w:tcBorders>
              <w:top w:val="nil"/>
              <w:left w:val="nil"/>
              <w:bottom w:val="nil"/>
              <w:right w:val="nil"/>
            </w:tcBorders>
            <w:shd w:val="clear" w:color="auto" w:fill="auto"/>
            <w:noWrap/>
            <w:vAlign w:val="center"/>
            <w:hideMark/>
          </w:tcPr>
          <w:p w:rsidR="006431A7" w:rsidRPr="00F06708" w:rsidRDefault="006431A7" w:rsidP="006431A7">
            <w:pPr>
              <w:rPr>
                <w:rFonts w:ascii="Arial" w:hAnsi="Arial" w:cs="Arial"/>
                <w:color w:val="000000"/>
                <w:sz w:val="16"/>
                <w:szCs w:val="16"/>
              </w:rPr>
            </w:pPr>
            <w:r w:rsidRPr="00F06708">
              <w:rPr>
                <w:rFonts w:ascii="Arial" w:hAnsi="Arial" w:cs="Arial"/>
                <w:color w:val="000000"/>
                <w:sz w:val="16"/>
                <w:szCs w:val="16"/>
              </w:rPr>
              <w:t>część odroczona</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747</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89</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51</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-71</w:t>
            </w:r>
          </w:p>
        </w:tc>
      </w:tr>
      <w:tr w:rsidR="006431A7" w:rsidRPr="00F06708" w:rsidTr="006431A7">
        <w:trPr>
          <w:trHeight w:val="300"/>
        </w:trPr>
        <w:tc>
          <w:tcPr>
            <w:tcW w:w="4126" w:type="dxa"/>
            <w:tcBorders>
              <w:top w:val="nil"/>
              <w:left w:val="nil"/>
              <w:bottom w:val="nil"/>
              <w:right w:val="nil"/>
            </w:tcBorders>
            <w:shd w:val="clear" w:color="auto" w:fill="auto"/>
            <w:noWrap/>
            <w:vAlign w:val="center"/>
            <w:hideMark/>
          </w:tcPr>
          <w:p w:rsidR="006431A7" w:rsidRPr="00F06708" w:rsidRDefault="006431A7" w:rsidP="006431A7">
            <w:pPr>
              <w:rPr>
                <w:rFonts w:ascii="Arial" w:hAnsi="Arial" w:cs="Arial"/>
                <w:b/>
                <w:bCs/>
                <w:color w:val="000000"/>
                <w:sz w:val="16"/>
                <w:szCs w:val="16"/>
              </w:rPr>
            </w:pPr>
            <w:r w:rsidRPr="00F06708">
              <w:rPr>
                <w:rFonts w:ascii="Arial" w:hAnsi="Arial" w:cs="Arial"/>
                <w:b/>
                <w:bCs/>
                <w:color w:val="000000"/>
                <w:sz w:val="16"/>
                <w:szCs w:val="16"/>
              </w:rPr>
              <w:t xml:space="preserve">Zysk netto </w:t>
            </w:r>
          </w:p>
        </w:tc>
        <w:tc>
          <w:tcPr>
            <w:tcW w:w="1304" w:type="dxa"/>
            <w:tcBorders>
              <w:top w:val="nil"/>
              <w:left w:val="nil"/>
              <w:bottom w:val="nil"/>
              <w:right w:val="nil"/>
            </w:tcBorders>
            <w:shd w:val="clear" w:color="auto" w:fill="auto"/>
            <w:noWrap/>
            <w:vAlign w:val="center"/>
            <w:hideMark/>
          </w:tcPr>
          <w:p w:rsidR="006431A7" w:rsidRPr="00F06708" w:rsidRDefault="006431A7" w:rsidP="000D373B">
            <w:pPr>
              <w:jc w:val="right"/>
              <w:rPr>
                <w:rFonts w:ascii="Arial" w:hAnsi="Arial" w:cs="Arial"/>
                <w:b/>
                <w:bCs/>
                <w:color w:val="000000"/>
                <w:sz w:val="16"/>
                <w:szCs w:val="16"/>
              </w:rPr>
            </w:pPr>
            <w:r w:rsidRPr="00F06708">
              <w:rPr>
                <w:rFonts w:ascii="Arial" w:hAnsi="Arial" w:cs="Arial"/>
                <w:b/>
                <w:bCs/>
                <w:color w:val="000000"/>
                <w:sz w:val="16"/>
                <w:szCs w:val="16"/>
              </w:rPr>
              <w:t>6 13</w:t>
            </w:r>
            <w:r w:rsidR="000D373B" w:rsidRPr="00F06708">
              <w:rPr>
                <w:rFonts w:ascii="Arial" w:hAnsi="Arial" w:cs="Arial"/>
                <w:b/>
                <w:bCs/>
                <w:color w:val="000000"/>
                <w:sz w:val="16"/>
                <w:szCs w:val="16"/>
              </w:rPr>
              <w:t>5</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b/>
                <w:bCs/>
                <w:color w:val="000000"/>
                <w:sz w:val="16"/>
                <w:szCs w:val="16"/>
              </w:rPr>
            </w:pPr>
            <w:r w:rsidRPr="00F06708">
              <w:rPr>
                <w:rFonts w:ascii="Arial" w:hAnsi="Arial" w:cs="Arial"/>
                <w:b/>
                <w:bCs/>
                <w:color w:val="000000"/>
                <w:sz w:val="16"/>
                <w:szCs w:val="16"/>
              </w:rPr>
              <w:t>3 332</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b/>
                <w:bCs/>
                <w:color w:val="000000"/>
                <w:sz w:val="16"/>
                <w:szCs w:val="16"/>
              </w:rPr>
            </w:pPr>
            <w:r w:rsidRPr="00F06708">
              <w:rPr>
                <w:rFonts w:ascii="Arial" w:hAnsi="Arial" w:cs="Arial"/>
                <w:b/>
                <w:bCs/>
                <w:color w:val="000000"/>
                <w:sz w:val="16"/>
                <w:szCs w:val="16"/>
              </w:rPr>
              <w:t>-276</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b/>
                <w:bCs/>
                <w:color w:val="000000"/>
                <w:sz w:val="16"/>
                <w:szCs w:val="16"/>
              </w:rPr>
            </w:pPr>
            <w:r w:rsidRPr="00F06708">
              <w:rPr>
                <w:rFonts w:ascii="Arial" w:hAnsi="Arial" w:cs="Arial"/>
                <w:b/>
                <w:bCs/>
                <w:color w:val="000000"/>
                <w:sz w:val="16"/>
                <w:szCs w:val="16"/>
              </w:rPr>
              <w:t>-6 820</w:t>
            </w:r>
          </w:p>
        </w:tc>
      </w:tr>
      <w:tr w:rsidR="006431A7" w:rsidRPr="00F06708" w:rsidTr="006431A7">
        <w:trPr>
          <w:trHeight w:val="450"/>
        </w:trPr>
        <w:tc>
          <w:tcPr>
            <w:tcW w:w="4126" w:type="dxa"/>
            <w:tcBorders>
              <w:top w:val="nil"/>
              <w:left w:val="nil"/>
              <w:bottom w:val="nil"/>
              <w:right w:val="nil"/>
            </w:tcBorders>
            <w:shd w:val="clear" w:color="auto" w:fill="auto"/>
            <w:vAlign w:val="center"/>
            <w:hideMark/>
          </w:tcPr>
          <w:p w:rsidR="006431A7" w:rsidRPr="00F06708" w:rsidRDefault="006431A7" w:rsidP="006431A7">
            <w:pPr>
              <w:rPr>
                <w:rFonts w:ascii="Arial" w:hAnsi="Arial" w:cs="Arial"/>
                <w:color w:val="000000"/>
                <w:sz w:val="16"/>
                <w:szCs w:val="16"/>
              </w:rPr>
            </w:pPr>
            <w:r w:rsidRPr="00F06708">
              <w:rPr>
                <w:rFonts w:ascii="Arial" w:hAnsi="Arial" w:cs="Arial"/>
                <w:color w:val="000000"/>
                <w:sz w:val="16"/>
                <w:szCs w:val="16"/>
              </w:rPr>
              <w:t>Inne całkowite dochody, które nie zostaną przekwalifikowane na zyski lub straty:</w:t>
            </w:r>
          </w:p>
        </w:tc>
        <w:tc>
          <w:tcPr>
            <w:tcW w:w="1304" w:type="dxa"/>
            <w:tcBorders>
              <w:top w:val="nil"/>
              <w:left w:val="nil"/>
              <w:bottom w:val="nil"/>
              <w:right w:val="nil"/>
            </w:tcBorders>
            <w:shd w:val="clear" w:color="auto" w:fill="auto"/>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0</w:t>
            </w:r>
          </w:p>
        </w:tc>
        <w:tc>
          <w:tcPr>
            <w:tcW w:w="1304" w:type="dxa"/>
            <w:tcBorders>
              <w:top w:val="nil"/>
              <w:left w:val="nil"/>
              <w:bottom w:val="nil"/>
              <w:right w:val="nil"/>
            </w:tcBorders>
            <w:shd w:val="clear" w:color="auto" w:fill="auto"/>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0</w:t>
            </w:r>
          </w:p>
        </w:tc>
        <w:tc>
          <w:tcPr>
            <w:tcW w:w="1304" w:type="dxa"/>
            <w:tcBorders>
              <w:top w:val="nil"/>
              <w:left w:val="nil"/>
              <w:bottom w:val="nil"/>
              <w:right w:val="nil"/>
            </w:tcBorders>
            <w:shd w:val="clear" w:color="auto" w:fill="auto"/>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0</w:t>
            </w:r>
          </w:p>
        </w:tc>
        <w:tc>
          <w:tcPr>
            <w:tcW w:w="1304" w:type="dxa"/>
            <w:tcBorders>
              <w:top w:val="nil"/>
              <w:left w:val="nil"/>
              <w:bottom w:val="nil"/>
              <w:right w:val="nil"/>
            </w:tcBorders>
            <w:shd w:val="clear" w:color="auto" w:fill="auto"/>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0</w:t>
            </w:r>
          </w:p>
        </w:tc>
      </w:tr>
      <w:tr w:rsidR="006431A7" w:rsidRPr="00F06708" w:rsidTr="006431A7">
        <w:trPr>
          <w:trHeight w:val="450"/>
        </w:trPr>
        <w:tc>
          <w:tcPr>
            <w:tcW w:w="4126" w:type="dxa"/>
            <w:tcBorders>
              <w:top w:val="nil"/>
              <w:left w:val="nil"/>
              <w:bottom w:val="nil"/>
              <w:right w:val="nil"/>
            </w:tcBorders>
            <w:shd w:val="clear" w:color="auto" w:fill="auto"/>
            <w:vAlign w:val="center"/>
            <w:hideMark/>
          </w:tcPr>
          <w:p w:rsidR="006431A7" w:rsidRPr="00F06708" w:rsidRDefault="006431A7" w:rsidP="006431A7">
            <w:pPr>
              <w:rPr>
                <w:rFonts w:ascii="Arial" w:hAnsi="Arial" w:cs="Arial"/>
                <w:color w:val="000000"/>
                <w:sz w:val="16"/>
                <w:szCs w:val="16"/>
              </w:rPr>
            </w:pPr>
            <w:r w:rsidRPr="00F06708">
              <w:rPr>
                <w:rFonts w:ascii="Arial" w:hAnsi="Arial" w:cs="Arial"/>
                <w:color w:val="000000"/>
                <w:sz w:val="16"/>
                <w:szCs w:val="16"/>
              </w:rPr>
              <w:t xml:space="preserve">   Zyski/Straty aktuarialne z tytułu wyceny świadczeń po okresie zatrudnienia</w:t>
            </w:r>
          </w:p>
        </w:tc>
        <w:tc>
          <w:tcPr>
            <w:tcW w:w="1304" w:type="dxa"/>
            <w:tcBorders>
              <w:top w:val="nil"/>
              <w:left w:val="nil"/>
              <w:bottom w:val="nil"/>
              <w:right w:val="nil"/>
            </w:tcBorders>
            <w:shd w:val="clear" w:color="auto" w:fill="auto"/>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0</w:t>
            </w:r>
          </w:p>
        </w:tc>
        <w:tc>
          <w:tcPr>
            <w:tcW w:w="1304" w:type="dxa"/>
            <w:tcBorders>
              <w:top w:val="nil"/>
              <w:left w:val="nil"/>
              <w:bottom w:val="nil"/>
              <w:right w:val="nil"/>
            </w:tcBorders>
            <w:shd w:val="clear" w:color="auto" w:fill="auto"/>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0</w:t>
            </w:r>
          </w:p>
        </w:tc>
        <w:tc>
          <w:tcPr>
            <w:tcW w:w="1304" w:type="dxa"/>
            <w:tcBorders>
              <w:top w:val="nil"/>
              <w:left w:val="nil"/>
              <w:bottom w:val="nil"/>
              <w:right w:val="nil"/>
            </w:tcBorders>
            <w:shd w:val="clear" w:color="auto" w:fill="auto"/>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0</w:t>
            </w:r>
          </w:p>
        </w:tc>
        <w:tc>
          <w:tcPr>
            <w:tcW w:w="1304" w:type="dxa"/>
            <w:tcBorders>
              <w:top w:val="nil"/>
              <w:left w:val="nil"/>
              <w:bottom w:val="nil"/>
              <w:right w:val="nil"/>
            </w:tcBorders>
            <w:shd w:val="clear" w:color="auto" w:fill="auto"/>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0</w:t>
            </w:r>
          </w:p>
        </w:tc>
      </w:tr>
      <w:tr w:rsidR="006431A7" w:rsidRPr="00F06708" w:rsidTr="006431A7">
        <w:trPr>
          <w:trHeight w:val="465"/>
        </w:trPr>
        <w:tc>
          <w:tcPr>
            <w:tcW w:w="4126" w:type="dxa"/>
            <w:tcBorders>
              <w:top w:val="nil"/>
              <w:left w:val="nil"/>
              <w:bottom w:val="nil"/>
              <w:right w:val="nil"/>
            </w:tcBorders>
            <w:shd w:val="clear" w:color="auto" w:fill="auto"/>
            <w:vAlign w:val="center"/>
            <w:hideMark/>
          </w:tcPr>
          <w:p w:rsidR="006431A7" w:rsidRPr="00F06708" w:rsidRDefault="006431A7" w:rsidP="006431A7">
            <w:pPr>
              <w:rPr>
                <w:rFonts w:ascii="Arial" w:hAnsi="Arial" w:cs="Arial"/>
                <w:color w:val="000000"/>
                <w:sz w:val="16"/>
                <w:szCs w:val="16"/>
              </w:rPr>
            </w:pPr>
            <w:r w:rsidRPr="00F06708">
              <w:rPr>
                <w:rFonts w:ascii="Arial" w:hAnsi="Arial" w:cs="Arial"/>
                <w:color w:val="000000"/>
                <w:sz w:val="16"/>
                <w:szCs w:val="16"/>
              </w:rPr>
              <w:t xml:space="preserve">   Podatek dochodowy dotyczący zysków/strat aktuarialnych</w:t>
            </w:r>
          </w:p>
        </w:tc>
        <w:tc>
          <w:tcPr>
            <w:tcW w:w="1304" w:type="dxa"/>
            <w:tcBorders>
              <w:top w:val="nil"/>
              <w:left w:val="nil"/>
              <w:bottom w:val="nil"/>
              <w:right w:val="nil"/>
            </w:tcBorders>
            <w:shd w:val="clear" w:color="auto" w:fill="auto"/>
            <w:vAlign w:val="center"/>
            <w:hideMark/>
          </w:tcPr>
          <w:p w:rsidR="006431A7" w:rsidRPr="00F06708" w:rsidRDefault="006431A7" w:rsidP="006431A7">
            <w:pPr>
              <w:jc w:val="right"/>
              <w:rPr>
                <w:rFonts w:ascii="Arial" w:hAnsi="Arial" w:cs="Arial"/>
                <w:sz w:val="16"/>
                <w:szCs w:val="16"/>
              </w:rPr>
            </w:pPr>
            <w:r w:rsidRPr="00F06708">
              <w:rPr>
                <w:rFonts w:ascii="Arial" w:hAnsi="Arial" w:cs="Arial"/>
                <w:sz w:val="16"/>
                <w:szCs w:val="16"/>
              </w:rPr>
              <w:t>0</w:t>
            </w:r>
          </w:p>
        </w:tc>
        <w:tc>
          <w:tcPr>
            <w:tcW w:w="1304" w:type="dxa"/>
            <w:tcBorders>
              <w:top w:val="nil"/>
              <w:left w:val="nil"/>
              <w:bottom w:val="nil"/>
              <w:right w:val="nil"/>
            </w:tcBorders>
            <w:shd w:val="clear" w:color="auto" w:fill="auto"/>
            <w:vAlign w:val="center"/>
            <w:hideMark/>
          </w:tcPr>
          <w:p w:rsidR="006431A7" w:rsidRPr="00F06708" w:rsidRDefault="006431A7" w:rsidP="006431A7">
            <w:pPr>
              <w:jc w:val="right"/>
              <w:rPr>
                <w:rFonts w:ascii="Arial" w:hAnsi="Arial" w:cs="Arial"/>
                <w:sz w:val="16"/>
                <w:szCs w:val="16"/>
              </w:rPr>
            </w:pPr>
            <w:r w:rsidRPr="00F06708">
              <w:rPr>
                <w:rFonts w:ascii="Arial" w:hAnsi="Arial" w:cs="Arial"/>
                <w:sz w:val="16"/>
                <w:szCs w:val="16"/>
              </w:rPr>
              <w:t>0</w:t>
            </w:r>
          </w:p>
        </w:tc>
        <w:tc>
          <w:tcPr>
            <w:tcW w:w="1304" w:type="dxa"/>
            <w:tcBorders>
              <w:top w:val="nil"/>
              <w:left w:val="nil"/>
              <w:bottom w:val="nil"/>
              <w:right w:val="nil"/>
            </w:tcBorders>
            <w:shd w:val="clear" w:color="auto" w:fill="auto"/>
            <w:vAlign w:val="center"/>
            <w:hideMark/>
          </w:tcPr>
          <w:p w:rsidR="006431A7" w:rsidRPr="00F06708" w:rsidRDefault="006431A7" w:rsidP="006431A7">
            <w:pPr>
              <w:jc w:val="right"/>
              <w:rPr>
                <w:rFonts w:ascii="Arial" w:hAnsi="Arial" w:cs="Arial"/>
                <w:sz w:val="16"/>
                <w:szCs w:val="16"/>
              </w:rPr>
            </w:pPr>
            <w:r w:rsidRPr="00F06708">
              <w:rPr>
                <w:rFonts w:ascii="Arial" w:hAnsi="Arial" w:cs="Arial"/>
                <w:sz w:val="16"/>
                <w:szCs w:val="16"/>
              </w:rPr>
              <w:t>0</w:t>
            </w:r>
          </w:p>
        </w:tc>
        <w:tc>
          <w:tcPr>
            <w:tcW w:w="1304" w:type="dxa"/>
            <w:tcBorders>
              <w:top w:val="nil"/>
              <w:left w:val="nil"/>
              <w:bottom w:val="nil"/>
              <w:right w:val="nil"/>
            </w:tcBorders>
            <w:shd w:val="clear" w:color="auto" w:fill="auto"/>
            <w:vAlign w:val="center"/>
            <w:hideMark/>
          </w:tcPr>
          <w:p w:rsidR="006431A7" w:rsidRPr="00F06708" w:rsidRDefault="006431A7" w:rsidP="006431A7">
            <w:pPr>
              <w:jc w:val="right"/>
              <w:rPr>
                <w:rFonts w:ascii="Arial" w:hAnsi="Arial" w:cs="Arial"/>
                <w:sz w:val="16"/>
                <w:szCs w:val="16"/>
              </w:rPr>
            </w:pPr>
            <w:r w:rsidRPr="00F06708">
              <w:rPr>
                <w:rFonts w:ascii="Arial" w:hAnsi="Arial" w:cs="Arial"/>
                <w:sz w:val="16"/>
                <w:szCs w:val="16"/>
              </w:rPr>
              <w:t>0</w:t>
            </w:r>
          </w:p>
        </w:tc>
      </w:tr>
      <w:tr w:rsidR="006431A7" w:rsidRPr="00F06708" w:rsidTr="006431A7">
        <w:trPr>
          <w:trHeight w:val="315"/>
        </w:trPr>
        <w:tc>
          <w:tcPr>
            <w:tcW w:w="4126" w:type="dxa"/>
            <w:tcBorders>
              <w:top w:val="single" w:sz="8" w:space="0" w:color="auto"/>
              <w:left w:val="nil"/>
              <w:bottom w:val="single" w:sz="8" w:space="0" w:color="auto"/>
              <w:right w:val="nil"/>
            </w:tcBorders>
            <w:shd w:val="clear" w:color="auto" w:fill="auto"/>
            <w:noWrap/>
            <w:vAlign w:val="center"/>
            <w:hideMark/>
          </w:tcPr>
          <w:p w:rsidR="006431A7" w:rsidRPr="00F06708" w:rsidRDefault="006431A7" w:rsidP="006431A7">
            <w:pPr>
              <w:rPr>
                <w:rFonts w:ascii="Arial" w:hAnsi="Arial" w:cs="Arial"/>
                <w:b/>
                <w:bCs/>
                <w:color w:val="000000"/>
                <w:sz w:val="16"/>
                <w:szCs w:val="16"/>
              </w:rPr>
            </w:pPr>
            <w:r w:rsidRPr="00F06708">
              <w:rPr>
                <w:rFonts w:ascii="Arial" w:hAnsi="Arial" w:cs="Arial"/>
                <w:b/>
                <w:bCs/>
                <w:color w:val="000000"/>
                <w:sz w:val="16"/>
                <w:szCs w:val="16"/>
              </w:rPr>
              <w:t>CAŁKOWITE DOCHODY</w:t>
            </w:r>
          </w:p>
        </w:tc>
        <w:tc>
          <w:tcPr>
            <w:tcW w:w="1304" w:type="dxa"/>
            <w:tcBorders>
              <w:top w:val="single" w:sz="8" w:space="0" w:color="auto"/>
              <w:left w:val="nil"/>
              <w:bottom w:val="single" w:sz="8" w:space="0" w:color="auto"/>
              <w:right w:val="nil"/>
            </w:tcBorders>
            <w:shd w:val="clear" w:color="auto" w:fill="auto"/>
            <w:noWrap/>
            <w:vAlign w:val="center"/>
            <w:hideMark/>
          </w:tcPr>
          <w:p w:rsidR="006431A7" w:rsidRPr="00F06708" w:rsidRDefault="006431A7" w:rsidP="000D373B">
            <w:pPr>
              <w:jc w:val="right"/>
              <w:rPr>
                <w:rFonts w:ascii="Arial" w:hAnsi="Arial" w:cs="Arial"/>
                <w:b/>
                <w:bCs/>
                <w:color w:val="000000"/>
                <w:sz w:val="16"/>
                <w:szCs w:val="16"/>
              </w:rPr>
            </w:pPr>
            <w:r w:rsidRPr="00F06708">
              <w:rPr>
                <w:rFonts w:ascii="Arial" w:hAnsi="Arial" w:cs="Arial"/>
                <w:b/>
                <w:bCs/>
                <w:color w:val="000000"/>
                <w:sz w:val="16"/>
                <w:szCs w:val="16"/>
              </w:rPr>
              <w:t>6 13</w:t>
            </w:r>
            <w:r w:rsidR="000D373B" w:rsidRPr="00F06708">
              <w:rPr>
                <w:rFonts w:ascii="Arial" w:hAnsi="Arial" w:cs="Arial"/>
                <w:b/>
                <w:bCs/>
                <w:color w:val="000000"/>
                <w:sz w:val="16"/>
                <w:szCs w:val="16"/>
              </w:rPr>
              <w:t>5</w:t>
            </w:r>
          </w:p>
        </w:tc>
        <w:tc>
          <w:tcPr>
            <w:tcW w:w="1304" w:type="dxa"/>
            <w:tcBorders>
              <w:top w:val="single" w:sz="8" w:space="0" w:color="auto"/>
              <w:left w:val="nil"/>
              <w:bottom w:val="single" w:sz="8" w:space="0" w:color="auto"/>
              <w:right w:val="nil"/>
            </w:tcBorders>
            <w:shd w:val="clear" w:color="auto" w:fill="auto"/>
            <w:noWrap/>
            <w:vAlign w:val="center"/>
            <w:hideMark/>
          </w:tcPr>
          <w:p w:rsidR="006431A7" w:rsidRPr="00F06708" w:rsidRDefault="006431A7" w:rsidP="006431A7">
            <w:pPr>
              <w:jc w:val="right"/>
              <w:rPr>
                <w:rFonts w:ascii="Arial" w:hAnsi="Arial" w:cs="Arial"/>
                <w:b/>
                <w:bCs/>
                <w:color w:val="000000"/>
                <w:sz w:val="16"/>
                <w:szCs w:val="16"/>
              </w:rPr>
            </w:pPr>
            <w:r w:rsidRPr="00F06708">
              <w:rPr>
                <w:rFonts w:ascii="Arial" w:hAnsi="Arial" w:cs="Arial"/>
                <w:b/>
                <w:bCs/>
                <w:color w:val="000000"/>
                <w:sz w:val="16"/>
                <w:szCs w:val="16"/>
              </w:rPr>
              <w:t>3 332</w:t>
            </w:r>
          </w:p>
        </w:tc>
        <w:tc>
          <w:tcPr>
            <w:tcW w:w="1304" w:type="dxa"/>
            <w:tcBorders>
              <w:top w:val="single" w:sz="8" w:space="0" w:color="auto"/>
              <w:left w:val="nil"/>
              <w:bottom w:val="single" w:sz="8" w:space="0" w:color="auto"/>
              <w:right w:val="nil"/>
            </w:tcBorders>
            <w:shd w:val="clear" w:color="auto" w:fill="auto"/>
            <w:noWrap/>
            <w:vAlign w:val="center"/>
            <w:hideMark/>
          </w:tcPr>
          <w:p w:rsidR="006431A7" w:rsidRPr="00F06708" w:rsidRDefault="006431A7" w:rsidP="006431A7">
            <w:pPr>
              <w:jc w:val="right"/>
              <w:rPr>
                <w:rFonts w:ascii="Arial" w:hAnsi="Arial" w:cs="Arial"/>
                <w:b/>
                <w:bCs/>
                <w:color w:val="000000"/>
                <w:sz w:val="16"/>
                <w:szCs w:val="16"/>
              </w:rPr>
            </w:pPr>
            <w:r w:rsidRPr="00F06708">
              <w:rPr>
                <w:rFonts w:ascii="Arial" w:hAnsi="Arial" w:cs="Arial"/>
                <w:b/>
                <w:bCs/>
                <w:color w:val="000000"/>
                <w:sz w:val="16"/>
                <w:szCs w:val="16"/>
              </w:rPr>
              <w:t>-276</w:t>
            </w:r>
          </w:p>
        </w:tc>
        <w:tc>
          <w:tcPr>
            <w:tcW w:w="1304" w:type="dxa"/>
            <w:tcBorders>
              <w:top w:val="single" w:sz="8" w:space="0" w:color="auto"/>
              <w:left w:val="nil"/>
              <w:bottom w:val="single" w:sz="8" w:space="0" w:color="auto"/>
              <w:right w:val="nil"/>
            </w:tcBorders>
            <w:shd w:val="clear" w:color="auto" w:fill="auto"/>
            <w:noWrap/>
            <w:vAlign w:val="center"/>
            <w:hideMark/>
          </w:tcPr>
          <w:p w:rsidR="006431A7" w:rsidRPr="00F06708" w:rsidRDefault="006431A7" w:rsidP="006431A7">
            <w:pPr>
              <w:jc w:val="right"/>
              <w:rPr>
                <w:rFonts w:ascii="Arial" w:hAnsi="Arial" w:cs="Arial"/>
                <w:b/>
                <w:bCs/>
                <w:color w:val="000000"/>
                <w:sz w:val="16"/>
                <w:szCs w:val="16"/>
              </w:rPr>
            </w:pPr>
            <w:r w:rsidRPr="00F06708">
              <w:rPr>
                <w:rFonts w:ascii="Arial" w:hAnsi="Arial" w:cs="Arial"/>
                <w:b/>
                <w:bCs/>
                <w:color w:val="000000"/>
                <w:sz w:val="16"/>
                <w:szCs w:val="16"/>
              </w:rPr>
              <w:t>-6 820</w:t>
            </w:r>
          </w:p>
        </w:tc>
      </w:tr>
      <w:tr w:rsidR="006431A7" w:rsidRPr="00F06708" w:rsidTr="006431A7">
        <w:trPr>
          <w:trHeight w:val="300"/>
        </w:trPr>
        <w:tc>
          <w:tcPr>
            <w:tcW w:w="4126" w:type="dxa"/>
            <w:tcBorders>
              <w:top w:val="nil"/>
              <w:left w:val="nil"/>
              <w:bottom w:val="nil"/>
              <w:right w:val="nil"/>
            </w:tcBorders>
            <w:shd w:val="clear" w:color="auto" w:fill="auto"/>
            <w:noWrap/>
            <w:vAlign w:val="center"/>
            <w:hideMark/>
          </w:tcPr>
          <w:p w:rsidR="006431A7" w:rsidRPr="00F06708" w:rsidRDefault="006431A7" w:rsidP="006431A7">
            <w:pPr>
              <w:rPr>
                <w:rFonts w:ascii="Arial" w:hAnsi="Arial" w:cs="Arial"/>
                <w:color w:val="000000"/>
                <w:sz w:val="16"/>
                <w:szCs w:val="16"/>
              </w:rPr>
            </w:pPr>
            <w:r w:rsidRPr="00F06708">
              <w:rPr>
                <w:rFonts w:ascii="Arial" w:hAnsi="Arial" w:cs="Arial"/>
                <w:color w:val="000000"/>
                <w:sz w:val="16"/>
                <w:szCs w:val="16"/>
              </w:rPr>
              <w:t>Zysk przypadający:</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b/>
                <w:bCs/>
                <w:color w:val="000000"/>
                <w:sz w:val="16"/>
                <w:szCs w:val="16"/>
              </w:rPr>
            </w:pP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b/>
                <w:bCs/>
                <w:color w:val="000000"/>
                <w:sz w:val="16"/>
                <w:szCs w:val="16"/>
              </w:rPr>
            </w:pP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b/>
                <w:bCs/>
                <w:color w:val="000000"/>
                <w:sz w:val="16"/>
                <w:szCs w:val="16"/>
              </w:rPr>
            </w:pP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b/>
                <w:bCs/>
                <w:color w:val="000000"/>
                <w:sz w:val="16"/>
                <w:szCs w:val="16"/>
              </w:rPr>
            </w:pPr>
          </w:p>
        </w:tc>
      </w:tr>
      <w:tr w:rsidR="006431A7" w:rsidRPr="00F06708" w:rsidTr="006431A7">
        <w:trPr>
          <w:trHeight w:val="300"/>
        </w:trPr>
        <w:tc>
          <w:tcPr>
            <w:tcW w:w="4126" w:type="dxa"/>
            <w:tcBorders>
              <w:top w:val="nil"/>
              <w:left w:val="nil"/>
              <w:bottom w:val="nil"/>
              <w:right w:val="nil"/>
            </w:tcBorders>
            <w:shd w:val="clear" w:color="auto" w:fill="auto"/>
            <w:noWrap/>
            <w:vAlign w:val="center"/>
            <w:hideMark/>
          </w:tcPr>
          <w:p w:rsidR="006431A7" w:rsidRPr="00F06708" w:rsidRDefault="006431A7" w:rsidP="006431A7">
            <w:pPr>
              <w:rPr>
                <w:rFonts w:ascii="Arial" w:hAnsi="Arial" w:cs="Arial"/>
                <w:color w:val="000000"/>
                <w:sz w:val="16"/>
                <w:szCs w:val="16"/>
              </w:rPr>
            </w:pPr>
            <w:r w:rsidRPr="00F06708">
              <w:rPr>
                <w:rFonts w:ascii="Arial" w:hAnsi="Arial" w:cs="Arial"/>
                <w:color w:val="000000"/>
                <w:sz w:val="16"/>
                <w:szCs w:val="16"/>
              </w:rPr>
              <w:t>akcjonariuszom Jednostki Dominującej</w:t>
            </w:r>
          </w:p>
        </w:tc>
        <w:tc>
          <w:tcPr>
            <w:tcW w:w="1304" w:type="dxa"/>
            <w:tcBorders>
              <w:top w:val="nil"/>
              <w:left w:val="nil"/>
              <w:bottom w:val="nil"/>
              <w:right w:val="nil"/>
            </w:tcBorders>
            <w:shd w:val="clear" w:color="auto" w:fill="auto"/>
            <w:noWrap/>
            <w:vAlign w:val="center"/>
            <w:hideMark/>
          </w:tcPr>
          <w:p w:rsidR="006431A7" w:rsidRPr="00F06708" w:rsidRDefault="006431A7" w:rsidP="000D373B">
            <w:pPr>
              <w:jc w:val="right"/>
              <w:rPr>
                <w:rFonts w:ascii="Arial" w:hAnsi="Arial" w:cs="Arial"/>
                <w:color w:val="000000"/>
                <w:sz w:val="16"/>
                <w:szCs w:val="16"/>
              </w:rPr>
            </w:pPr>
            <w:r w:rsidRPr="00F06708">
              <w:rPr>
                <w:rFonts w:ascii="Arial" w:hAnsi="Arial" w:cs="Arial"/>
                <w:color w:val="000000"/>
                <w:sz w:val="16"/>
                <w:szCs w:val="16"/>
              </w:rPr>
              <w:t>6 13</w:t>
            </w:r>
            <w:r w:rsidR="000D373B" w:rsidRPr="00F06708">
              <w:rPr>
                <w:rFonts w:ascii="Arial" w:hAnsi="Arial" w:cs="Arial"/>
                <w:color w:val="000000"/>
                <w:sz w:val="16"/>
                <w:szCs w:val="16"/>
              </w:rPr>
              <w:t>5</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3 332</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-276</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-6 820</w:t>
            </w:r>
          </w:p>
        </w:tc>
      </w:tr>
      <w:tr w:rsidR="006431A7" w:rsidRPr="00F06708" w:rsidTr="006431A7">
        <w:trPr>
          <w:trHeight w:val="300"/>
        </w:trPr>
        <w:tc>
          <w:tcPr>
            <w:tcW w:w="4126" w:type="dxa"/>
            <w:tcBorders>
              <w:top w:val="nil"/>
              <w:left w:val="nil"/>
              <w:bottom w:val="nil"/>
              <w:right w:val="nil"/>
            </w:tcBorders>
            <w:shd w:val="clear" w:color="auto" w:fill="auto"/>
            <w:noWrap/>
            <w:vAlign w:val="center"/>
            <w:hideMark/>
          </w:tcPr>
          <w:p w:rsidR="006431A7" w:rsidRPr="00F06708" w:rsidRDefault="006431A7" w:rsidP="006431A7">
            <w:pPr>
              <w:rPr>
                <w:rFonts w:ascii="Arial" w:hAnsi="Arial" w:cs="Arial"/>
                <w:color w:val="000000"/>
                <w:sz w:val="16"/>
                <w:szCs w:val="16"/>
              </w:rPr>
            </w:pPr>
            <w:r w:rsidRPr="00F06708">
              <w:rPr>
                <w:rFonts w:ascii="Arial" w:hAnsi="Arial" w:cs="Arial"/>
                <w:color w:val="000000"/>
                <w:sz w:val="16"/>
                <w:szCs w:val="16"/>
              </w:rPr>
              <w:t>Łączne całkowite dochody przypadające:</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rPr>
                <w:rFonts w:ascii="Arial" w:hAnsi="Arial" w:cs="Arial"/>
                <w:color w:val="000000"/>
                <w:sz w:val="16"/>
                <w:szCs w:val="16"/>
              </w:rPr>
            </w:pPr>
          </w:p>
        </w:tc>
        <w:tc>
          <w:tcPr>
            <w:tcW w:w="1304" w:type="dxa"/>
            <w:tcBorders>
              <w:top w:val="nil"/>
              <w:left w:val="nil"/>
              <w:bottom w:val="nil"/>
              <w:right w:val="nil"/>
            </w:tcBorders>
            <w:shd w:val="clear" w:color="auto" w:fill="auto"/>
            <w:noWrap/>
            <w:vAlign w:val="center"/>
            <w:hideMark/>
          </w:tcPr>
          <w:p w:rsidR="006431A7" w:rsidRPr="00F06708" w:rsidRDefault="006431A7" w:rsidP="006431A7">
            <w:pPr>
              <w:rPr>
                <w:rFonts w:ascii="Arial" w:hAnsi="Arial" w:cs="Arial"/>
                <w:color w:val="000000"/>
                <w:sz w:val="16"/>
                <w:szCs w:val="16"/>
              </w:rPr>
            </w:pPr>
          </w:p>
        </w:tc>
        <w:tc>
          <w:tcPr>
            <w:tcW w:w="1304" w:type="dxa"/>
            <w:tcBorders>
              <w:top w:val="nil"/>
              <w:left w:val="nil"/>
              <w:bottom w:val="nil"/>
              <w:right w:val="nil"/>
            </w:tcBorders>
            <w:shd w:val="clear" w:color="auto" w:fill="auto"/>
            <w:noWrap/>
            <w:vAlign w:val="center"/>
            <w:hideMark/>
          </w:tcPr>
          <w:p w:rsidR="006431A7" w:rsidRPr="00F06708" w:rsidRDefault="006431A7" w:rsidP="006431A7">
            <w:pPr>
              <w:rPr>
                <w:rFonts w:ascii="Arial" w:hAnsi="Arial" w:cs="Arial"/>
                <w:color w:val="000000"/>
                <w:sz w:val="16"/>
                <w:szCs w:val="16"/>
              </w:rPr>
            </w:pPr>
          </w:p>
        </w:tc>
        <w:tc>
          <w:tcPr>
            <w:tcW w:w="1304" w:type="dxa"/>
            <w:tcBorders>
              <w:top w:val="nil"/>
              <w:left w:val="nil"/>
              <w:bottom w:val="nil"/>
              <w:right w:val="nil"/>
            </w:tcBorders>
            <w:shd w:val="clear" w:color="auto" w:fill="auto"/>
            <w:noWrap/>
            <w:vAlign w:val="center"/>
            <w:hideMark/>
          </w:tcPr>
          <w:p w:rsidR="006431A7" w:rsidRPr="00F06708" w:rsidRDefault="006431A7" w:rsidP="006431A7">
            <w:pPr>
              <w:rPr>
                <w:rFonts w:ascii="Arial" w:hAnsi="Arial" w:cs="Arial"/>
                <w:color w:val="000000"/>
                <w:sz w:val="16"/>
                <w:szCs w:val="16"/>
              </w:rPr>
            </w:pPr>
          </w:p>
        </w:tc>
      </w:tr>
      <w:tr w:rsidR="006431A7" w:rsidRPr="00F06708" w:rsidTr="006431A7">
        <w:trPr>
          <w:trHeight w:val="300"/>
        </w:trPr>
        <w:tc>
          <w:tcPr>
            <w:tcW w:w="4126" w:type="dxa"/>
            <w:tcBorders>
              <w:top w:val="nil"/>
              <w:left w:val="nil"/>
              <w:bottom w:val="nil"/>
              <w:right w:val="nil"/>
            </w:tcBorders>
            <w:shd w:val="clear" w:color="auto" w:fill="auto"/>
            <w:noWrap/>
            <w:vAlign w:val="center"/>
            <w:hideMark/>
          </w:tcPr>
          <w:p w:rsidR="006431A7" w:rsidRPr="00F06708" w:rsidRDefault="006431A7" w:rsidP="006431A7">
            <w:pPr>
              <w:rPr>
                <w:rFonts w:ascii="Arial" w:hAnsi="Arial" w:cs="Arial"/>
                <w:color w:val="000000"/>
                <w:sz w:val="16"/>
                <w:szCs w:val="16"/>
              </w:rPr>
            </w:pPr>
            <w:r w:rsidRPr="00F06708">
              <w:rPr>
                <w:rFonts w:ascii="Arial" w:hAnsi="Arial" w:cs="Arial"/>
                <w:color w:val="000000"/>
                <w:sz w:val="16"/>
                <w:szCs w:val="16"/>
              </w:rPr>
              <w:t>akcjonariuszom Jednostki Dominującej</w:t>
            </w:r>
          </w:p>
        </w:tc>
        <w:tc>
          <w:tcPr>
            <w:tcW w:w="1304" w:type="dxa"/>
            <w:tcBorders>
              <w:top w:val="nil"/>
              <w:left w:val="nil"/>
              <w:bottom w:val="nil"/>
              <w:right w:val="nil"/>
            </w:tcBorders>
            <w:shd w:val="clear" w:color="auto" w:fill="auto"/>
            <w:noWrap/>
            <w:vAlign w:val="center"/>
            <w:hideMark/>
          </w:tcPr>
          <w:p w:rsidR="006431A7" w:rsidRPr="00F06708" w:rsidRDefault="006431A7" w:rsidP="000D373B">
            <w:pPr>
              <w:jc w:val="right"/>
              <w:rPr>
                <w:rFonts w:ascii="Arial" w:hAnsi="Arial" w:cs="Arial"/>
                <w:color w:val="000000"/>
                <w:sz w:val="16"/>
                <w:szCs w:val="16"/>
              </w:rPr>
            </w:pPr>
            <w:r w:rsidRPr="00F06708">
              <w:rPr>
                <w:rFonts w:ascii="Arial" w:hAnsi="Arial" w:cs="Arial"/>
                <w:color w:val="000000"/>
                <w:sz w:val="16"/>
                <w:szCs w:val="16"/>
              </w:rPr>
              <w:t>6 13</w:t>
            </w:r>
            <w:r w:rsidR="000D373B" w:rsidRPr="00F06708">
              <w:rPr>
                <w:rFonts w:ascii="Arial" w:hAnsi="Arial" w:cs="Arial"/>
                <w:color w:val="000000"/>
                <w:sz w:val="16"/>
                <w:szCs w:val="16"/>
              </w:rPr>
              <w:t>5</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3 332</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-276</w:t>
            </w:r>
          </w:p>
        </w:tc>
        <w:tc>
          <w:tcPr>
            <w:tcW w:w="1304" w:type="dxa"/>
            <w:tcBorders>
              <w:top w:val="nil"/>
              <w:left w:val="nil"/>
              <w:bottom w:val="nil"/>
              <w:right w:val="nil"/>
            </w:tcBorders>
            <w:shd w:val="clear" w:color="auto" w:fill="auto"/>
            <w:noWrap/>
            <w:vAlign w:val="center"/>
            <w:hideMark/>
          </w:tcPr>
          <w:p w:rsidR="006431A7" w:rsidRPr="00F06708" w:rsidRDefault="006431A7" w:rsidP="006431A7">
            <w:pPr>
              <w:jc w:val="right"/>
              <w:rPr>
                <w:rFonts w:ascii="Arial" w:hAnsi="Arial" w:cs="Arial"/>
                <w:color w:val="000000"/>
                <w:sz w:val="16"/>
                <w:szCs w:val="16"/>
              </w:rPr>
            </w:pPr>
            <w:r w:rsidRPr="00F06708">
              <w:rPr>
                <w:rFonts w:ascii="Arial" w:hAnsi="Arial" w:cs="Arial"/>
                <w:color w:val="000000"/>
                <w:sz w:val="16"/>
                <w:szCs w:val="16"/>
              </w:rPr>
              <w:t>-6 820</w:t>
            </w:r>
          </w:p>
        </w:tc>
      </w:tr>
    </w:tbl>
    <w:p w:rsidR="006418A8" w:rsidRPr="00F451D4" w:rsidRDefault="006418A8" w:rsidP="006418A8">
      <w:pPr>
        <w:tabs>
          <w:tab w:val="left" w:pos="540"/>
        </w:tabs>
        <w:rPr>
          <w:rFonts w:ascii="Arial" w:hAnsi="Arial" w:cs="Arial"/>
          <w:sz w:val="18"/>
          <w:szCs w:val="18"/>
          <w:highlight w:val="yellow"/>
        </w:rPr>
      </w:pPr>
    </w:p>
    <w:p w:rsidR="006418A8" w:rsidRPr="00F451D4" w:rsidRDefault="006418A8" w:rsidP="006418A8">
      <w:pPr>
        <w:tabs>
          <w:tab w:val="left" w:pos="540"/>
        </w:tabs>
        <w:rPr>
          <w:rFonts w:ascii="Arial" w:hAnsi="Arial" w:cs="Arial"/>
          <w:sz w:val="18"/>
          <w:szCs w:val="18"/>
          <w:highlight w:val="yellow"/>
        </w:rPr>
      </w:pPr>
    </w:p>
    <w:p w:rsidR="006418A8" w:rsidRPr="00F451D4" w:rsidRDefault="006418A8" w:rsidP="006418A8">
      <w:pPr>
        <w:tabs>
          <w:tab w:val="left" w:pos="540"/>
        </w:tabs>
        <w:rPr>
          <w:rFonts w:ascii="Arial" w:hAnsi="Arial" w:cs="Arial"/>
          <w:sz w:val="18"/>
          <w:szCs w:val="18"/>
          <w:highlight w:val="yellow"/>
        </w:rPr>
      </w:pPr>
      <w:r w:rsidRPr="00F451D4">
        <w:rPr>
          <w:rFonts w:ascii="Arial" w:hAnsi="Arial" w:cs="Arial"/>
          <w:b/>
          <w:color w:val="FF0000"/>
          <w:highlight w:val="yellow"/>
        </w:rPr>
        <w:br w:type="page"/>
      </w:r>
      <w:r w:rsidRPr="00D80B55">
        <w:rPr>
          <w:rFonts w:ascii="Arial" w:hAnsi="Arial" w:cs="Arial"/>
          <w:b/>
        </w:rPr>
        <w:lastRenderedPageBreak/>
        <w:t>Śródroczne skrócone jednostkowe sprawozdanie ze zmian w kapitale własnym</w:t>
      </w:r>
    </w:p>
    <w:p w:rsidR="006418A8" w:rsidRPr="00F451D4" w:rsidRDefault="006418A8" w:rsidP="006418A8">
      <w:pPr>
        <w:tabs>
          <w:tab w:val="left" w:pos="540"/>
        </w:tabs>
        <w:jc w:val="center"/>
        <w:rPr>
          <w:rFonts w:ascii="Arial" w:hAnsi="Arial" w:cs="Arial"/>
          <w:sz w:val="18"/>
          <w:szCs w:val="18"/>
          <w:highlight w:val="yellow"/>
        </w:rPr>
      </w:pPr>
    </w:p>
    <w:p w:rsidR="006418A8" w:rsidRPr="00CD083C" w:rsidRDefault="006418A8" w:rsidP="006418A8">
      <w:pPr>
        <w:tabs>
          <w:tab w:val="left" w:pos="540"/>
        </w:tabs>
        <w:jc w:val="center"/>
        <w:rPr>
          <w:rFonts w:ascii="Arial" w:hAnsi="Arial" w:cs="Arial"/>
          <w:sz w:val="18"/>
          <w:szCs w:val="18"/>
          <w:highlight w:val="yellow"/>
        </w:rPr>
      </w:pPr>
    </w:p>
    <w:p w:rsidR="006418A8" w:rsidRDefault="006418A8" w:rsidP="006418A8">
      <w:pPr>
        <w:pStyle w:val="Tekstpodstawowy3"/>
        <w:tabs>
          <w:tab w:val="left" w:pos="540"/>
        </w:tabs>
        <w:rPr>
          <w:b w:val="0"/>
          <w:szCs w:val="18"/>
          <w:highlight w:val="yellow"/>
        </w:rPr>
      </w:pPr>
    </w:p>
    <w:p w:rsidR="00940885" w:rsidRDefault="00940885" w:rsidP="006418A8">
      <w:pPr>
        <w:pStyle w:val="Tekstpodstawowy3"/>
        <w:tabs>
          <w:tab w:val="left" w:pos="540"/>
        </w:tabs>
        <w:rPr>
          <w:b w:val="0"/>
          <w:szCs w:val="18"/>
          <w:highlight w:val="yellow"/>
        </w:rPr>
      </w:pPr>
    </w:p>
    <w:p w:rsidR="00E62DC4" w:rsidRDefault="00E62DC4" w:rsidP="006418A8">
      <w:pPr>
        <w:pStyle w:val="Tekstpodstawowy3"/>
        <w:tabs>
          <w:tab w:val="left" w:pos="540"/>
        </w:tabs>
        <w:rPr>
          <w:b w:val="0"/>
          <w:szCs w:val="18"/>
          <w:highlight w:val="yellow"/>
        </w:rPr>
      </w:pPr>
    </w:p>
    <w:p w:rsidR="00AE33B1" w:rsidRDefault="00AE33B1" w:rsidP="006418A8">
      <w:pPr>
        <w:pStyle w:val="Tekstpodstawowy3"/>
        <w:tabs>
          <w:tab w:val="left" w:pos="540"/>
        </w:tabs>
        <w:rPr>
          <w:b w:val="0"/>
          <w:szCs w:val="18"/>
          <w:highlight w:val="yellow"/>
        </w:rPr>
      </w:pPr>
    </w:p>
    <w:tbl>
      <w:tblPr>
        <w:tblW w:w="0" w:type="auto"/>
        <w:tblInd w:w="55" w:type="dxa"/>
        <w:tblCellMar>
          <w:left w:w="70" w:type="dxa"/>
          <w:right w:w="70" w:type="dxa"/>
        </w:tblCellMar>
        <w:tblLook w:val="04A0" w:firstRow="1" w:lastRow="0" w:firstColumn="1" w:lastColumn="0" w:noHBand="0" w:noVBand="1"/>
      </w:tblPr>
      <w:tblGrid>
        <w:gridCol w:w="2213"/>
        <w:gridCol w:w="1417"/>
        <w:gridCol w:w="1864"/>
        <w:gridCol w:w="1271"/>
        <w:gridCol w:w="1412"/>
        <w:gridCol w:w="978"/>
      </w:tblGrid>
      <w:tr w:rsidR="006431A7" w:rsidTr="006431A7">
        <w:trPr>
          <w:trHeight w:val="810"/>
        </w:trPr>
        <w:tc>
          <w:tcPr>
            <w:tcW w:w="0" w:type="auto"/>
            <w:tcBorders>
              <w:top w:val="nil"/>
              <w:left w:val="nil"/>
              <w:bottom w:val="nil"/>
              <w:right w:val="nil"/>
            </w:tcBorders>
            <w:shd w:val="clear" w:color="auto" w:fill="auto"/>
            <w:vAlign w:val="bottom"/>
            <w:hideMark/>
          </w:tcPr>
          <w:p w:rsidR="006431A7" w:rsidRDefault="006431A7">
            <w:pPr>
              <w:rPr>
                <w:color w:val="000000"/>
                <w:sz w:val="22"/>
                <w:szCs w:val="22"/>
              </w:rPr>
            </w:pPr>
          </w:p>
        </w:tc>
        <w:tc>
          <w:tcPr>
            <w:tcW w:w="0" w:type="auto"/>
            <w:vMerge w:val="restart"/>
            <w:tcBorders>
              <w:top w:val="nil"/>
              <w:left w:val="nil"/>
              <w:bottom w:val="single" w:sz="8" w:space="0" w:color="000000"/>
              <w:right w:val="nil"/>
            </w:tcBorders>
            <w:shd w:val="clear" w:color="auto" w:fill="auto"/>
            <w:vAlign w:val="center"/>
            <w:hideMark/>
          </w:tcPr>
          <w:p w:rsidR="006431A7" w:rsidRDefault="006431A7">
            <w:pPr>
              <w:rPr>
                <w:rFonts w:ascii="Arial" w:hAnsi="Arial" w:cs="Arial"/>
                <w:b/>
                <w:bCs/>
                <w:color w:val="000000"/>
                <w:sz w:val="16"/>
                <w:szCs w:val="16"/>
              </w:rPr>
            </w:pPr>
            <w:r>
              <w:rPr>
                <w:rFonts w:ascii="Arial" w:hAnsi="Arial" w:cs="Arial"/>
                <w:b/>
                <w:bCs/>
                <w:color w:val="000000"/>
                <w:sz w:val="16"/>
                <w:szCs w:val="16"/>
              </w:rPr>
              <w:t>Kapitał akcyjny / podstawowy</w:t>
            </w:r>
          </w:p>
        </w:tc>
        <w:tc>
          <w:tcPr>
            <w:tcW w:w="0" w:type="auto"/>
            <w:vMerge w:val="restart"/>
            <w:tcBorders>
              <w:top w:val="nil"/>
              <w:left w:val="nil"/>
              <w:bottom w:val="single" w:sz="8" w:space="0" w:color="000000"/>
              <w:right w:val="nil"/>
            </w:tcBorders>
            <w:shd w:val="clear" w:color="auto" w:fill="auto"/>
            <w:vAlign w:val="center"/>
            <w:hideMark/>
          </w:tcPr>
          <w:p w:rsidR="006431A7" w:rsidRDefault="006431A7">
            <w:pPr>
              <w:jc w:val="center"/>
              <w:rPr>
                <w:rFonts w:ascii="Arial" w:hAnsi="Arial" w:cs="Arial"/>
                <w:b/>
                <w:bCs/>
                <w:color w:val="000000"/>
                <w:sz w:val="16"/>
                <w:szCs w:val="16"/>
              </w:rPr>
            </w:pPr>
            <w:r>
              <w:rPr>
                <w:rFonts w:ascii="Arial" w:hAnsi="Arial" w:cs="Arial"/>
                <w:b/>
                <w:bCs/>
                <w:color w:val="000000"/>
                <w:sz w:val="16"/>
                <w:szCs w:val="16"/>
              </w:rPr>
              <w:t>Nadwyżka wartości emisyjnej nad wartością nominalną akcji</w:t>
            </w:r>
          </w:p>
        </w:tc>
        <w:tc>
          <w:tcPr>
            <w:tcW w:w="0" w:type="auto"/>
            <w:vMerge w:val="restart"/>
            <w:tcBorders>
              <w:top w:val="nil"/>
              <w:left w:val="nil"/>
              <w:bottom w:val="single" w:sz="8" w:space="0" w:color="000000"/>
              <w:right w:val="nil"/>
            </w:tcBorders>
            <w:shd w:val="clear" w:color="auto" w:fill="auto"/>
            <w:vAlign w:val="center"/>
            <w:hideMark/>
          </w:tcPr>
          <w:p w:rsidR="006431A7" w:rsidRDefault="006431A7">
            <w:pPr>
              <w:jc w:val="center"/>
              <w:rPr>
                <w:rFonts w:ascii="Arial" w:hAnsi="Arial" w:cs="Arial"/>
                <w:b/>
                <w:bCs/>
                <w:color w:val="000000"/>
                <w:sz w:val="16"/>
                <w:szCs w:val="16"/>
              </w:rPr>
            </w:pPr>
            <w:r>
              <w:rPr>
                <w:rFonts w:ascii="Arial" w:hAnsi="Arial" w:cs="Arial"/>
                <w:b/>
                <w:bCs/>
                <w:color w:val="000000"/>
                <w:sz w:val="16"/>
                <w:szCs w:val="16"/>
              </w:rPr>
              <w:t>Zyski/Straty zatrzymane</w:t>
            </w:r>
          </w:p>
        </w:tc>
        <w:tc>
          <w:tcPr>
            <w:tcW w:w="0" w:type="auto"/>
            <w:vMerge w:val="restart"/>
            <w:tcBorders>
              <w:top w:val="nil"/>
              <w:left w:val="nil"/>
              <w:bottom w:val="single" w:sz="8" w:space="0" w:color="000000"/>
              <w:right w:val="nil"/>
            </w:tcBorders>
            <w:shd w:val="clear" w:color="auto" w:fill="auto"/>
            <w:vAlign w:val="center"/>
            <w:hideMark/>
          </w:tcPr>
          <w:p w:rsidR="006431A7" w:rsidRDefault="006431A7">
            <w:pPr>
              <w:jc w:val="center"/>
              <w:rPr>
                <w:rFonts w:ascii="Arial" w:hAnsi="Arial" w:cs="Arial"/>
                <w:b/>
                <w:bCs/>
                <w:color w:val="000000"/>
                <w:sz w:val="16"/>
                <w:szCs w:val="16"/>
              </w:rPr>
            </w:pPr>
            <w:r>
              <w:rPr>
                <w:rFonts w:ascii="Arial" w:hAnsi="Arial" w:cs="Arial"/>
                <w:b/>
                <w:bCs/>
                <w:color w:val="000000"/>
                <w:sz w:val="16"/>
                <w:szCs w:val="16"/>
              </w:rPr>
              <w:t>Pozostałe elementy kapitału własnego</w:t>
            </w:r>
          </w:p>
        </w:tc>
        <w:tc>
          <w:tcPr>
            <w:tcW w:w="0" w:type="auto"/>
            <w:vMerge w:val="restart"/>
            <w:tcBorders>
              <w:top w:val="nil"/>
              <w:left w:val="nil"/>
              <w:bottom w:val="single" w:sz="8" w:space="0" w:color="000000"/>
              <w:right w:val="nil"/>
            </w:tcBorders>
            <w:shd w:val="clear" w:color="auto" w:fill="auto"/>
            <w:vAlign w:val="center"/>
            <w:hideMark/>
          </w:tcPr>
          <w:p w:rsidR="006431A7" w:rsidRDefault="006431A7">
            <w:pPr>
              <w:jc w:val="center"/>
              <w:rPr>
                <w:rFonts w:ascii="Arial" w:hAnsi="Arial" w:cs="Arial"/>
                <w:b/>
                <w:bCs/>
                <w:color w:val="000000"/>
                <w:sz w:val="16"/>
                <w:szCs w:val="16"/>
              </w:rPr>
            </w:pPr>
            <w:r>
              <w:rPr>
                <w:rFonts w:ascii="Arial" w:hAnsi="Arial" w:cs="Arial"/>
                <w:b/>
                <w:bCs/>
                <w:color w:val="000000"/>
                <w:sz w:val="16"/>
                <w:szCs w:val="16"/>
              </w:rPr>
              <w:t>Razem kapitał własny</w:t>
            </w:r>
          </w:p>
        </w:tc>
      </w:tr>
      <w:tr w:rsidR="006431A7" w:rsidTr="006431A7">
        <w:trPr>
          <w:trHeight w:val="315"/>
        </w:trPr>
        <w:tc>
          <w:tcPr>
            <w:tcW w:w="0" w:type="auto"/>
            <w:tcBorders>
              <w:top w:val="nil"/>
              <w:left w:val="nil"/>
              <w:bottom w:val="nil"/>
              <w:right w:val="nil"/>
            </w:tcBorders>
            <w:shd w:val="clear" w:color="auto" w:fill="auto"/>
            <w:vAlign w:val="bottom"/>
            <w:hideMark/>
          </w:tcPr>
          <w:p w:rsidR="006431A7" w:rsidRDefault="006431A7">
            <w:pPr>
              <w:rPr>
                <w:color w:val="000000"/>
                <w:sz w:val="22"/>
                <w:szCs w:val="22"/>
              </w:rPr>
            </w:pPr>
          </w:p>
        </w:tc>
        <w:tc>
          <w:tcPr>
            <w:tcW w:w="0" w:type="auto"/>
            <w:vMerge/>
            <w:tcBorders>
              <w:top w:val="nil"/>
              <w:left w:val="nil"/>
              <w:bottom w:val="single" w:sz="8" w:space="0" w:color="000000"/>
              <w:right w:val="nil"/>
            </w:tcBorders>
            <w:vAlign w:val="center"/>
            <w:hideMark/>
          </w:tcPr>
          <w:p w:rsidR="006431A7" w:rsidRDefault="006431A7">
            <w:pPr>
              <w:rPr>
                <w:rFonts w:ascii="Arial" w:hAnsi="Arial" w:cs="Arial"/>
                <w:b/>
                <w:bCs/>
                <w:color w:val="000000"/>
                <w:sz w:val="16"/>
                <w:szCs w:val="16"/>
              </w:rPr>
            </w:pPr>
          </w:p>
        </w:tc>
        <w:tc>
          <w:tcPr>
            <w:tcW w:w="0" w:type="auto"/>
            <w:vMerge/>
            <w:tcBorders>
              <w:top w:val="nil"/>
              <w:left w:val="nil"/>
              <w:bottom w:val="single" w:sz="8" w:space="0" w:color="000000"/>
              <w:right w:val="nil"/>
            </w:tcBorders>
            <w:vAlign w:val="center"/>
            <w:hideMark/>
          </w:tcPr>
          <w:p w:rsidR="006431A7" w:rsidRDefault="006431A7">
            <w:pPr>
              <w:rPr>
                <w:rFonts w:ascii="Arial" w:hAnsi="Arial" w:cs="Arial"/>
                <w:b/>
                <w:bCs/>
                <w:color w:val="000000"/>
                <w:sz w:val="16"/>
                <w:szCs w:val="16"/>
              </w:rPr>
            </w:pPr>
          </w:p>
        </w:tc>
        <w:tc>
          <w:tcPr>
            <w:tcW w:w="0" w:type="auto"/>
            <w:vMerge/>
            <w:tcBorders>
              <w:top w:val="nil"/>
              <w:left w:val="nil"/>
              <w:bottom w:val="single" w:sz="8" w:space="0" w:color="000000"/>
              <w:right w:val="nil"/>
            </w:tcBorders>
            <w:vAlign w:val="center"/>
            <w:hideMark/>
          </w:tcPr>
          <w:p w:rsidR="006431A7" w:rsidRDefault="006431A7">
            <w:pPr>
              <w:rPr>
                <w:rFonts w:ascii="Arial" w:hAnsi="Arial" w:cs="Arial"/>
                <w:b/>
                <w:bCs/>
                <w:color w:val="000000"/>
                <w:sz w:val="16"/>
                <w:szCs w:val="16"/>
              </w:rPr>
            </w:pPr>
          </w:p>
        </w:tc>
        <w:tc>
          <w:tcPr>
            <w:tcW w:w="0" w:type="auto"/>
            <w:vMerge/>
            <w:tcBorders>
              <w:top w:val="nil"/>
              <w:left w:val="nil"/>
              <w:bottom w:val="single" w:sz="8" w:space="0" w:color="000000"/>
              <w:right w:val="nil"/>
            </w:tcBorders>
            <w:vAlign w:val="center"/>
            <w:hideMark/>
          </w:tcPr>
          <w:p w:rsidR="006431A7" w:rsidRDefault="006431A7">
            <w:pPr>
              <w:rPr>
                <w:rFonts w:ascii="Arial" w:hAnsi="Arial" w:cs="Arial"/>
                <w:b/>
                <w:bCs/>
                <w:color w:val="000000"/>
                <w:sz w:val="16"/>
                <w:szCs w:val="16"/>
              </w:rPr>
            </w:pPr>
          </w:p>
        </w:tc>
        <w:tc>
          <w:tcPr>
            <w:tcW w:w="0" w:type="auto"/>
            <w:vMerge/>
            <w:tcBorders>
              <w:top w:val="nil"/>
              <w:left w:val="nil"/>
              <w:bottom w:val="single" w:sz="8" w:space="0" w:color="000000"/>
              <w:right w:val="nil"/>
            </w:tcBorders>
            <w:vAlign w:val="center"/>
            <w:hideMark/>
          </w:tcPr>
          <w:p w:rsidR="006431A7" w:rsidRDefault="006431A7">
            <w:pPr>
              <w:rPr>
                <w:rFonts w:ascii="Arial" w:hAnsi="Arial" w:cs="Arial"/>
                <w:b/>
                <w:bCs/>
                <w:color w:val="000000"/>
                <w:sz w:val="16"/>
                <w:szCs w:val="16"/>
              </w:rPr>
            </w:pPr>
          </w:p>
        </w:tc>
      </w:tr>
      <w:tr w:rsidR="006431A7" w:rsidTr="006431A7">
        <w:trPr>
          <w:trHeight w:val="315"/>
        </w:trPr>
        <w:tc>
          <w:tcPr>
            <w:tcW w:w="0" w:type="auto"/>
            <w:tcBorders>
              <w:top w:val="nil"/>
              <w:left w:val="nil"/>
              <w:bottom w:val="nil"/>
              <w:right w:val="nil"/>
            </w:tcBorders>
            <w:shd w:val="clear" w:color="auto" w:fill="auto"/>
            <w:noWrap/>
            <w:vAlign w:val="center"/>
            <w:hideMark/>
          </w:tcPr>
          <w:p w:rsidR="006431A7" w:rsidRDefault="006431A7">
            <w:pPr>
              <w:rPr>
                <w:rFonts w:ascii="Arial" w:hAnsi="Arial" w:cs="Arial"/>
                <w:b/>
                <w:bCs/>
                <w:color w:val="000000"/>
                <w:sz w:val="16"/>
                <w:szCs w:val="16"/>
              </w:rPr>
            </w:pPr>
            <w:r>
              <w:rPr>
                <w:rFonts w:ascii="Arial" w:hAnsi="Arial" w:cs="Arial"/>
                <w:b/>
                <w:bCs/>
                <w:color w:val="000000"/>
                <w:sz w:val="16"/>
                <w:szCs w:val="16"/>
              </w:rPr>
              <w:t>Stan na 31.12. 2020r.</w:t>
            </w:r>
          </w:p>
        </w:tc>
        <w:tc>
          <w:tcPr>
            <w:tcW w:w="0" w:type="auto"/>
            <w:tcBorders>
              <w:top w:val="nil"/>
              <w:left w:val="nil"/>
              <w:bottom w:val="single" w:sz="8" w:space="0" w:color="auto"/>
              <w:right w:val="nil"/>
            </w:tcBorders>
            <w:shd w:val="clear" w:color="auto" w:fill="auto"/>
            <w:noWrap/>
            <w:vAlign w:val="center"/>
            <w:hideMark/>
          </w:tcPr>
          <w:p w:rsidR="006431A7" w:rsidRDefault="006431A7">
            <w:pPr>
              <w:jc w:val="right"/>
              <w:rPr>
                <w:rFonts w:ascii="Arial" w:hAnsi="Arial" w:cs="Arial"/>
                <w:b/>
                <w:bCs/>
                <w:color w:val="000000"/>
                <w:sz w:val="16"/>
                <w:szCs w:val="16"/>
              </w:rPr>
            </w:pPr>
            <w:r>
              <w:rPr>
                <w:rFonts w:ascii="Arial" w:hAnsi="Arial" w:cs="Arial"/>
                <w:b/>
                <w:bCs/>
                <w:color w:val="000000"/>
                <w:sz w:val="16"/>
                <w:szCs w:val="16"/>
              </w:rPr>
              <w:t>72 821</w:t>
            </w:r>
          </w:p>
        </w:tc>
        <w:tc>
          <w:tcPr>
            <w:tcW w:w="0" w:type="auto"/>
            <w:tcBorders>
              <w:top w:val="nil"/>
              <w:left w:val="nil"/>
              <w:bottom w:val="single" w:sz="8" w:space="0" w:color="auto"/>
              <w:right w:val="nil"/>
            </w:tcBorders>
            <w:shd w:val="clear" w:color="auto" w:fill="auto"/>
            <w:vAlign w:val="center"/>
            <w:hideMark/>
          </w:tcPr>
          <w:p w:rsidR="006431A7" w:rsidRDefault="006431A7">
            <w:pPr>
              <w:jc w:val="right"/>
              <w:rPr>
                <w:rFonts w:ascii="Arial" w:hAnsi="Arial" w:cs="Arial"/>
                <w:b/>
                <w:bCs/>
                <w:color w:val="000000"/>
                <w:sz w:val="16"/>
                <w:szCs w:val="16"/>
              </w:rPr>
            </w:pPr>
            <w:r>
              <w:rPr>
                <w:rFonts w:ascii="Arial" w:hAnsi="Arial" w:cs="Arial"/>
                <w:b/>
                <w:bCs/>
                <w:color w:val="000000"/>
                <w:sz w:val="16"/>
                <w:szCs w:val="16"/>
              </w:rPr>
              <w:t>3 873</w:t>
            </w:r>
          </w:p>
        </w:tc>
        <w:tc>
          <w:tcPr>
            <w:tcW w:w="0" w:type="auto"/>
            <w:tcBorders>
              <w:top w:val="nil"/>
              <w:left w:val="nil"/>
              <w:bottom w:val="single" w:sz="8" w:space="0" w:color="auto"/>
              <w:right w:val="nil"/>
            </w:tcBorders>
            <w:shd w:val="clear" w:color="auto" w:fill="auto"/>
            <w:noWrap/>
            <w:vAlign w:val="center"/>
            <w:hideMark/>
          </w:tcPr>
          <w:p w:rsidR="006431A7" w:rsidRDefault="006431A7">
            <w:pPr>
              <w:jc w:val="right"/>
              <w:rPr>
                <w:rFonts w:ascii="Arial" w:hAnsi="Arial" w:cs="Arial"/>
                <w:b/>
                <w:bCs/>
                <w:color w:val="000000"/>
                <w:sz w:val="16"/>
                <w:szCs w:val="16"/>
              </w:rPr>
            </w:pPr>
            <w:r>
              <w:rPr>
                <w:rFonts w:ascii="Arial" w:hAnsi="Arial" w:cs="Arial"/>
                <w:b/>
                <w:bCs/>
                <w:color w:val="000000"/>
                <w:sz w:val="16"/>
                <w:szCs w:val="16"/>
              </w:rPr>
              <w:t>44 186</w:t>
            </w:r>
          </w:p>
        </w:tc>
        <w:tc>
          <w:tcPr>
            <w:tcW w:w="0" w:type="auto"/>
            <w:tcBorders>
              <w:top w:val="nil"/>
              <w:left w:val="nil"/>
              <w:bottom w:val="single" w:sz="8" w:space="0" w:color="auto"/>
              <w:right w:val="nil"/>
            </w:tcBorders>
            <w:shd w:val="clear" w:color="auto" w:fill="auto"/>
            <w:noWrap/>
            <w:vAlign w:val="center"/>
            <w:hideMark/>
          </w:tcPr>
          <w:p w:rsidR="006431A7" w:rsidRDefault="006431A7">
            <w:pPr>
              <w:jc w:val="right"/>
              <w:rPr>
                <w:rFonts w:ascii="Arial" w:hAnsi="Arial" w:cs="Arial"/>
                <w:b/>
                <w:bCs/>
                <w:color w:val="000000"/>
                <w:sz w:val="16"/>
                <w:szCs w:val="16"/>
              </w:rPr>
            </w:pPr>
            <w:r>
              <w:rPr>
                <w:rFonts w:ascii="Arial" w:hAnsi="Arial" w:cs="Arial"/>
                <w:b/>
                <w:bCs/>
                <w:color w:val="000000"/>
                <w:sz w:val="16"/>
                <w:szCs w:val="16"/>
              </w:rPr>
              <w:t>-88</w:t>
            </w:r>
          </w:p>
        </w:tc>
        <w:tc>
          <w:tcPr>
            <w:tcW w:w="0" w:type="auto"/>
            <w:tcBorders>
              <w:top w:val="nil"/>
              <w:left w:val="nil"/>
              <w:bottom w:val="single" w:sz="8" w:space="0" w:color="auto"/>
              <w:right w:val="nil"/>
            </w:tcBorders>
            <w:shd w:val="clear" w:color="auto" w:fill="auto"/>
            <w:noWrap/>
            <w:vAlign w:val="center"/>
            <w:hideMark/>
          </w:tcPr>
          <w:p w:rsidR="006431A7" w:rsidRDefault="006431A7">
            <w:pPr>
              <w:jc w:val="right"/>
              <w:rPr>
                <w:rFonts w:ascii="Arial" w:hAnsi="Arial" w:cs="Arial"/>
                <w:b/>
                <w:bCs/>
                <w:color w:val="000000"/>
                <w:sz w:val="16"/>
                <w:szCs w:val="16"/>
              </w:rPr>
            </w:pPr>
            <w:r>
              <w:rPr>
                <w:rFonts w:ascii="Arial" w:hAnsi="Arial" w:cs="Arial"/>
                <w:b/>
                <w:bCs/>
                <w:color w:val="000000"/>
                <w:sz w:val="16"/>
                <w:szCs w:val="16"/>
              </w:rPr>
              <w:t>120 792</w:t>
            </w:r>
          </w:p>
        </w:tc>
      </w:tr>
      <w:tr w:rsidR="006431A7" w:rsidTr="006431A7">
        <w:trPr>
          <w:trHeight w:val="315"/>
        </w:trPr>
        <w:tc>
          <w:tcPr>
            <w:tcW w:w="0" w:type="auto"/>
            <w:tcBorders>
              <w:top w:val="nil"/>
              <w:left w:val="nil"/>
              <w:bottom w:val="nil"/>
              <w:right w:val="nil"/>
            </w:tcBorders>
            <w:shd w:val="clear" w:color="auto" w:fill="auto"/>
            <w:noWrap/>
            <w:vAlign w:val="center"/>
            <w:hideMark/>
          </w:tcPr>
          <w:p w:rsidR="006431A7" w:rsidRDefault="006431A7">
            <w:pPr>
              <w:rPr>
                <w:rFonts w:ascii="Arial" w:hAnsi="Arial" w:cs="Arial"/>
                <w:color w:val="000000"/>
                <w:sz w:val="16"/>
                <w:szCs w:val="16"/>
              </w:rPr>
            </w:pPr>
            <w:r>
              <w:rPr>
                <w:rFonts w:ascii="Arial" w:hAnsi="Arial" w:cs="Arial"/>
                <w:color w:val="000000"/>
                <w:sz w:val="16"/>
                <w:szCs w:val="16"/>
              </w:rPr>
              <w:t>Całkowite dochody</w:t>
            </w:r>
          </w:p>
        </w:tc>
        <w:tc>
          <w:tcPr>
            <w:tcW w:w="0" w:type="auto"/>
            <w:tcBorders>
              <w:top w:val="nil"/>
              <w:left w:val="nil"/>
              <w:bottom w:val="nil"/>
              <w:right w:val="nil"/>
            </w:tcBorders>
            <w:shd w:val="clear" w:color="auto" w:fill="auto"/>
            <w:noWrap/>
            <w:vAlign w:val="bottom"/>
            <w:hideMark/>
          </w:tcPr>
          <w:p w:rsidR="006431A7" w:rsidRDefault="006431A7">
            <w:pPr>
              <w:rPr>
                <w:sz w:val="22"/>
                <w:szCs w:val="22"/>
              </w:rPr>
            </w:pPr>
          </w:p>
        </w:tc>
        <w:tc>
          <w:tcPr>
            <w:tcW w:w="0" w:type="auto"/>
            <w:tcBorders>
              <w:top w:val="nil"/>
              <w:left w:val="nil"/>
              <w:bottom w:val="nil"/>
              <w:right w:val="nil"/>
            </w:tcBorders>
            <w:shd w:val="clear" w:color="auto" w:fill="auto"/>
            <w:noWrap/>
            <w:vAlign w:val="bottom"/>
            <w:hideMark/>
          </w:tcPr>
          <w:p w:rsidR="006431A7" w:rsidRDefault="006431A7">
            <w:pPr>
              <w:rPr>
                <w:sz w:val="22"/>
                <w:szCs w:val="22"/>
              </w:rPr>
            </w:pPr>
          </w:p>
        </w:tc>
        <w:tc>
          <w:tcPr>
            <w:tcW w:w="0" w:type="auto"/>
            <w:tcBorders>
              <w:top w:val="nil"/>
              <w:left w:val="nil"/>
              <w:bottom w:val="nil"/>
              <w:right w:val="nil"/>
            </w:tcBorders>
            <w:shd w:val="clear" w:color="auto" w:fill="auto"/>
            <w:noWrap/>
            <w:vAlign w:val="center"/>
            <w:hideMark/>
          </w:tcPr>
          <w:p w:rsidR="006431A7" w:rsidRDefault="006431A7">
            <w:pPr>
              <w:jc w:val="right"/>
              <w:rPr>
                <w:rFonts w:ascii="Arial" w:hAnsi="Arial" w:cs="Arial"/>
                <w:sz w:val="16"/>
                <w:szCs w:val="16"/>
              </w:rPr>
            </w:pPr>
            <w:r>
              <w:rPr>
                <w:rFonts w:ascii="Arial" w:hAnsi="Arial" w:cs="Arial"/>
                <w:sz w:val="16"/>
                <w:szCs w:val="16"/>
              </w:rPr>
              <w:t>3 332</w:t>
            </w:r>
          </w:p>
        </w:tc>
        <w:tc>
          <w:tcPr>
            <w:tcW w:w="0" w:type="auto"/>
            <w:tcBorders>
              <w:top w:val="nil"/>
              <w:left w:val="nil"/>
              <w:bottom w:val="nil"/>
              <w:right w:val="nil"/>
            </w:tcBorders>
            <w:shd w:val="clear" w:color="auto" w:fill="auto"/>
            <w:noWrap/>
            <w:vAlign w:val="center"/>
            <w:hideMark/>
          </w:tcPr>
          <w:p w:rsidR="006431A7" w:rsidRDefault="006431A7">
            <w:pPr>
              <w:jc w:val="right"/>
              <w:rPr>
                <w:rFonts w:ascii="Arial" w:hAnsi="Arial" w:cs="Arial"/>
                <w:sz w:val="16"/>
                <w:szCs w:val="16"/>
              </w:rPr>
            </w:pPr>
          </w:p>
        </w:tc>
        <w:tc>
          <w:tcPr>
            <w:tcW w:w="0" w:type="auto"/>
            <w:tcBorders>
              <w:top w:val="nil"/>
              <w:left w:val="nil"/>
              <w:bottom w:val="nil"/>
              <w:right w:val="nil"/>
            </w:tcBorders>
            <w:shd w:val="clear" w:color="auto" w:fill="auto"/>
            <w:noWrap/>
            <w:vAlign w:val="center"/>
            <w:hideMark/>
          </w:tcPr>
          <w:p w:rsidR="006431A7" w:rsidRDefault="006431A7">
            <w:pPr>
              <w:jc w:val="right"/>
              <w:rPr>
                <w:rFonts w:ascii="Arial" w:hAnsi="Arial" w:cs="Arial"/>
                <w:sz w:val="16"/>
                <w:szCs w:val="16"/>
              </w:rPr>
            </w:pPr>
            <w:r>
              <w:rPr>
                <w:rFonts w:ascii="Arial" w:hAnsi="Arial" w:cs="Arial"/>
                <w:sz w:val="16"/>
                <w:szCs w:val="16"/>
              </w:rPr>
              <w:t>3 332</w:t>
            </w:r>
          </w:p>
        </w:tc>
      </w:tr>
      <w:tr w:rsidR="006431A7" w:rsidTr="006431A7">
        <w:trPr>
          <w:trHeight w:val="300"/>
        </w:trPr>
        <w:tc>
          <w:tcPr>
            <w:tcW w:w="0" w:type="auto"/>
            <w:tcBorders>
              <w:top w:val="nil"/>
              <w:left w:val="nil"/>
              <w:bottom w:val="nil"/>
              <w:right w:val="nil"/>
            </w:tcBorders>
            <w:shd w:val="clear" w:color="auto" w:fill="auto"/>
            <w:noWrap/>
            <w:vAlign w:val="center"/>
            <w:hideMark/>
          </w:tcPr>
          <w:p w:rsidR="006431A7" w:rsidRDefault="006431A7">
            <w:pPr>
              <w:rPr>
                <w:rFonts w:ascii="Arial" w:hAnsi="Arial" w:cs="Arial"/>
                <w:b/>
                <w:bCs/>
                <w:color w:val="000000"/>
                <w:sz w:val="16"/>
                <w:szCs w:val="16"/>
              </w:rPr>
            </w:pPr>
            <w:r>
              <w:rPr>
                <w:rFonts w:ascii="Arial" w:hAnsi="Arial" w:cs="Arial"/>
                <w:b/>
                <w:bCs/>
                <w:color w:val="000000"/>
                <w:sz w:val="16"/>
                <w:szCs w:val="16"/>
              </w:rPr>
              <w:t>Stan na 30 września 2021 r.</w:t>
            </w:r>
          </w:p>
        </w:tc>
        <w:tc>
          <w:tcPr>
            <w:tcW w:w="0" w:type="auto"/>
            <w:vMerge w:val="restart"/>
            <w:tcBorders>
              <w:top w:val="single" w:sz="8" w:space="0" w:color="auto"/>
              <w:left w:val="nil"/>
              <w:bottom w:val="single" w:sz="8" w:space="0" w:color="000000"/>
              <w:right w:val="nil"/>
            </w:tcBorders>
            <w:shd w:val="clear" w:color="auto" w:fill="auto"/>
            <w:noWrap/>
            <w:vAlign w:val="center"/>
            <w:hideMark/>
          </w:tcPr>
          <w:p w:rsidR="006431A7" w:rsidRDefault="006431A7">
            <w:pPr>
              <w:jc w:val="right"/>
              <w:rPr>
                <w:rFonts w:ascii="Arial" w:hAnsi="Arial" w:cs="Arial"/>
                <w:b/>
                <w:bCs/>
                <w:sz w:val="16"/>
                <w:szCs w:val="16"/>
              </w:rPr>
            </w:pPr>
            <w:r>
              <w:rPr>
                <w:rFonts w:ascii="Arial" w:hAnsi="Arial" w:cs="Arial"/>
                <w:b/>
                <w:bCs/>
                <w:sz w:val="16"/>
                <w:szCs w:val="16"/>
              </w:rPr>
              <w:t>72 821</w:t>
            </w:r>
          </w:p>
        </w:tc>
        <w:tc>
          <w:tcPr>
            <w:tcW w:w="0" w:type="auto"/>
            <w:vMerge w:val="restart"/>
            <w:tcBorders>
              <w:top w:val="single" w:sz="8" w:space="0" w:color="auto"/>
              <w:left w:val="nil"/>
              <w:bottom w:val="single" w:sz="8" w:space="0" w:color="000000"/>
              <w:right w:val="nil"/>
            </w:tcBorders>
            <w:shd w:val="clear" w:color="auto" w:fill="auto"/>
            <w:noWrap/>
            <w:vAlign w:val="center"/>
            <w:hideMark/>
          </w:tcPr>
          <w:p w:rsidR="006431A7" w:rsidRDefault="006431A7">
            <w:pPr>
              <w:jc w:val="right"/>
              <w:rPr>
                <w:rFonts w:ascii="Arial" w:hAnsi="Arial" w:cs="Arial"/>
                <w:b/>
                <w:bCs/>
                <w:sz w:val="16"/>
                <w:szCs w:val="16"/>
              </w:rPr>
            </w:pPr>
            <w:r>
              <w:rPr>
                <w:rFonts w:ascii="Arial" w:hAnsi="Arial" w:cs="Arial"/>
                <w:b/>
                <w:bCs/>
                <w:sz w:val="16"/>
                <w:szCs w:val="16"/>
              </w:rPr>
              <w:t>3 873</w:t>
            </w:r>
          </w:p>
        </w:tc>
        <w:tc>
          <w:tcPr>
            <w:tcW w:w="0" w:type="auto"/>
            <w:vMerge w:val="restart"/>
            <w:tcBorders>
              <w:top w:val="single" w:sz="8" w:space="0" w:color="auto"/>
              <w:left w:val="nil"/>
              <w:bottom w:val="single" w:sz="8" w:space="0" w:color="000000"/>
              <w:right w:val="nil"/>
            </w:tcBorders>
            <w:shd w:val="clear" w:color="auto" w:fill="auto"/>
            <w:noWrap/>
            <w:vAlign w:val="center"/>
            <w:hideMark/>
          </w:tcPr>
          <w:p w:rsidR="006431A7" w:rsidRDefault="006431A7">
            <w:pPr>
              <w:jc w:val="right"/>
              <w:rPr>
                <w:rFonts w:ascii="Arial" w:hAnsi="Arial" w:cs="Arial"/>
                <w:b/>
                <w:bCs/>
                <w:sz w:val="16"/>
                <w:szCs w:val="16"/>
              </w:rPr>
            </w:pPr>
            <w:r>
              <w:rPr>
                <w:rFonts w:ascii="Arial" w:hAnsi="Arial" w:cs="Arial"/>
                <w:b/>
                <w:bCs/>
                <w:sz w:val="16"/>
                <w:szCs w:val="16"/>
              </w:rPr>
              <w:t>47 518</w:t>
            </w:r>
          </w:p>
        </w:tc>
        <w:tc>
          <w:tcPr>
            <w:tcW w:w="0" w:type="auto"/>
            <w:vMerge w:val="restart"/>
            <w:tcBorders>
              <w:top w:val="single" w:sz="8" w:space="0" w:color="auto"/>
              <w:left w:val="nil"/>
              <w:bottom w:val="single" w:sz="8" w:space="0" w:color="000000"/>
              <w:right w:val="nil"/>
            </w:tcBorders>
            <w:shd w:val="clear" w:color="auto" w:fill="auto"/>
            <w:noWrap/>
            <w:vAlign w:val="center"/>
            <w:hideMark/>
          </w:tcPr>
          <w:p w:rsidR="006431A7" w:rsidRDefault="006431A7">
            <w:pPr>
              <w:jc w:val="right"/>
              <w:rPr>
                <w:rFonts w:ascii="Arial" w:hAnsi="Arial" w:cs="Arial"/>
                <w:b/>
                <w:bCs/>
                <w:sz w:val="16"/>
                <w:szCs w:val="16"/>
              </w:rPr>
            </w:pPr>
            <w:r>
              <w:rPr>
                <w:rFonts w:ascii="Arial" w:hAnsi="Arial" w:cs="Arial"/>
                <w:b/>
                <w:bCs/>
                <w:sz w:val="16"/>
                <w:szCs w:val="16"/>
              </w:rPr>
              <w:t>-88</w:t>
            </w:r>
          </w:p>
        </w:tc>
        <w:tc>
          <w:tcPr>
            <w:tcW w:w="0" w:type="auto"/>
            <w:vMerge w:val="restart"/>
            <w:tcBorders>
              <w:top w:val="single" w:sz="8" w:space="0" w:color="auto"/>
              <w:left w:val="nil"/>
              <w:bottom w:val="single" w:sz="8" w:space="0" w:color="000000"/>
              <w:right w:val="nil"/>
            </w:tcBorders>
            <w:shd w:val="clear" w:color="auto" w:fill="auto"/>
            <w:noWrap/>
            <w:vAlign w:val="center"/>
            <w:hideMark/>
          </w:tcPr>
          <w:p w:rsidR="006431A7" w:rsidRDefault="006431A7">
            <w:pPr>
              <w:jc w:val="right"/>
              <w:rPr>
                <w:rFonts w:ascii="Arial" w:hAnsi="Arial" w:cs="Arial"/>
                <w:b/>
                <w:bCs/>
                <w:sz w:val="16"/>
                <w:szCs w:val="16"/>
              </w:rPr>
            </w:pPr>
            <w:r>
              <w:rPr>
                <w:rFonts w:ascii="Arial" w:hAnsi="Arial" w:cs="Arial"/>
                <w:b/>
                <w:bCs/>
                <w:sz w:val="16"/>
                <w:szCs w:val="16"/>
              </w:rPr>
              <w:t>124 124</w:t>
            </w:r>
          </w:p>
        </w:tc>
      </w:tr>
      <w:tr w:rsidR="006431A7" w:rsidTr="006431A7">
        <w:trPr>
          <w:trHeight w:val="315"/>
        </w:trPr>
        <w:tc>
          <w:tcPr>
            <w:tcW w:w="0" w:type="auto"/>
            <w:tcBorders>
              <w:top w:val="nil"/>
              <w:left w:val="nil"/>
              <w:bottom w:val="nil"/>
              <w:right w:val="nil"/>
            </w:tcBorders>
            <w:shd w:val="clear" w:color="auto" w:fill="auto"/>
            <w:noWrap/>
            <w:vAlign w:val="center"/>
            <w:hideMark/>
          </w:tcPr>
          <w:p w:rsidR="006431A7" w:rsidRDefault="006431A7">
            <w:pPr>
              <w:rPr>
                <w:rFonts w:ascii="Arial" w:hAnsi="Arial" w:cs="Arial"/>
                <w:color w:val="000000"/>
                <w:sz w:val="16"/>
                <w:szCs w:val="16"/>
              </w:rPr>
            </w:pPr>
            <w:r>
              <w:rPr>
                <w:rFonts w:ascii="Arial" w:hAnsi="Arial" w:cs="Arial"/>
                <w:color w:val="000000"/>
                <w:sz w:val="16"/>
                <w:szCs w:val="16"/>
              </w:rPr>
              <w:t>(niebadane)</w:t>
            </w:r>
          </w:p>
        </w:tc>
        <w:tc>
          <w:tcPr>
            <w:tcW w:w="0" w:type="auto"/>
            <w:vMerge/>
            <w:tcBorders>
              <w:top w:val="single" w:sz="8" w:space="0" w:color="auto"/>
              <w:left w:val="nil"/>
              <w:bottom w:val="single" w:sz="8" w:space="0" w:color="000000"/>
              <w:right w:val="nil"/>
            </w:tcBorders>
            <w:vAlign w:val="center"/>
            <w:hideMark/>
          </w:tcPr>
          <w:p w:rsidR="006431A7" w:rsidRDefault="006431A7">
            <w:pPr>
              <w:rPr>
                <w:rFonts w:ascii="Arial" w:hAnsi="Arial" w:cs="Arial"/>
                <w:b/>
                <w:bCs/>
                <w:sz w:val="16"/>
                <w:szCs w:val="16"/>
              </w:rPr>
            </w:pPr>
          </w:p>
        </w:tc>
        <w:tc>
          <w:tcPr>
            <w:tcW w:w="0" w:type="auto"/>
            <w:vMerge/>
            <w:tcBorders>
              <w:top w:val="single" w:sz="8" w:space="0" w:color="auto"/>
              <w:left w:val="nil"/>
              <w:bottom w:val="single" w:sz="8" w:space="0" w:color="000000"/>
              <w:right w:val="nil"/>
            </w:tcBorders>
            <w:vAlign w:val="center"/>
            <w:hideMark/>
          </w:tcPr>
          <w:p w:rsidR="006431A7" w:rsidRDefault="006431A7">
            <w:pPr>
              <w:rPr>
                <w:rFonts w:ascii="Arial" w:hAnsi="Arial" w:cs="Arial"/>
                <w:b/>
                <w:bCs/>
                <w:sz w:val="16"/>
                <w:szCs w:val="16"/>
              </w:rPr>
            </w:pPr>
          </w:p>
        </w:tc>
        <w:tc>
          <w:tcPr>
            <w:tcW w:w="0" w:type="auto"/>
            <w:vMerge/>
            <w:tcBorders>
              <w:top w:val="single" w:sz="8" w:space="0" w:color="auto"/>
              <w:left w:val="nil"/>
              <w:bottom w:val="single" w:sz="8" w:space="0" w:color="000000"/>
              <w:right w:val="nil"/>
            </w:tcBorders>
            <w:vAlign w:val="center"/>
            <w:hideMark/>
          </w:tcPr>
          <w:p w:rsidR="006431A7" w:rsidRDefault="006431A7">
            <w:pPr>
              <w:rPr>
                <w:rFonts w:ascii="Arial" w:hAnsi="Arial" w:cs="Arial"/>
                <w:b/>
                <w:bCs/>
                <w:sz w:val="16"/>
                <w:szCs w:val="16"/>
              </w:rPr>
            </w:pPr>
          </w:p>
        </w:tc>
        <w:tc>
          <w:tcPr>
            <w:tcW w:w="0" w:type="auto"/>
            <w:vMerge/>
            <w:tcBorders>
              <w:top w:val="single" w:sz="8" w:space="0" w:color="auto"/>
              <w:left w:val="nil"/>
              <w:bottom w:val="single" w:sz="8" w:space="0" w:color="000000"/>
              <w:right w:val="nil"/>
            </w:tcBorders>
            <w:vAlign w:val="center"/>
            <w:hideMark/>
          </w:tcPr>
          <w:p w:rsidR="006431A7" w:rsidRDefault="006431A7">
            <w:pPr>
              <w:rPr>
                <w:rFonts w:ascii="Arial" w:hAnsi="Arial" w:cs="Arial"/>
                <w:b/>
                <w:bCs/>
                <w:sz w:val="16"/>
                <w:szCs w:val="16"/>
              </w:rPr>
            </w:pPr>
          </w:p>
        </w:tc>
        <w:tc>
          <w:tcPr>
            <w:tcW w:w="0" w:type="auto"/>
            <w:vMerge/>
            <w:tcBorders>
              <w:top w:val="single" w:sz="8" w:space="0" w:color="auto"/>
              <w:left w:val="nil"/>
              <w:bottom w:val="single" w:sz="8" w:space="0" w:color="000000"/>
              <w:right w:val="nil"/>
            </w:tcBorders>
            <w:vAlign w:val="center"/>
            <w:hideMark/>
          </w:tcPr>
          <w:p w:rsidR="006431A7" w:rsidRDefault="006431A7">
            <w:pPr>
              <w:rPr>
                <w:rFonts w:ascii="Arial" w:hAnsi="Arial" w:cs="Arial"/>
                <w:b/>
                <w:bCs/>
                <w:sz w:val="16"/>
                <w:szCs w:val="16"/>
              </w:rPr>
            </w:pPr>
          </w:p>
        </w:tc>
      </w:tr>
      <w:tr w:rsidR="006431A7" w:rsidTr="006431A7">
        <w:trPr>
          <w:trHeight w:val="300"/>
        </w:trPr>
        <w:tc>
          <w:tcPr>
            <w:tcW w:w="0" w:type="auto"/>
            <w:tcBorders>
              <w:top w:val="nil"/>
              <w:left w:val="nil"/>
              <w:bottom w:val="nil"/>
              <w:right w:val="nil"/>
            </w:tcBorders>
            <w:shd w:val="clear" w:color="auto" w:fill="auto"/>
            <w:noWrap/>
            <w:vAlign w:val="bottom"/>
            <w:hideMark/>
          </w:tcPr>
          <w:p w:rsidR="006431A7" w:rsidRDefault="006431A7">
            <w:pPr>
              <w:rPr>
                <w:color w:val="000000"/>
                <w:sz w:val="22"/>
                <w:szCs w:val="22"/>
              </w:rPr>
            </w:pPr>
          </w:p>
        </w:tc>
        <w:tc>
          <w:tcPr>
            <w:tcW w:w="0" w:type="auto"/>
            <w:tcBorders>
              <w:top w:val="nil"/>
              <w:left w:val="nil"/>
              <w:bottom w:val="nil"/>
              <w:right w:val="nil"/>
            </w:tcBorders>
            <w:shd w:val="clear" w:color="auto" w:fill="auto"/>
            <w:noWrap/>
            <w:vAlign w:val="bottom"/>
            <w:hideMark/>
          </w:tcPr>
          <w:p w:rsidR="006431A7" w:rsidRDefault="006431A7">
            <w:pPr>
              <w:rPr>
                <w:color w:val="000000"/>
                <w:sz w:val="22"/>
                <w:szCs w:val="22"/>
              </w:rPr>
            </w:pPr>
          </w:p>
        </w:tc>
        <w:tc>
          <w:tcPr>
            <w:tcW w:w="0" w:type="auto"/>
            <w:tcBorders>
              <w:top w:val="nil"/>
              <w:left w:val="nil"/>
              <w:bottom w:val="nil"/>
              <w:right w:val="nil"/>
            </w:tcBorders>
            <w:shd w:val="clear" w:color="auto" w:fill="auto"/>
            <w:noWrap/>
            <w:vAlign w:val="bottom"/>
            <w:hideMark/>
          </w:tcPr>
          <w:p w:rsidR="006431A7" w:rsidRDefault="006431A7">
            <w:pPr>
              <w:rPr>
                <w:color w:val="000000"/>
                <w:sz w:val="22"/>
                <w:szCs w:val="22"/>
              </w:rPr>
            </w:pPr>
          </w:p>
        </w:tc>
        <w:tc>
          <w:tcPr>
            <w:tcW w:w="0" w:type="auto"/>
            <w:tcBorders>
              <w:top w:val="nil"/>
              <w:left w:val="nil"/>
              <w:bottom w:val="nil"/>
              <w:right w:val="nil"/>
            </w:tcBorders>
            <w:shd w:val="clear" w:color="auto" w:fill="auto"/>
            <w:noWrap/>
            <w:vAlign w:val="bottom"/>
            <w:hideMark/>
          </w:tcPr>
          <w:p w:rsidR="006431A7" w:rsidRDefault="006431A7">
            <w:pPr>
              <w:rPr>
                <w:color w:val="000000"/>
                <w:sz w:val="22"/>
                <w:szCs w:val="22"/>
              </w:rPr>
            </w:pPr>
          </w:p>
        </w:tc>
        <w:tc>
          <w:tcPr>
            <w:tcW w:w="0" w:type="auto"/>
            <w:tcBorders>
              <w:top w:val="nil"/>
              <w:left w:val="nil"/>
              <w:bottom w:val="nil"/>
              <w:right w:val="nil"/>
            </w:tcBorders>
            <w:shd w:val="clear" w:color="auto" w:fill="auto"/>
            <w:noWrap/>
            <w:vAlign w:val="bottom"/>
            <w:hideMark/>
          </w:tcPr>
          <w:p w:rsidR="006431A7" w:rsidRDefault="006431A7">
            <w:pPr>
              <w:rPr>
                <w:color w:val="000000"/>
                <w:sz w:val="22"/>
                <w:szCs w:val="22"/>
              </w:rPr>
            </w:pPr>
          </w:p>
        </w:tc>
        <w:tc>
          <w:tcPr>
            <w:tcW w:w="0" w:type="auto"/>
            <w:tcBorders>
              <w:top w:val="nil"/>
              <w:left w:val="nil"/>
              <w:bottom w:val="nil"/>
              <w:right w:val="nil"/>
            </w:tcBorders>
            <w:shd w:val="clear" w:color="auto" w:fill="auto"/>
            <w:noWrap/>
            <w:vAlign w:val="bottom"/>
            <w:hideMark/>
          </w:tcPr>
          <w:p w:rsidR="006431A7" w:rsidRDefault="006431A7">
            <w:pPr>
              <w:rPr>
                <w:color w:val="000000"/>
                <w:sz w:val="22"/>
                <w:szCs w:val="22"/>
              </w:rPr>
            </w:pPr>
          </w:p>
        </w:tc>
      </w:tr>
      <w:tr w:rsidR="006431A7" w:rsidTr="006431A7">
        <w:trPr>
          <w:trHeight w:val="300"/>
        </w:trPr>
        <w:tc>
          <w:tcPr>
            <w:tcW w:w="0" w:type="auto"/>
            <w:tcBorders>
              <w:top w:val="nil"/>
              <w:left w:val="nil"/>
              <w:bottom w:val="nil"/>
              <w:right w:val="nil"/>
            </w:tcBorders>
            <w:shd w:val="clear" w:color="auto" w:fill="auto"/>
            <w:noWrap/>
            <w:vAlign w:val="bottom"/>
            <w:hideMark/>
          </w:tcPr>
          <w:p w:rsidR="006431A7" w:rsidRDefault="006431A7">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6431A7" w:rsidRDefault="006431A7">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6431A7" w:rsidRDefault="006431A7">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6431A7" w:rsidRDefault="006431A7">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6431A7" w:rsidRDefault="006431A7">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6431A7" w:rsidRDefault="006431A7">
            <w:pPr>
              <w:rPr>
                <w:rFonts w:ascii="Calibri" w:hAnsi="Calibri"/>
                <w:color w:val="000000"/>
                <w:sz w:val="22"/>
                <w:szCs w:val="22"/>
              </w:rPr>
            </w:pPr>
          </w:p>
        </w:tc>
      </w:tr>
      <w:tr w:rsidR="006431A7" w:rsidTr="006431A7">
        <w:trPr>
          <w:trHeight w:val="810"/>
        </w:trPr>
        <w:tc>
          <w:tcPr>
            <w:tcW w:w="0" w:type="auto"/>
            <w:tcBorders>
              <w:top w:val="nil"/>
              <w:left w:val="nil"/>
              <w:bottom w:val="nil"/>
              <w:right w:val="nil"/>
            </w:tcBorders>
            <w:shd w:val="clear" w:color="auto" w:fill="auto"/>
            <w:vAlign w:val="bottom"/>
            <w:hideMark/>
          </w:tcPr>
          <w:p w:rsidR="006431A7" w:rsidRDefault="006431A7">
            <w:pPr>
              <w:rPr>
                <w:color w:val="000000"/>
                <w:sz w:val="22"/>
                <w:szCs w:val="22"/>
              </w:rPr>
            </w:pPr>
          </w:p>
        </w:tc>
        <w:tc>
          <w:tcPr>
            <w:tcW w:w="0" w:type="auto"/>
            <w:vMerge w:val="restart"/>
            <w:tcBorders>
              <w:top w:val="nil"/>
              <w:left w:val="nil"/>
              <w:bottom w:val="single" w:sz="8" w:space="0" w:color="000000"/>
              <w:right w:val="nil"/>
            </w:tcBorders>
            <w:shd w:val="clear" w:color="auto" w:fill="auto"/>
            <w:vAlign w:val="center"/>
            <w:hideMark/>
          </w:tcPr>
          <w:p w:rsidR="006431A7" w:rsidRDefault="006431A7">
            <w:pPr>
              <w:rPr>
                <w:rFonts w:ascii="Arial" w:hAnsi="Arial" w:cs="Arial"/>
                <w:b/>
                <w:bCs/>
                <w:color w:val="000000"/>
                <w:sz w:val="16"/>
                <w:szCs w:val="16"/>
              </w:rPr>
            </w:pPr>
            <w:r>
              <w:rPr>
                <w:rFonts w:ascii="Arial" w:hAnsi="Arial" w:cs="Arial"/>
                <w:b/>
                <w:bCs/>
                <w:color w:val="000000"/>
                <w:sz w:val="16"/>
                <w:szCs w:val="16"/>
              </w:rPr>
              <w:t>Kapitał akcyjny / podstawowy</w:t>
            </w:r>
          </w:p>
        </w:tc>
        <w:tc>
          <w:tcPr>
            <w:tcW w:w="0" w:type="auto"/>
            <w:vMerge w:val="restart"/>
            <w:tcBorders>
              <w:top w:val="nil"/>
              <w:left w:val="nil"/>
              <w:bottom w:val="single" w:sz="8" w:space="0" w:color="000000"/>
              <w:right w:val="nil"/>
            </w:tcBorders>
            <w:shd w:val="clear" w:color="auto" w:fill="auto"/>
            <w:vAlign w:val="center"/>
            <w:hideMark/>
          </w:tcPr>
          <w:p w:rsidR="006431A7" w:rsidRDefault="006431A7">
            <w:pPr>
              <w:jc w:val="center"/>
              <w:rPr>
                <w:rFonts w:ascii="Arial" w:hAnsi="Arial" w:cs="Arial"/>
                <w:b/>
                <w:bCs/>
                <w:color w:val="000000"/>
                <w:sz w:val="16"/>
                <w:szCs w:val="16"/>
              </w:rPr>
            </w:pPr>
            <w:r>
              <w:rPr>
                <w:rFonts w:ascii="Arial" w:hAnsi="Arial" w:cs="Arial"/>
                <w:b/>
                <w:bCs/>
                <w:color w:val="000000"/>
                <w:sz w:val="16"/>
                <w:szCs w:val="16"/>
              </w:rPr>
              <w:t>Nadwyżka wartości emisyjnej nad wartością nominalną akcji</w:t>
            </w:r>
          </w:p>
        </w:tc>
        <w:tc>
          <w:tcPr>
            <w:tcW w:w="0" w:type="auto"/>
            <w:vMerge w:val="restart"/>
            <w:tcBorders>
              <w:top w:val="nil"/>
              <w:left w:val="nil"/>
              <w:bottom w:val="single" w:sz="8" w:space="0" w:color="000000"/>
              <w:right w:val="nil"/>
            </w:tcBorders>
            <w:shd w:val="clear" w:color="auto" w:fill="auto"/>
            <w:vAlign w:val="center"/>
            <w:hideMark/>
          </w:tcPr>
          <w:p w:rsidR="006431A7" w:rsidRDefault="006431A7">
            <w:pPr>
              <w:jc w:val="center"/>
              <w:rPr>
                <w:rFonts w:ascii="Arial" w:hAnsi="Arial" w:cs="Arial"/>
                <w:b/>
                <w:bCs/>
                <w:color w:val="000000"/>
                <w:sz w:val="16"/>
                <w:szCs w:val="16"/>
              </w:rPr>
            </w:pPr>
            <w:r>
              <w:rPr>
                <w:rFonts w:ascii="Arial" w:hAnsi="Arial" w:cs="Arial"/>
                <w:b/>
                <w:bCs/>
                <w:color w:val="000000"/>
                <w:sz w:val="16"/>
                <w:szCs w:val="16"/>
              </w:rPr>
              <w:t>Zyski/Straty zatrzymane</w:t>
            </w:r>
          </w:p>
        </w:tc>
        <w:tc>
          <w:tcPr>
            <w:tcW w:w="0" w:type="auto"/>
            <w:vMerge w:val="restart"/>
            <w:tcBorders>
              <w:top w:val="nil"/>
              <w:left w:val="nil"/>
              <w:bottom w:val="single" w:sz="8" w:space="0" w:color="000000"/>
              <w:right w:val="nil"/>
            </w:tcBorders>
            <w:shd w:val="clear" w:color="auto" w:fill="auto"/>
            <w:vAlign w:val="center"/>
            <w:hideMark/>
          </w:tcPr>
          <w:p w:rsidR="006431A7" w:rsidRDefault="006431A7">
            <w:pPr>
              <w:jc w:val="center"/>
              <w:rPr>
                <w:rFonts w:ascii="Arial" w:hAnsi="Arial" w:cs="Arial"/>
                <w:b/>
                <w:bCs/>
                <w:color w:val="000000"/>
                <w:sz w:val="16"/>
                <w:szCs w:val="16"/>
              </w:rPr>
            </w:pPr>
            <w:r>
              <w:rPr>
                <w:rFonts w:ascii="Arial" w:hAnsi="Arial" w:cs="Arial"/>
                <w:b/>
                <w:bCs/>
                <w:color w:val="000000"/>
                <w:sz w:val="16"/>
                <w:szCs w:val="16"/>
              </w:rPr>
              <w:t>Pozostałe elementy kapitału własnego</w:t>
            </w:r>
          </w:p>
        </w:tc>
        <w:tc>
          <w:tcPr>
            <w:tcW w:w="0" w:type="auto"/>
            <w:vMerge w:val="restart"/>
            <w:tcBorders>
              <w:top w:val="nil"/>
              <w:left w:val="nil"/>
              <w:bottom w:val="single" w:sz="8" w:space="0" w:color="000000"/>
              <w:right w:val="nil"/>
            </w:tcBorders>
            <w:shd w:val="clear" w:color="auto" w:fill="auto"/>
            <w:vAlign w:val="center"/>
            <w:hideMark/>
          </w:tcPr>
          <w:p w:rsidR="006431A7" w:rsidRDefault="006431A7">
            <w:pPr>
              <w:jc w:val="center"/>
              <w:rPr>
                <w:rFonts w:ascii="Arial" w:hAnsi="Arial" w:cs="Arial"/>
                <w:b/>
                <w:bCs/>
                <w:color w:val="000000"/>
                <w:sz w:val="16"/>
                <w:szCs w:val="16"/>
              </w:rPr>
            </w:pPr>
            <w:r>
              <w:rPr>
                <w:rFonts w:ascii="Arial" w:hAnsi="Arial" w:cs="Arial"/>
                <w:b/>
                <w:bCs/>
                <w:color w:val="000000"/>
                <w:sz w:val="16"/>
                <w:szCs w:val="16"/>
              </w:rPr>
              <w:t>Razem kapitał własny</w:t>
            </w:r>
          </w:p>
        </w:tc>
      </w:tr>
      <w:tr w:rsidR="006431A7" w:rsidTr="006431A7">
        <w:trPr>
          <w:trHeight w:val="315"/>
        </w:trPr>
        <w:tc>
          <w:tcPr>
            <w:tcW w:w="0" w:type="auto"/>
            <w:tcBorders>
              <w:top w:val="nil"/>
              <w:left w:val="nil"/>
              <w:bottom w:val="nil"/>
              <w:right w:val="nil"/>
            </w:tcBorders>
            <w:shd w:val="clear" w:color="auto" w:fill="auto"/>
            <w:vAlign w:val="bottom"/>
            <w:hideMark/>
          </w:tcPr>
          <w:p w:rsidR="006431A7" w:rsidRDefault="006431A7">
            <w:pPr>
              <w:rPr>
                <w:color w:val="000000"/>
                <w:sz w:val="22"/>
                <w:szCs w:val="22"/>
              </w:rPr>
            </w:pPr>
          </w:p>
        </w:tc>
        <w:tc>
          <w:tcPr>
            <w:tcW w:w="0" w:type="auto"/>
            <w:vMerge/>
            <w:tcBorders>
              <w:top w:val="nil"/>
              <w:left w:val="nil"/>
              <w:bottom w:val="single" w:sz="8" w:space="0" w:color="000000"/>
              <w:right w:val="nil"/>
            </w:tcBorders>
            <w:vAlign w:val="center"/>
            <w:hideMark/>
          </w:tcPr>
          <w:p w:rsidR="006431A7" w:rsidRDefault="006431A7">
            <w:pPr>
              <w:rPr>
                <w:rFonts w:ascii="Arial" w:hAnsi="Arial" w:cs="Arial"/>
                <w:b/>
                <w:bCs/>
                <w:color w:val="000000"/>
                <w:sz w:val="16"/>
                <w:szCs w:val="16"/>
              </w:rPr>
            </w:pPr>
          </w:p>
        </w:tc>
        <w:tc>
          <w:tcPr>
            <w:tcW w:w="0" w:type="auto"/>
            <w:vMerge/>
            <w:tcBorders>
              <w:top w:val="nil"/>
              <w:left w:val="nil"/>
              <w:bottom w:val="single" w:sz="8" w:space="0" w:color="000000"/>
              <w:right w:val="nil"/>
            </w:tcBorders>
            <w:vAlign w:val="center"/>
            <w:hideMark/>
          </w:tcPr>
          <w:p w:rsidR="006431A7" w:rsidRDefault="006431A7">
            <w:pPr>
              <w:rPr>
                <w:rFonts w:ascii="Arial" w:hAnsi="Arial" w:cs="Arial"/>
                <w:b/>
                <w:bCs/>
                <w:color w:val="000000"/>
                <w:sz w:val="16"/>
                <w:szCs w:val="16"/>
              </w:rPr>
            </w:pPr>
          </w:p>
        </w:tc>
        <w:tc>
          <w:tcPr>
            <w:tcW w:w="0" w:type="auto"/>
            <w:vMerge/>
            <w:tcBorders>
              <w:top w:val="nil"/>
              <w:left w:val="nil"/>
              <w:bottom w:val="single" w:sz="8" w:space="0" w:color="000000"/>
              <w:right w:val="nil"/>
            </w:tcBorders>
            <w:vAlign w:val="center"/>
            <w:hideMark/>
          </w:tcPr>
          <w:p w:rsidR="006431A7" w:rsidRDefault="006431A7">
            <w:pPr>
              <w:rPr>
                <w:rFonts w:ascii="Arial" w:hAnsi="Arial" w:cs="Arial"/>
                <w:b/>
                <w:bCs/>
                <w:color w:val="000000"/>
                <w:sz w:val="16"/>
                <w:szCs w:val="16"/>
              </w:rPr>
            </w:pPr>
          </w:p>
        </w:tc>
        <w:tc>
          <w:tcPr>
            <w:tcW w:w="0" w:type="auto"/>
            <w:vMerge/>
            <w:tcBorders>
              <w:top w:val="nil"/>
              <w:left w:val="nil"/>
              <w:bottom w:val="single" w:sz="8" w:space="0" w:color="000000"/>
              <w:right w:val="nil"/>
            </w:tcBorders>
            <w:vAlign w:val="center"/>
            <w:hideMark/>
          </w:tcPr>
          <w:p w:rsidR="006431A7" w:rsidRDefault="006431A7">
            <w:pPr>
              <w:rPr>
                <w:rFonts w:ascii="Arial" w:hAnsi="Arial" w:cs="Arial"/>
                <w:b/>
                <w:bCs/>
                <w:color w:val="000000"/>
                <w:sz w:val="16"/>
                <w:szCs w:val="16"/>
              </w:rPr>
            </w:pPr>
          </w:p>
        </w:tc>
        <w:tc>
          <w:tcPr>
            <w:tcW w:w="0" w:type="auto"/>
            <w:vMerge/>
            <w:tcBorders>
              <w:top w:val="nil"/>
              <w:left w:val="nil"/>
              <w:bottom w:val="single" w:sz="8" w:space="0" w:color="000000"/>
              <w:right w:val="nil"/>
            </w:tcBorders>
            <w:vAlign w:val="center"/>
            <w:hideMark/>
          </w:tcPr>
          <w:p w:rsidR="006431A7" w:rsidRDefault="006431A7">
            <w:pPr>
              <w:rPr>
                <w:rFonts w:ascii="Arial" w:hAnsi="Arial" w:cs="Arial"/>
                <w:b/>
                <w:bCs/>
                <w:color w:val="000000"/>
                <w:sz w:val="16"/>
                <w:szCs w:val="16"/>
              </w:rPr>
            </w:pPr>
          </w:p>
        </w:tc>
      </w:tr>
      <w:tr w:rsidR="006431A7" w:rsidTr="006431A7">
        <w:trPr>
          <w:trHeight w:val="300"/>
        </w:trPr>
        <w:tc>
          <w:tcPr>
            <w:tcW w:w="0" w:type="auto"/>
            <w:tcBorders>
              <w:top w:val="nil"/>
              <w:left w:val="nil"/>
              <w:bottom w:val="nil"/>
              <w:right w:val="nil"/>
            </w:tcBorders>
            <w:shd w:val="clear" w:color="auto" w:fill="auto"/>
            <w:noWrap/>
            <w:vAlign w:val="center"/>
            <w:hideMark/>
          </w:tcPr>
          <w:p w:rsidR="006431A7" w:rsidRDefault="006431A7">
            <w:pPr>
              <w:rPr>
                <w:rFonts w:ascii="Arial" w:hAnsi="Arial" w:cs="Arial"/>
                <w:b/>
                <w:bCs/>
                <w:color w:val="000000"/>
                <w:sz w:val="16"/>
                <w:szCs w:val="16"/>
              </w:rPr>
            </w:pPr>
            <w:r>
              <w:rPr>
                <w:rFonts w:ascii="Arial" w:hAnsi="Arial" w:cs="Arial"/>
                <w:b/>
                <w:bCs/>
                <w:color w:val="000000"/>
                <w:sz w:val="16"/>
                <w:szCs w:val="16"/>
              </w:rPr>
              <w:t>Stan na 31.12. 2019r.</w:t>
            </w:r>
          </w:p>
        </w:tc>
        <w:tc>
          <w:tcPr>
            <w:tcW w:w="0" w:type="auto"/>
            <w:tcBorders>
              <w:top w:val="nil"/>
              <w:left w:val="nil"/>
              <w:bottom w:val="nil"/>
              <w:right w:val="nil"/>
            </w:tcBorders>
            <w:shd w:val="clear" w:color="auto" w:fill="auto"/>
            <w:noWrap/>
            <w:vAlign w:val="center"/>
            <w:hideMark/>
          </w:tcPr>
          <w:p w:rsidR="006431A7" w:rsidRDefault="006431A7">
            <w:pPr>
              <w:jc w:val="right"/>
              <w:rPr>
                <w:rFonts w:ascii="Arial" w:hAnsi="Arial" w:cs="Arial"/>
                <w:b/>
                <w:bCs/>
                <w:color w:val="000000"/>
                <w:sz w:val="16"/>
                <w:szCs w:val="16"/>
              </w:rPr>
            </w:pPr>
            <w:r>
              <w:rPr>
                <w:rFonts w:ascii="Arial" w:hAnsi="Arial" w:cs="Arial"/>
                <w:b/>
                <w:bCs/>
                <w:color w:val="000000"/>
                <w:sz w:val="16"/>
                <w:szCs w:val="16"/>
              </w:rPr>
              <w:t>72 821</w:t>
            </w:r>
          </w:p>
        </w:tc>
        <w:tc>
          <w:tcPr>
            <w:tcW w:w="0" w:type="auto"/>
            <w:tcBorders>
              <w:top w:val="nil"/>
              <w:left w:val="nil"/>
              <w:bottom w:val="nil"/>
              <w:right w:val="nil"/>
            </w:tcBorders>
            <w:shd w:val="clear" w:color="auto" w:fill="auto"/>
            <w:vAlign w:val="center"/>
            <w:hideMark/>
          </w:tcPr>
          <w:p w:rsidR="006431A7" w:rsidRDefault="006431A7">
            <w:pPr>
              <w:jc w:val="right"/>
              <w:rPr>
                <w:rFonts w:ascii="Arial" w:hAnsi="Arial" w:cs="Arial"/>
                <w:b/>
                <w:bCs/>
                <w:color w:val="000000"/>
                <w:sz w:val="16"/>
                <w:szCs w:val="16"/>
              </w:rPr>
            </w:pPr>
            <w:r>
              <w:rPr>
                <w:rFonts w:ascii="Arial" w:hAnsi="Arial" w:cs="Arial"/>
                <w:b/>
                <w:bCs/>
                <w:color w:val="000000"/>
                <w:sz w:val="16"/>
                <w:szCs w:val="16"/>
              </w:rPr>
              <w:t>3 873</w:t>
            </w:r>
          </w:p>
        </w:tc>
        <w:tc>
          <w:tcPr>
            <w:tcW w:w="0" w:type="auto"/>
            <w:tcBorders>
              <w:top w:val="nil"/>
              <w:left w:val="nil"/>
              <w:bottom w:val="nil"/>
              <w:right w:val="nil"/>
            </w:tcBorders>
            <w:shd w:val="clear" w:color="auto" w:fill="auto"/>
            <w:noWrap/>
            <w:vAlign w:val="center"/>
            <w:hideMark/>
          </w:tcPr>
          <w:p w:rsidR="006431A7" w:rsidRDefault="007C72C8">
            <w:pPr>
              <w:jc w:val="right"/>
              <w:rPr>
                <w:rFonts w:ascii="Arial" w:hAnsi="Arial" w:cs="Arial"/>
                <w:b/>
                <w:bCs/>
                <w:color w:val="000000"/>
                <w:sz w:val="16"/>
                <w:szCs w:val="16"/>
              </w:rPr>
            </w:pPr>
            <w:r>
              <w:rPr>
                <w:rFonts w:ascii="Arial" w:hAnsi="Arial" w:cs="Arial"/>
                <w:b/>
                <w:bCs/>
                <w:color w:val="000000"/>
                <w:sz w:val="16"/>
                <w:szCs w:val="16"/>
              </w:rPr>
              <w:t>53 859</w:t>
            </w:r>
          </w:p>
        </w:tc>
        <w:tc>
          <w:tcPr>
            <w:tcW w:w="0" w:type="auto"/>
            <w:tcBorders>
              <w:top w:val="nil"/>
              <w:left w:val="nil"/>
              <w:bottom w:val="nil"/>
              <w:right w:val="nil"/>
            </w:tcBorders>
            <w:shd w:val="clear" w:color="auto" w:fill="auto"/>
            <w:noWrap/>
            <w:vAlign w:val="center"/>
            <w:hideMark/>
          </w:tcPr>
          <w:p w:rsidR="006431A7" w:rsidRDefault="006431A7">
            <w:pPr>
              <w:jc w:val="right"/>
              <w:rPr>
                <w:rFonts w:ascii="Arial" w:hAnsi="Arial" w:cs="Arial"/>
                <w:b/>
                <w:bCs/>
                <w:color w:val="000000"/>
                <w:sz w:val="16"/>
                <w:szCs w:val="16"/>
              </w:rPr>
            </w:pPr>
            <w:r>
              <w:rPr>
                <w:rFonts w:ascii="Arial" w:hAnsi="Arial" w:cs="Arial"/>
                <w:b/>
                <w:bCs/>
                <w:color w:val="000000"/>
                <w:sz w:val="16"/>
                <w:szCs w:val="16"/>
              </w:rPr>
              <w:t>-320</w:t>
            </w:r>
          </w:p>
        </w:tc>
        <w:tc>
          <w:tcPr>
            <w:tcW w:w="0" w:type="auto"/>
            <w:tcBorders>
              <w:top w:val="nil"/>
              <w:left w:val="nil"/>
              <w:bottom w:val="nil"/>
              <w:right w:val="nil"/>
            </w:tcBorders>
            <w:shd w:val="clear" w:color="auto" w:fill="auto"/>
            <w:noWrap/>
            <w:vAlign w:val="center"/>
            <w:hideMark/>
          </w:tcPr>
          <w:p w:rsidR="006431A7" w:rsidRDefault="007C72C8">
            <w:pPr>
              <w:jc w:val="right"/>
              <w:rPr>
                <w:rFonts w:ascii="Arial" w:hAnsi="Arial" w:cs="Arial"/>
                <w:b/>
                <w:bCs/>
                <w:color w:val="000000"/>
                <w:sz w:val="16"/>
                <w:szCs w:val="16"/>
              </w:rPr>
            </w:pPr>
            <w:r>
              <w:rPr>
                <w:rFonts w:ascii="Arial" w:hAnsi="Arial" w:cs="Arial"/>
                <w:b/>
                <w:bCs/>
                <w:color w:val="000000"/>
                <w:sz w:val="16"/>
                <w:szCs w:val="16"/>
              </w:rPr>
              <w:t>130 23</w:t>
            </w:r>
          </w:p>
        </w:tc>
      </w:tr>
      <w:tr w:rsidR="006431A7" w:rsidTr="006431A7">
        <w:trPr>
          <w:trHeight w:val="315"/>
        </w:trPr>
        <w:tc>
          <w:tcPr>
            <w:tcW w:w="0" w:type="auto"/>
            <w:tcBorders>
              <w:top w:val="nil"/>
              <w:left w:val="nil"/>
              <w:bottom w:val="nil"/>
              <w:right w:val="nil"/>
            </w:tcBorders>
            <w:shd w:val="clear" w:color="auto" w:fill="auto"/>
            <w:noWrap/>
            <w:vAlign w:val="center"/>
            <w:hideMark/>
          </w:tcPr>
          <w:p w:rsidR="006431A7" w:rsidRDefault="006431A7">
            <w:pPr>
              <w:rPr>
                <w:rFonts w:ascii="Arial" w:hAnsi="Arial" w:cs="Arial"/>
                <w:color w:val="000000"/>
                <w:sz w:val="16"/>
                <w:szCs w:val="16"/>
              </w:rPr>
            </w:pPr>
            <w:r>
              <w:rPr>
                <w:rFonts w:ascii="Arial" w:hAnsi="Arial" w:cs="Arial"/>
                <w:color w:val="000000"/>
                <w:sz w:val="16"/>
                <w:szCs w:val="16"/>
              </w:rPr>
              <w:t>Całkowite dochody</w:t>
            </w:r>
          </w:p>
        </w:tc>
        <w:tc>
          <w:tcPr>
            <w:tcW w:w="0" w:type="auto"/>
            <w:tcBorders>
              <w:top w:val="nil"/>
              <w:left w:val="nil"/>
              <w:bottom w:val="nil"/>
              <w:right w:val="nil"/>
            </w:tcBorders>
            <w:shd w:val="clear" w:color="auto" w:fill="auto"/>
            <w:noWrap/>
            <w:vAlign w:val="bottom"/>
            <w:hideMark/>
          </w:tcPr>
          <w:p w:rsidR="006431A7" w:rsidRDefault="006431A7">
            <w:pPr>
              <w:rPr>
                <w:color w:val="000000"/>
                <w:sz w:val="22"/>
                <w:szCs w:val="22"/>
              </w:rPr>
            </w:pPr>
          </w:p>
        </w:tc>
        <w:tc>
          <w:tcPr>
            <w:tcW w:w="0" w:type="auto"/>
            <w:tcBorders>
              <w:top w:val="nil"/>
              <w:left w:val="nil"/>
              <w:bottom w:val="nil"/>
              <w:right w:val="nil"/>
            </w:tcBorders>
            <w:shd w:val="clear" w:color="auto" w:fill="auto"/>
            <w:noWrap/>
            <w:vAlign w:val="bottom"/>
            <w:hideMark/>
          </w:tcPr>
          <w:p w:rsidR="006431A7" w:rsidRDefault="006431A7">
            <w:pPr>
              <w:rPr>
                <w:color w:val="000000"/>
                <w:sz w:val="22"/>
                <w:szCs w:val="22"/>
              </w:rPr>
            </w:pPr>
          </w:p>
        </w:tc>
        <w:tc>
          <w:tcPr>
            <w:tcW w:w="0" w:type="auto"/>
            <w:tcBorders>
              <w:top w:val="nil"/>
              <w:left w:val="nil"/>
              <w:bottom w:val="nil"/>
              <w:right w:val="nil"/>
            </w:tcBorders>
            <w:shd w:val="clear" w:color="auto" w:fill="auto"/>
            <w:noWrap/>
            <w:vAlign w:val="center"/>
            <w:hideMark/>
          </w:tcPr>
          <w:p w:rsidR="006431A7" w:rsidRDefault="006431A7" w:rsidP="007C72C8">
            <w:pPr>
              <w:jc w:val="right"/>
              <w:rPr>
                <w:rFonts w:ascii="Arial" w:hAnsi="Arial" w:cs="Arial"/>
                <w:color w:val="000000"/>
                <w:sz w:val="16"/>
                <w:szCs w:val="16"/>
              </w:rPr>
            </w:pPr>
            <w:r>
              <w:rPr>
                <w:rFonts w:ascii="Arial" w:hAnsi="Arial" w:cs="Arial"/>
                <w:color w:val="000000"/>
                <w:sz w:val="16"/>
                <w:szCs w:val="16"/>
              </w:rPr>
              <w:t xml:space="preserve">-6 </w:t>
            </w:r>
            <w:r w:rsidR="007C72C8">
              <w:rPr>
                <w:rFonts w:ascii="Arial" w:hAnsi="Arial" w:cs="Arial"/>
                <w:color w:val="000000"/>
                <w:sz w:val="16"/>
                <w:szCs w:val="16"/>
              </w:rPr>
              <w:t>820</w:t>
            </w:r>
          </w:p>
        </w:tc>
        <w:tc>
          <w:tcPr>
            <w:tcW w:w="0" w:type="auto"/>
            <w:tcBorders>
              <w:top w:val="nil"/>
              <w:left w:val="nil"/>
              <w:bottom w:val="nil"/>
              <w:right w:val="nil"/>
            </w:tcBorders>
            <w:shd w:val="clear" w:color="auto" w:fill="auto"/>
            <w:noWrap/>
            <w:vAlign w:val="center"/>
            <w:hideMark/>
          </w:tcPr>
          <w:p w:rsidR="006431A7" w:rsidRDefault="006431A7">
            <w:pPr>
              <w:jc w:val="right"/>
              <w:rPr>
                <w:rFonts w:ascii="Arial" w:hAnsi="Arial" w:cs="Arial"/>
                <w:color w:val="000000"/>
                <w:sz w:val="16"/>
                <w:szCs w:val="16"/>
              </w:rPr>
            </w:pPr>
          </w:p>
        </w:tc>
        <w:tc>
          <w:tcPr>
            <w:tcW w:w="0" w:type="auto"/>
            <w:tcBorders>
              <w:top w:val="nil"/>
              <w:left w:val="nil"/>
              <w:bottom w:val="nil"/>
              <w:right w:val="nil"/>
            </w:tcBorders>
            <w:shd w:val="clear" w:color="auto" w:fill="auto"/>
            <w:noWrap/>
            <w:vAlign w:val="center"/>
            <w:hideMark/>
          </w:tcPr>
          <w:p w:rsidR="006431A7" w:rsidRDefault="006431A7" w:rsidP="007C72C8">
            <w:pPr>
              <w:jc w:val="right"/>
              <w:rPr>
                <w:rFonts w:ascii="Arial" w:hAnsi="Arial" w:cs="Arial"/>
                <w:color w:val="000000"/>
                <w:sz w:val="16"/>
                <w:szCs w:val="16"/>
              </w:rPr>
            </w:pPr>
            <w:r>
              <w:rPr>
                <w:rFonts w:ascii="Arial" w:hAnsi="Arial" w:cs="Arial"/>
                <w:color w:val="000000"/>
                <w:sz w:val="16"/>
                <w:szCs w:val="16"/>
              </w:rPr>
              <w:t xml:space="preserve">-6 </w:t>
            </w:r>
            <w:r w:rsidR="007C72C8">
              <w:rPr>
                <w:rFonts w:ascii="Arial" w:hAnsi="Arial" w:cs="Arial"/>
                <w:color w:val="000000"/>
                <w:sz w:val="16"/>
                <w:szCs w:val="16"/>
              </w:rPr>
              <w:t>820</w:t>
            </w:r>
          </w:p>
        </w:tc>
      </w:tr>
      <w:tr w:rsidR="006431A7" w:rsidTr="006431A7">
        <w:trPr>
          <w:trHeight w:val="300"/>
        </w:trPr>
        <w:tc>
          <w:tcPr>
            <w:tcW w:w="0" w:type="auto"/>
            <w:tcBorders>
              <w:top w:val="nil"/>
              <w:left w:val="nil"/>
              <w:bottom w:val="nil"/>
              <w:right w:val="nil"/>
            </w:tcBorders>
            <w:shd w:val="clear" w:color="auto" w:fill="auto"/>
            <w:noWrap/>
            <w:vAlign w:val="center"/>
            <w:hideMark/>
          </w:tcPr>
          <w:p w:rsidR="006431A7" w:rsidRDefault="006431A7">
            <w:pPr>
              <w:rPr>
                <w:rFonts w:ascii="Arial" w:hAnsi="Arial" w:cs="Arial"/>
                <w:b/>
                <w:bCs/>
                <w:color w:val="000000"/>
                <w:sz w:val="16"/>
                <w:szCs w:val="16"/>
              </w:rPr>
            </w:pPr>
            <w:r>
              <w:rPr>
                <w:rFonts w:ascii="Arial" w:hAnsi="Arial" w:cs="Arial"/>
                <w:b/>
                <w:bCs/>
                <w:color w:val="000000"/>
                <w:sz w:val="16"/>
                <w:szCs w:val="16"/>
              </w:rPr>
              <w:t>Stan na 30 września 2020 r.</w:t>
            </w:r>
          </w:p>
        </w:tc>
        <w:tc>
          <w:tcPr>
            <w:tcW w:w="0" w:type="auto"/>
            <w:vMerge w:val="restart"/>
            <w:tcBorders>
              <w:top w:val="single" w:sz="8" w:space="0" w:color="auto"/>
              <w:left w:val="nil"/>
              <w:bottom w:val="single" w:sz="8" w:space="0" w:color="000000"/>
              <w:right w:val="nil"/>
            </w:tcBorders>
            <w:shd w:val="clear" w:color="auto" w:fill="auto"/>
            <w:noWrap/>
            <w:vAlign w:val="center"/>
            <w:hideMark/>
          </w:tcPr>
          <w:p w:rsidR="006431A7" w:rsidRDefault="006431A7">
            <w:pPr>
              <w:jc w:val="right"/>
              <w:rPr>
                <w:rFonts w:ascii="Arial" w:hAnsi="Arial" w:cs="Arial"/>
                <w:b/>
                <w:bCs/>
                <w:color w:val="000000"/>
                <w:sz w:val="16"/>
                <w:szCs w:val="16"/>
              </w:rPr>
            </w:pPr>
            <w:r>
              <w:rPr>
                <w:rFonts w:ascii="Arial" w:hAnsi="Arial" w:cs="Arial"/>
                <w:b/>
                <w:bCs/>
                <w:color w:val="000000"/>
                <w:sz w:val="16"/>
                <w:szCs w:val="16"/>
              </w:rPr>
              <w:t>72 821</w:t>
            </w:r>
          </w:p>
        </w:tc>
        <w:tc>
          <w:tcPr>
            <w:tcW w:w="0" w:type="auto"/>
            <w:vMerge w:val="restart"/>
            <w:tcBorders>
              <w:top w:val="single" w:sz="8" w:space="0" w:color="auto"/>
              <w:left w:val="nil"/>
              <w:bottom w:val="single" w:sz="8" w:space="0" w:color="000000"/>
              <w:right w:val="nil"/>
            </w:tcBorders>
            <w:shd w:val="clear" w:color="auto" w:fill="auto"/>
            <w:noWrap/>
            <w:vAlign w:val="center"/>
            <w:hideMark/>
          </w:tcPr>
          <w:p w:rsidR="006431A7" w:rsidRDefault="006431A7">
            <w:pPr>
              <w:jc w:val="right"/>
              <w:rPr>
                <w:rFonts w:ascii="Arial" w:hAnsi="Arial" w:cs="Arial"/>
                <w:b/>
                <w:bCs/>
                <w:color w:val="000000"/>
                <w:sz w:val="16"/>
                <w:szCs w:val="16"/>
              </w:rPr>
            </w:pPr>
            <w:r>
              <w:rPr>
                <w:rFonts w:ascii="Arial" w:hAnsi="Arial" w:cs="Arial"/>
                <w:b/>
                <w:bCs/>
                <w:color w:val="000000"/>
                <w:sz w:val="16"/>
                <w:szCs w:val="16"/>
              </w:rPr>
              <w:t>3 873</w:t>
            </w:r>
          </w:p>
        </w:tc>
        <w:tc>
          <w:tcPr>
            <w:tcW w:w="0" w:type="auto"/>
            <w:vMerge w:val="restart"/>
            <w:tcBorders>
              <w:top w:val="single" w:sz="8" w:space="0" w:color="auto"/>
              <w:left w:val="nil"/>
              <w:bottom w:val="single" w:sz="8" w:space="0" w:color="000000"/>
              <w:right w:val="nil"/>
            </w:tcBorders>
            <w:shd w:val="clear" w:color="auto" w:fill="auto"/>
            <w:noWrap/>
            <w:vAlign w:val="center"/>
            <w:hideMark/>
          </w:tcPr>
          <w:p w:rsidR="006431A7" w:rsidRDefault="007C72C8">
            <w:pPr>
              <w:jc w:val="right"/>
              <w:rPr>
                <w:rFonts w:ascii="Arial" w:hAnsi="Arial" w:cs="Arial"/>
                <w:b/>
                <w:bCs/>
                <w:color w:val="000000"/>
                <w:sz w:val="16"/>
                <w:szCs w:val="16"/>
              </w:rPr>
            </w:pPr>
            <w:r>
              <w:rPr>
                <w:rFonts w:ascii="Arial" w:hAnsi="Arial" w:cs="Arial"/>
                <w:b/>
                <w:bCs/>
                <w:color w:val="000000"/>
                <w:sz w:val="16"/>
                <w:szCs w:val="16"/>
              </w:rPr>
              <w:t>47 039</w:t>
            </w:r>
          </w:p>
        </w:tc>
        <w:tc>
          <w:tcPr>
            <w:tcW w:w="0" w:type="auto"/>
            <w:vMerge w:val="restart"/>
            <w:tcBorders>
              <w:top w:val="single" w:sz="8" w:space="0" w:color="auto"/>
              <w:left w:val="nil"/>
              <w:bottom w:val="single" w:sz="8" w:space="0" w:color="000000"/>
              <w:right w:val="nil"/>
            </w:tcBorders>
            <w:shd w:val="clear" w:color="auto" w:fill="auto"/>
            <w:noWrap/>
            <w:vAlign w:val="center"/>
            <w:hideMark/>
          </w:tcPr>
          <w:p w:rsidR="006431A7" w:rsidRDefault="006431A7">
            <w:pPr>
              <w:jc w:val="right"/>
              <w:rPr>
                <w:rFonts w:ascii="Arial" w:hAnsi="Arial" w:cs="Arial"/>
                <w:b/>
                <w:bCs/>
                <w:color w:val="000000"/>
                <w:sz w:val="16"/>
                <w:szCs w:val="16"/>
              </w:rPr>
            </w:pPr>
            <w:r>
              <w:rPr>
                <w:rFonts w:ascii="Arial" w:hAnsi="Arial" w:cs="Arial"/>
                <w:b/>
                <w:bCs/>
                <w:color w:val="000000"/>
                <w:sz w:val="16"/>
                <w:szCs w:val="16"/>
              </w:rPr>
              <w:t>-320</w:t>
            </w:r>
          </w:p>
        </w:tc>
        <w:tc>
          <w:tcPr>
            <w:tcW w:w="0" w:type="auto"/>
            <w:vMerge w:val="restart"/>
            <w:tcBorders>
              <w:top w:val="single" w:sz="8" w:space="0" w:color="auto"/>
              <w:left w:val="nil"/>
              <w:bottom w:val="single" w:sz="8" w:space="0" w:color="000000"/>
              <w:right w:val="nil"/>
            </w:tcBorders>
            <w:shd w:val="clear" w:color="auto" w:fill="auto"/>
            <w:noWrap/>
            <w:vAlign w:val="center"/>
            <w:hideMark/>
          </w:tcPr>
          <w:p w:rsidR="006431A7" w:rsidRDefault="007C72C8">
            <w:pPr>
              <w:jc w:val="right"/>
              <w:rPr>
                <w:rFonts w:ascii="Arial" w:hAnsi="Arial" w:cs="Arial"/>
                <w:b/>
                <w:bCs/>
                <w:color w:val="000000"/>
                <w:sz w:val="16"/>
                <w:szCs w:val="16"/>
              </w:rPr>
            </w:pPr>
            <w:r>
              <w:rPr>
                <w:rFonts w:ascii="Arial" w:hAnsi="Arial" w:cs="Arial"/>
                <w:b/>
                <w:bCs/>
                <w:color w:val="000000"/>
                <w:sz w:val="16"/>
                <w:szCs w:val="16"/>
              </w:rPr>
              <w:t>123 413</w:t>
            </w:r>
          </w:p>
        </w:tc>
      </w:tr>
      <w:tr w:rsidR="006431A7" w:rsidTr="006431A7">
        <w:trPr>
          <w:trHeight w:val="315"/>
        </w:trPr>
        <w:tc>
          <w:tcPr>
            <w:tcW w:w="0" w:type="auto"/>
            <w:tcBorders>
              <w:top w:val="nil"/>
              <w:left w:val="nil"/>
              <w:bottom w:val="nil"/>
              <w:right w:val="nil"/>
            </w:tcBorders>
            <w:shd w:val="clear" w:color="auto" w:fill="auto"/>
            <w:noWrap/>
            <w:vAlign w:val="center"/>
            <w:hideMark/>
          </w:tcPr>
          <w:p w:rsidR="006431A7" w:rsidRDefault="006431A7">
            <w:pPr>
              <w:rPr>
                <w:rFonts w:ascii="Arial" w:hAnsi="Arial" w:cs="Arial"/>
                <w:color w:val="000000"/>
                <w:sz w:val="16"/>
                <w:szCs w:val="16"/>
              </w:rPr>
            </w:pPr>
            <w:r>
              <w:rPr>
                <w:rFonts w:ascii="Arial" w:hAnsi="Arial" w:cs="Arial"/>
                <w:color w:val="000000"/>
                <w:sz w:val="16"/>
                <w:szCs w:val="16"/>
              </w:rPr>
              <w:t>(niebadane)</w:t>
            </w:r>
          </w:p>
        </w:tc>
        <w:tc>
          <w:tcPr>
            <w:tcW w:w="0" w:type="auto"/>
            <w:vMerge/>
            <w:tcBorders>
              <w:top w:val="single" w:sz="8" w:space="0" w:color="auto"/>
              <w:left w:val="nil"/>
              <w:bottom w:val="single" w:sz="8" w:space="0" w:color="000000"/>
              <w:right w:val="nil"/>
            </w:tcBorders>
            <w:vAlign w:val="center"/>
            <w:hideMark/>
          </w:tcPr>
          <w:p w:rsidR="006431A7" w:rsidRDefault="006431A7">
            <w:pPr>
              <w:rPr>
                <w:rFonts w:ascii="Arial" w:hAnsi="Arial" w:cs="Arial"/>
                <w:b/>
                <w:bCs/>
                <w:color w:val="000000"/>
                <w:sz w:val="16"/>
                <w:szCs w:val="16"/>
              </w:rPr>
            </w:pPr>
          </w:p>
        </w:tc>
        <w:tc>
          <w:tcPr>
            <w:tcW w:w="0" w:type="auto"/>
            <w:vMerge/>
            <w:tcBorders>
              <w:top w:val="single" w:sz="8" w:space="0" w:color="auto"/>
              <w:left w:val="nil"/>
              <w:bottom w:val="single" w:sz="8" w:space="0" w:color="000000"/>
              <w:right w:val="nil"/>
            </w:tcBorders>
            <w:vAlign w:val="center"/>
            <w:hideMark/>
          </w:tcPr>
          <w:p w:rsidR="006431A7" w:rsidRDefault="006431A7">
            <w:pPr>
              <w:rPr>
                <w:rFonts w:ascii="Arial" w:hAnsi="Arial" w:cs="Arial"/>
                <w:b/>
                <w:bCs/>
                <w:color w:val="000000"/>
                <w:sz w:val="16"/>
                <w:szCs w:val="16"/>
              </w:rPr>
            </w:pPr>
          </w:p>
        </w:tc>
        <w:tc>
          <w:tcPr>
            <w:tcW w:w="0" w:type="auto"/>
            <w:vMerge/>
            <w:tcBorders>
              <w:top w:val="single" w:sz="8" w:space="0" w:color="auto"/>
              <w:left w:val="nil"/>
              <w:bottom w:val="single" w:sz="8" w:space="0" w:color="000000"/>
              <w:right w:val="nil"/>
            </w:tcBorders>
            <w:vAlign w:val="center"/>
            <w:hideMark/>
          </w:tcPr>
          <w:p w:rsidR="006431A7" w:rsidRDefault="006431A7">
            <w:pPr>
              <w:rPr>
                <w:rFonts w:ascii="Arial" w:hAnsi="Arial" w:cs="Arial"/>
                <w:b/>
                <w:bCs/>
                <w:color w:val="000000"/>
                <w:sz w:val="16"/>
                <w:szCs w:val="16"/>
              </w:rPr>
            </w:pPr>
          </w:p>
        </w:tc>
        <w:tc>
          <w:tcPr>
            <w:tcW w:w="0" w:type="auto"/>
            <w:vMerge/>
            <w:tcBorders>
              <w:top w:val="single" w:sz="8" w:space="0" w:color="auto"/>
              <w:left w:val="nil"/>
              <w:bottom w:val="single" w:sz="8" w:space="0" w:color="000000"/>
              <w:right w:val="nil"/>
            </w:tcBorders>
            <w:vAlign w:val="center"/>
            <w:hideMark/>
          </w:tcPr>
          <w:p w:rsidR="006431A7" w:rsidRDefault="006431A7">
            <w:pPr>
              <w:rPr>
                <w:rFonts w:ascii="Arial" w:hAnsi="Arial" w:cs="Arial"/>
                <w:b/>
                <w:bCs/>
                <w:color w:val="000000"/>
                <w:sz w:val="16"/>
                <w:szCs w:val="16"/>
              </w:rPr>
            </w:pPr>
          </w:p>
        </w:tc>
        <w:tc>
          <w:tcPr>
            <w:tcW w:w="0" w:type="auto"/>
            <w:vMerge/>
            <w:tcBorders>
              <w:top w:val="single" w:sz="8" w:space="0" w:color="auto"/>
              <w:left w:val="nil"/>
              <w:bottom w:val="single" w:sz="8" w:space="0" w:color="000000"/>
              <w:right w:val="nil"/>
            </w:tcBorders>
            <w:vAlign w:val="center"/>
            <w:hideMark/>
          </w:tcPr>
          <w:p w:rsidR="006431A7" w:rsidRDefault="006431A7">
            <w:pPr>
              <w:rPr>
                <w:rFonts w:ascii="Arial" w:hAnsi="Arial" w:cs="Arial"/>
                <w:b/>
                <w:bCs/>
                <w:color w:val="000000"/>
                <w:sz w:val="16"/>
                <w:szCs w:val="16"/>
              </w:rPr>
            </w:pPr>
          </w:p>
        </w:tc>
      </w:tr>
    </w:tbl>
    <w:p w:rsidR="00AE33B1" w:rsidRDefault="00AE33B1" w:rsidP="006418A8">
      <w:pPr>
        <w:pStyle w:val="Tekstpodstawowy3"/>
        <w:tabs>
          <w:tab w:val="left" w:pos="540"/>
        </w:tabs>
        <w:rPr>
          <w:b w:val="0"/>
          <w:szCs w:val="18"/>
          <w:highlight w:val="yellow"/>
        </w:rPr>
      </w:pPr>
    </w:p>
    <w:p w:rsidR="00AE33B1" w:rsidRDefault="00AE33B1" w:rsidP="006418A8">
      <w:pPr>
        <w:pStyle w:val="Tekstpodstawowy3"/>
        <w:tabs>
          <w:tab w:val="left" w:pos="540"/>
        </w:tabs>
        <w:rPr>
          <w:b w:val="0"/>
          <w:szCs w:val="18"/>
          <w:highlight w:val="yellow"/>
        </w:rPr>
      </w:pPr>
    </w:p>
    <w:p w:rsidR="00AE33B1" w:rsidRDefault="00AE33B1" w:rsidP="006418A8">
      <w:pPr>
        <w:pStyle w:val="Tekstpodstawowy3"/>
        <w:tabs>
          <w:tab w:val="left" w:pos="540"/>
        </w:tabs>
        <w:rPr>
          <w:b w:val="0"/>
          <w:szCs w:val="18"/>
          <w:highlight w:val="yellow"/>
        </w:rPr>
      </w:pPr>
    </w:p>
    <w:p w:rsidR="00E62DC4" w:rsidRDefault="00E62DC4" w:rsidP="006418A8">
      <w:pPr>
        <w:pStyle w:val="Tekstpodstawowy3"/>
        <w:tabs>
          <w:tab w:val="left" w:pos="540"/>
        </w:tabs>
        <w:rPr>
          <w:b w:val="0"/>
          <w:szCs w:val="18"/>
          <w:highlight w:val="yellow"/>
        </w:rPr>
      </w:pPr>
    </w:p>
    <w:p w:rsidR="00DA58EA" w:rsidRDefault="00DA58EA" w:rsidP="006418A8">
      <w:pPr>
        <w:pStyle w:val="Tekstpodstawowy3"/>
        <w:tabs>
          <w:tab w:val="left" w:pos="540"/>
        </w:tabs>
        <w:rPr>
          <w:b w:val="0"/>
          <w:szCs w:val="18"/>
          <w:highlight w:val="yellow"/>
        </w:rPr>
      </w:pPr>
    </w:p>
    <w:p w:rsidR="00E62DC4" w:rsidRPr="00CD083C" w:rsidRDefault="00E62DC4" w:rsidP="006418A8">
      <w:pPr>
        <w:pStyle w:val="Tekstpodstawowy3"/>
        <w:tabs>
          <w:tab w:val="left" w:pos="540"/>
        </w:tabs>
        <w:rPr>
          <w:b w:val="0"/>
          <w:szCs w:val="18"/>
          <w:highlight w:val="yellow"/>
        </w:rPr>
      </w:pPr>
    </w:p>
    <w:p w:rsidR="006418A8" w:rsidRPr="00F451D4" w:rsidRDefault="006418A8" w:rsidP="006418A8">
      <w:pPr>
        <w:pStyle w:val="Tekstpodstawowy3"/>
        <w:tabs>
          <w:tab w:val="left" w:pos="540"/>
        </w:tabs>
        <w:rPr>
          <w:b w:val="0"/>
          <w:szCs w:val="18"/>
          <w:highlight w:val="yellow"/>
        </w:rPr>
      </w:pPr>
    </w:p>
    <w:p w:rsidR="006418A8" w:rsidRPr="00F451D4" w:rsidRDefault="006418A8" w:rsidP="006418A8">
      <w:pPr>
        <w:pStyle w:val="Tekstpodstawowy3"/>
        <w:tabs>
          <w:tab w:val="left" w:pos="540"/>
        </w:tabs>
        <w:rPr>
          <w:b w:val="0"/>
          <w:szCs w:val="18"/>
          <w:highlight w:val="yellow"/>
        </w:rPr>
      </w:pPr>
    </w:p>
    <w:p w:rsidR="006418A8" w:rsidRPr="00F451D4" w:rsidRDefault="006418A8" w:rsidP="006418A8">
      <w:pPr>
        <w:pStyle w:val="Tekstpodstawowy3"/>
        <w:tabs>
          <w:tab w:val="left" w:pos="540"/>
        </w:tabs>
        <w:rPr>
          <w:b w:val="0"/>
          <w:szCs w:val="18"/>
          <w:highlight w:val="yellow"/>
        </w:rPr>
      </w:pPr>
    </w:p>
    <w:p w:rsidR="006418A8" w:rsidRPr="00F451D4" w:rsidRDefault="006418A8" w:rsidP="006418A8">
      <w:pPr>
        <w:pStyle w:val="Tekstpodstawowy3"/>
        <w:tabs>
          <w:tab w:val="left" w:pos="540"/>
        </w:tabs>
        <w:rPr>
          <w:b w:val="0"/>
          <w:szCs w:val="18"/>
          <w:highlight w:val="yellow"/>
        </w:rPr>
      </w:pPr>
    </w:p>
    <w:p w:rsidR="006418A8" w:rsidRPr="00F451D4" w:rsidRDefault="006418A8" w:rsidP="006418A8">
      <w:pPr>
        <w:pStyle w:val="Tekstpodstawowy3"/>
        <w:tabs>
          <w:tab w:val="left" w:pos="540"/>
        </w:tabs>
        <w:rPr>
          <w:b w:val="0"/>
          <w:szCs w:val="18"/>
          <w:highlight w:val="yellow"/>
        </w:rPr>
      </w:pPr>
    </w:p>
    <w:p w:rsidR="006418A8" w:rsidRPr="00D80B55" w:rsidRDefault="006418A8" w:rsidP="006418A8">
      <w:pPr>
        <w:pStyle w:val="Tekstpodstawowy3"/>
        <w:tabs>
          <w:tab w:val="left" w:pos="540"/>
        </w:tabs>
        <w:rPr>
          <w:sz w:val="24"/>
          <w:szCs w:val="24"/>
        </w:rPr>
      </w:pPr>
      <w:r w:rsidRPr="00F451D4">
        <w:rPr>
          <w:b w:val="0"/>
          <w:szCs w:val="18"/>
          <w:highlight w:val="yellow"/>
        </w:rPr>
        <w:br w:type="page"/>
      </w:r>
      <w:r w:rsidRPr="00D80B55">
        <w:rPr>
          <w:sz w:val="24"/>
          <w:szCs w:val="24"/>
        </w:rPr>
        <w:lastRenderedPageBreak/>
        <w:t>Śródroczne skrócone jednostkowe sprawozdanie z przepływów pieniężnych</w:t>
      </w:r>
    </w:p>
    <w:p w:rsidR="006418A8" w:rsidRPr="00F451D4" w:rsidRDefault="006418A8" w:rsidP="006418A8">
      <w:pPr>
        <w:rPr>
          <w:rFonts w:ascii="Arial" w:hAnsi="Arial" w:cs="Arial"/>
          <w:sz w:val="18"/>
          <w:szCs w:val="18"/>
          <w:highlight w:val="yellow"/>
        </w:rPr>
      </w:pPr>
    </w:p>
    <w:p w:rsidR="006418A8" w:rsidRPr="00F31D8E" w:rsidRDefault="006418A8" w:rsidP="006418A8">
      <w:pPr>
        <w:tabs>
          <w:tab w:val="left" w:pos="540"/>
        </w:tabs>
        <w:rPr>
          <w:rFonts w:ascii="Arial" w:hAnsi="Arial" w:cs="Arial"/>
          <w:sz w:val="18"/>
          <w:szCs w:val="18"/>
        </w:rPr>
      </w:pPr>
    </w:p>
    <w:tbl>
      <w:tblPr>
        <w:tblW w:w="0" w:type="auto"/>
        <w:tblInd w:w="55" w:type="dxa"/>
        <w:tblCellMar>
          <w:left w:w="70" w:type="dxa"/>
          <w:right w:w="70" w:type="dxa"/>
        </w:tblCellMar>
        <w:tblLook w:val="04A0" w:firstRow="1" w:lastRow="0" w:firstColumn="1" w:lastColumn="0" w:noHBand="0" w:noVBand="1"/>
      </w:tblPr>
      <w:tblGrid>
        <w:gridCol w:w="6277"/>
        <w:gridCol w:w="1439"/>
        <w:gridCol w:w="1439"/>
      </w:tblGrid>
      <w:tr w:rsidR="006431A7" w:rsidTr="006431A7">
        <w:trPr>
          <w:trHeight w:val="300"/>
        </w:trPr>
        <w:tc>
          <w:tcPr>
            <w:tcW w:w="0" w:type="auto"/>
            <w:tcBorders>
              <w:top w:val="nil"/>
              <w:left w:val="nil"/>
              <w:bottom w:val="nil"/>
              <w:right w:val="nil"/>
            </w:tcBorders>
            <w:shd w:val="clear" w:color="auto" w:fill="auto"/>
            <w:noWrap/>
            <w:vAlign w:val="bottom"/>
            <w:hideMark/>
          </w:tcPr>
          <w:p w:rsidR="006431A7" w:rsidRDefault="006431A7">
            <w:pPr>
              <w:rPr>
                <w:color w:val="000000"/>
                <w:sz w:val="22"/>
                <w:szCs w:val="22"/>
              </w:rPr>
            </w:pPr>
          </w:p>
        </w:tc>
        <w:tc>
          <w:tcPr>
            <w:tcW w:w="0" w:type="auto"/>
            <w:tcBorders>
              <w:top w:val="nil"/>
              <w:left w:val="nil"/>
              <w:bottom w:val="nil"/>
              <w:right w:val="nil"/>
            </w:tcBorders>
            <w:shd w:val="clear" w:color="auto" w:fill="auto"/>
            <w:noWrap/>
            <w:vAlign w:val="center"/>
            <w:hideMark/>
          </w:tcPr>
          <w:p w:rsidR="006431A7" w:rsidRDefault="006431A7">
            <w:pPr>
              <w:jc w:val="right"/>
              <w:rPr>
                <w:rFonts w:ascii="Arial" w:hAnsi="Arial" w:cs="Arial"/>
                <w:b/>
                <w:bCs/>
                <w:color w:val="000000"/>
                <w:sz w:val="16"/>
                <w:szCs w:val="16"/>
              </w:rPr>
            </w:pPr>
            <w:r>
              <w:rPr>
                <w:rFonts w:ascii="Arial" w:hAnsi="Arial" w:cs="Arial"/>
                <w:b/>
                <w:bCs/>
                <w:color w:val="000000"/>
                <w:sz w:val="16"/>
                <w:szCs w:val="16"/>
              </w:rPr>
              <w:t>za 9 miesięcy</w:t>
            </w:r>
          </w:p>
        </w:tc>
        <w:tc>
          <w:tcPr>
            <w:tcW w:w="0" w:type="auto"/>
            <w:tcBorders>
              <w:top w:val="nil"/>
              <w:left w:val="nil"/>
              <w:bottom w:val="nil"/>
              <w:right w:val="nil"/>
            </w:tcBorders>
            <w:shd w:val="clear" w:color="auto" w:fill="auto"/>
            <w:vAlign w:val="center"/>
            <w:hideMark/>
          </w:tcPr>
          <w:p w:rsidR="006431A7" w:rsidRDefault="006431A7">
            <w:pPr>
              <w:jc w:val="right"/>
              <w:rPr>
                <w:rFonts w:ascii="Arial" w:hAnsi="Arial" w:cs="Arial"/>
                <w:b/>
                <w:bCs/>
                <w:color w:val="000000"/>
                <w:sz w:val="16"/>
                <w:szCs w:val="16"/>
              </w:rPr>
            </w:pPr>
            <w:r>
              <w:rPr>
                <w:rFonts w:ascii="Arial" w:hAnsi="Arial" w:cs="Arial"/>
                <w:b/>
                <w:bCs/>
                <w:color w:val="000000"/>
                <w:sz w:val="16"/>
                <w:szCs w:val="16"/>
              </w:rPr>
              <w:t>za 9 miesięcy</w:t>
            </w:r>
          </w:p>
        </w:tc>
      </w:tr>
      <w:tr w:rsidR="006431A7" w:rsidTr="006431A7">
        <w:trPr>
          <w:trHeight w:val="300"/>
        </w:trPr>
        <w:tc>
          <w:tcPr>
            <w:tcW w:w="0" w:type="auto"/>
            <w:tcBorders>
              <w:top w:val="nil"/>
              <w:left w:val="nil"/>
              <w:bottom w:val="nil"/>
              <w:right w:val="nil"/>
            </w:tcBorders>
            <w:shd w:val="clear" w:color="auto" w:fill="auto"/>
            <w:noWrap/>
            <w:vAlign w:val="bottom"/>
            <w:hideMark/>
          </w:tcPr>
          <w:p w:rsidR="006431A7" w:rsidRDefault="006431A7">
            <w:pPr>
              <w:rPr>
                <w:color w:val="000000"/>
                <w:sz w:val="22"/>
                <w:szCs w:val="22"/>
              </w:rPr>
            </w:pPr>
          </w:p>
        </w:tc>
        <w:tc>
          <w:tcPr>
            <w:tcW w:w="0" w:type="auto"/>
            <w:tcBorders>
              <w:top w:val="nil"/>
              <w:left w:val="nil"/>
              <w:bottom w:val="nil"/>
              <w:right w:val="nil"/>
            </w:tcBorders>
            <w:shd w:val="clear" w:color="auto" w:fill="auto"/>
            <w:noWrap/>
            <w:vAlign w:val="center"/>
            <w:hideMark/>
          </w:tcPr>
          <w:p w:rsidR="006431A7" w:rsidRDefault="006431A7">
            <w:pPr>
              <w:jc w:val="right"/>
              <w:rPr>
                <w:rFonts w:ascii="Arial" w:hAnsi="Arial" w:cs="Arial"/>
                <w:b/>
                <w:bCs/>
                <w:color w:val="000000"/>
                <w:sz w:val="16"/>
                <w:szCs w:val="16"/>
              </w:rPr>
            </w:pPr>
            <w:r>
              <w:rPr>
                <w:rFonts w:ascii="Arial" w:hAnsi="Arial" w:cs="Arial"/>
                <w:b/>
                <w:bCs/>
                <w:color w:val="000000"/>
                <w:sz w:val="16"/>
                <w:szCs w:val="16"/>
              </w:rPr>
              <w:t>kończące się</w:t>
            </w:r>
          </w:p>
        </w:tc>
        <w:tc>
          <w:tcPr>
            <w:tcW w:w="0" w:type="auto"/>
            <w:tcBorders>
              <w:top w:val="nil"/>
              <w:left w:val="nil"/>
              <w:bottom w:val="nil"/>
              <w:right w:val="nil"/>
            </w:tcBorders>
            <w:shd w:val="clear" w:color="auto" w:fill="auto"/>
            <w:vAlign w:val="center"/>
            <w:hideMark/>
          </w:tcPr>
          <w:p w:rsidR="006431A7" w:rsidRDefault="006431A7">
            <w:pPr>
              <w:jc w:val="right"/>
              <w:rPr>
                <w:rFonts w:ascii="Arial" w:hAnsi="Arial" w:cs="Arial"/>
                <w:b/>
                <w:bCs/>
                <w:color w:val="000000"/>
                <w:sz w:val="16"/>
                <w:szCs w:val="16"/>
              </w:rPr>
            </w:pPr>
            <w:r>
              <w:rPr>
                <w:rFonts w:ascii="Arial" w:hAnsi="Arial" w:cs="Arial"/>
                <w:b/>
                <w:bCs/>
                <w:color w:val="000000"/>
                <w:sz w:val="16"/>
                <w:szCs w:val="16"/>
              </w:rPr>
              <w:t>kończące się</w:t>
            </w:r>
          </w:p>
        </w:tc>
      </w:tr>
      <w:tr w:rsidR="006431A7" w:rsidTr="006431A7">
        <w:trPr>
          <w:trHeight w:val="315"/>
        </w:trPr>
        <w:tc>
          <w:tcPr>
            <w:tcW w:w="0" w:type="auto"/>
            <w:tcBorders>
              <w:top w:val="nil"/>
              <w:left w:val="nil"/>
              <w:bottom w:val="nil"/>
              <w:right w:val="nil"/>
            </w:tcBorders>
            <w:shd w:val="clear" w:color="auto" w:fill="auto"/>
            <w:noWrap/>
            <w:vAlign w:val="bottom"/>
            <w:hideMark/>
          </w:tcPr>
          <w:p w:rsidR="006431A7" w:rsidRDefault="006431A7">
            <w:pPr>
              <w:rPr>
                <w:color w:val="000000"/>
                <w:sz w:val="22"/>
                <w:szCs w:val="22"/>
              </w:rPr>
            </w:pPr>
          </w:p>
        </w:tc>
        <w:tc>
          <w:tcPr>
            <w:tcW w:w="0" w:type="auto"/>
            <w:tcBorders>
              <w:top w:val="nil"/>
              <w:left w:val="nil"/>
              <w:bottom w:val="single" w:sz="8" w:space="0" w:color="auto"/>
              <w:right w:val="nil"/>
            </w:tcBorders>
            <w:shd w:val="clear" w:color="auto" w:fill="auto"/>
            <w:noWrap/>
            <w:vAlign w:val="center"/>
            <w:hideMark/>
          </w:tcPr>
          <w:p w:rsidR="006431A7" w:rsidRDefault="006431A7" w:rsidP="007C72C8">
            <w:pPr>
              <w:jc w:val="right"/>
              <w:rPr>
                <w:rFonts w:ascii="Arial" w:hAnsi="Arial" w:cs="Arial"/>
                <w:b/>
                <w:bCs/>
                <w:color w:val="000000"/>
                <w:sz w:val="16"/>
                <w:szCs w:val="16"/>
              </w:rPr>
            </w:pPr>
            <w:r>
              <w:rPr>
                <w:rFonts w:ascii="Arial" w:hAnsi="Arial" w:cs="Arial"/>
                <w:b/>
                <w:bCs/>
                <w:color w:val="000000"/>
                <w:sz w:val="16"/>
                <w:szCs w:val="16"/>
              </w:rPr>
              <w:t>30 września 202</w:t>
            </w:r>
            <w:r w:rsidR="007C72C8">
              <w:rPr>
                <w:rFonts w:ascii="Arial" w:hAnsi="Arial" w:cs="Arial"/>
                <w:b/>
                <w:bCs/>
                <w:color w:val="000000"/>
                <w:sz w:val="16"/>
                <w:szCs w:val="16"/>
              </w:rPr>
              <w:t>1</w:t>
            </w:r>
          </w:p>
        </w:tc>
        <w:tc>
          <w:tcPr>
            <w:tcW w:w="0" w:type="auto"/>
            <w:tcBorders>
              <w:top w:val="nil"/>
              <w:left w:val="nil"/>
              <w:bottom w:val="single" w:sz="8" w:space="0" w:color="auto"/>
              <w:right w:val="nil"/>
            </w:tcBorders>
            <w:shd w:val="clear" w:color="auto" w:fill="auto"/>
            <w:noWrap/>
            <w:vAlign w:val="center"/>
            <w:hideMark/>
          </w:tcPr>
          <w:p w:rsidR="006431A7" w:rsidRDefault="006431A7">
            <w:pPr>
              <w:jc w:val="right"/>
              <w:rPr>
                <w:rFonts w:ascii="Arial" w:hAnsi="Arial" w:cs="Arial"/>
                <w:b/>
                <w:bCs/>
                <w:color w:val="000000"/>
                <w:sz w:val="16"/>
                <w:szCs w:val="16"/>
              </w:rPr>
            </w:pPr>
            <w:r>
              <w:rPr>
                <w:rFonts w:ascii="Arial" w:hAnsi="Arial" w:cs="Arial"/>
                <w:b/>
                <w:bCs/>
                <w:color w:val="000000"/>
                <w:sz w:val="16"/>
                <w:szCs w:val="16"/>
              </w:rPr>
              <w:t>30 września 2020</w:t>
            </w:r>
          </w:p>
        </w:tc>
      </w:tr>
      <w:tr w:rsidR="006431A7" w:rsidTr="006431A7">
        <w:trPr>
          <w:trHeight w:val="300"/>
        </w:trPr>
        <w:tc>
          <w:tcPr>
            <w:tcW w:w="0" w:type="auto"/>
            <w:tcBorders>
              <w:top w:val="single" w:sz="8" w:space="0" w:color="auto"/>
              <w:left w:val="nil"/>
              <w:bottom w:val="nil"/>
              <w:right w:val="nil"/>
            </w:tcBorders>
            <w:shd w:val="clear" w:color="auto" w:fill="auto"/>
            <w:noWrap/>
            <w:vAlign w:val="center"/>
            <w:hideMark/>
          </w:tcPr>
          <w:p w:rsidR="006431A7" w:rsidRDefault="006431A7">
            <w:pPr>
              <w:rPr>
                <w:rFonts w:ascii="Arial" w:hAnsi="Arial" w:cs="Arial"/>
                <w:b/>
                <w:bCs/>
                <w:color w:val="000000"/>
                <w:sz w:val="16"/>
                <w:szCs w:val="16"/>
              </w:rPr>
            </w:pPr>
            <w:r>
              <w:rPr>
                <w:rFonts w:ascii="Arial" w:hAnsi="Arial" w:cs="Arial"/>
                <w:b/>
                <w:bCs/>
                <w:color w:val="000000"/>
                <w:sz w:val="16"/>
                <w:szCs w:val="16"/>
              </w:rPr>
              <w:t>Przepływy pieniężne  z działalności operacyjnej</w:t>
            </w:r>
          </w:p>
        </w:tc>
        <w:tc>
          <w:tcPr>
            <w:tcW w:w="0" w:type="auto"/>
            <w:tcBorders>
              <w:top w:val="nil"/>
              <w:left w:val="nil"/>
              <w:bottom w:val="nil"/>
              <w:right w:val="nil"/>
            </w:tcBorders>
            <w:shd w:val="clear" w:color="auto" w:fill="auto"/>
            <w:noWrap/>
            <w:vAlign w:val="bottom"/>
            <w:hideMark/>
          </w:tcPr>
          <w:p w:rsidR="006431A7" w:rsidRDefault="006431A7">
            <w:pPr>
              <w:rPr>
                <w:color w:val="FF0000"/>
                <w:sz w:val="22"/>
                <w:szCs w:val="22"/>
              </w:rPr>
            </w:pPr>
          </w:p>
        </w:tc>
        <w:tc>
          <w:tcPr>
            <w:tcW w:w="0" w:type="auto"/>
            <w:tcBorders>
              <w:top w:val="nil"/>
              <w:left w:val="nil"/>
              <w:bottom w:val="nil"/>
              <w:right w:val="nil"/>
            </w:tcBorders>
            <w:shd w:val="clear" w:color="auto" w:fill="auto"/>
            <w:noWrap/>
            <w:vAlign w:val="bottom"/>
            <w:hideMark/>
          </w:tcPr>
          <w:p w:rsidR="006431A7" w:rsidRDefault="006431A7">
            <w:pPr>
              <w:rPr>
                <w:color w:val="000000"/>
                <w:sz w:val="22"/>
                <w:szCs w:val="22"/>
              </w:rPr>
            </w:pPr>
          </w:p>
        </w:tc>
      </w:tr>
      <w:tr w:rsidR="006431A7" w:rsidTr="006431A7">
        <w:trPr>
          <w:trHeight w:val="285"/>
        </w:trPr>
        <w:tc>
          <w:tcPr>
            <w:tcW w:w="0" w:type="auto"/>
            <w:tcBorders>
              <w:top w:val="nil"/>
              <w:left w:val="nil"/>
              <w:bottom w:val="nil"/>
              <w:right w:val="nil"/>
            </w:tcBorders>
            <w:shd w:val="clear" w:color="auto" w:fill="auto"/>
            <w:vAlign w:val="center"/>
            <w:hideMark/>
          </w:tcPr>
          <w:p w:rsidR="006431A7" w:rsidRDefault="006431A7">
            <w:pPr>
              <w:rPr>
                <w:rFonts w:ascii="Arial" w:hAnsi="Arial" w:cs="Arial"/>
                <w:color w:val="000000"/>
                <w:sz w:val="16"/>
                <w:szCs w:val="16"/>
              </w:rPr>
            </w:pPr>
            <w:r>
              <w:rPr>
                <w:rFonts w:ascii="Arial" w:hAnsi="Arial" w:cs="Arial"/>
                <w:color w:val="000000"/>
                <w:sz w:val="16"/>
                <w:szCs w:val="16"/>
              </w:rPr>
              <w:t xml:space="preserve"> Zysk netto roku obrotowego</w:t>
            </w:r>
          </w:p>
        </w:tc>
        <w:tc>
          <w:tcPr>
            <w:tcW w:w="0" w:type="auto"/>
            <w:tcBorders>
              <w:top w:val="nil"/>
              <w:left w:val="nil"/>
              <w:bottom w:val="nil"/>
              <w:right w:val="nil"/>
            </w:tcBorders>
            <w:shd w:val="clear" w:color="auto" w:fill="auto"/>
            <w:vAlign w:val="center"/>
            <w:hideMark/>
          </w:tcPr>
          <w:p w:rsidR="006431A7" w:rsidRDefault="006431A7">
            <w:pPr>
              <w:jc w:val="right"/>
              <w:rPr>
                <w:rFonts w:ascii="Arial" w:hAnsi="Arial" w:cs="Arial"/>
                <w:sz w:val="16"/>
                <w:szCs w:val="16"/>
              </w:rPr>
            </w:pPr>
            <w:r>
              <w:rPr>
                <w:rFonts w:ascii="Arial" w:hAnsi="Arial" w:cs="Arial"/>
                <w:sz w:val="16"/>
                <w:szCs w:val="16"/>
              </w:rPr>
              <w:t>3 332</w:t>
            </w:r>
          </w:p>
        </w:tc>
        <w:tc>
          <w:tcPr>
            <w:tcW w:w="0" w:type="auto"/>
            <w:tcBorders>
              <w:top w:val="nil"/>
              <w:left w:val="nil"/>
              <w:bottom w:val="nil"/>
              <w:right w:val="nil"/>
            </w:tcBorders>
            <w:shd w:val="clear" w:color="auto" w:fill="auto"/>
            <w:vAlign w:val="center"/>
            <w:hideMark/>
          </w:tcPr>
          <w:p w:rsidR="006431A7" w:rsidRDefault="006431A7">
            <w:pPr>
              <w:jc w:val="right"/>
              <w:rPr>
                <w:rFonts w:ascii="Arial" w:hAnsi="Arial" w:cs="Arial"/>
                <w:color w:val="000000"/>
                <w:sz w:val="16"/>
                <w:szCs w:val="16"/>
              </w:rPr>
            </w:pPr>
            <w:r>
              <w:rPr>
                <w:rFonts w:ascii="Arial" w:hAnsi="Arial" w:cs="Arial"/>
                <w:color w:val="000000"/>
                <w:sz w:val="16"/>
                <w:szCs w:val="16"/>
              </w:rPr>
              <w:t>-6 820</w:t>
            </w:r>
          </w:p>
        </w:tc>
      </w:tr>
      <w:tr w:rsidR="006431A7" w:rsidTr="006431A7">
        <w:trPr>
          <w:trHeight w:val="285"/>
        </w:trPr>
        <w:tc>
          <w:tcPr>
            <w:tcW w:w="0" w:type="auto"/>
            <w:tcBorders>
              <w:top w:val="nil"/>
              <w:left w:val="nil"/>
              <w:bottom w:val="nil"/>
              <w:right w:val="nil"/>
            </w:tcBorders>
            <w:shd w:val="clear" w:color="auto" w:fill="auto"/>
            <w:vAlign w:val="center"/>
            <w:hideMark/>
          </w:tcPr>
          <w:p w:rsidR="006431A7" w:rsidRDefault="006431A7">
            <w:pPr>
              <w:rPr>
                <w:rFonts w:ascii="Arial" w:hAnsi="Arial" w:cs="Arial"/>
                <w:color w:val="000000"/>
                <w:sz w:val="16"/>
                <w:szCs w:val="16"/>
              </w:rPr>
            </w:pPr>
            <w:r>
              <w:rPr>
                <w:rFonts w:ascii="Arial" w:hAnsi="Arial" w:cs="Arial"/>
                <w:color w:val="000000"/>
                <w:sz w:val="16"/>
                <w:szCs w:val="16"/>
              </w:rPr>
              <w:t xml:space="preserve"> Korekty:</w:t>
            </w:r>
          </w:p>
        </w:tc>
        <w:tc>
          <w:tcPr>
            <w:tcW w:w="0" w:type="auto"/>
            <w:tcBorders>
              <w:top w:val="nil"/>
              <w:left w:val="nil"/>
              <w:bottom w:val="nil"/>
              <w:right w:val="nil"/>
            </w:tcBorders>
            <w:shd w:val="clear" w:color="auto" w:fill="auto"/>
            <w:vAlign w:val="center"/>
            <w:hideMark/>
          </w:tcPr>
          <w:p w:rsidR="006431A7" w:rsidRDefault="006431A7" w:rsidP="000D373B">
            <w:pPr>
              <w:jc w:val="right"/>
              <w:rPr>
                <w:rFonts w:ascii="Arial" w:hAnsi="Arial" w:cs="Arial"/>
                <w:sz w:val="16"/>
                <w:szCs w:val="16"/>
              </w:rPr>
            </w:pPr>
            <w:r>
              <w:rPr>
                <w:rFonts w:ascii="Arial" w:hAnsi="Arial" w:cs="Arial"/>
                <w:sz w:val="16"/>
                <w:szCs w:val="16"/>
              </w:rPr>
              <w:t>92</w:t>
            </w:r>
            <w:r w:rsidR="000D373B">
              <w:rPr>
                <w:rFonts w:ascii="Arial" w:hAnsi="Arial" w:cs="Arial"/>
                <w:sz w:val="16"/>
                <w:szCs w:val="16"/>
              </w:rPr>
              <w:t>6</w:t>
            </w:r>
          </w:p>
        </w:tc>
        <w:tc>
          <w:tcPr>
            <w:tcW w:w="0" w:type="auto"/>
            <w:tcBorders>
              <w:top w:val="nil"/>
              <w:left w:val="nil"/>
              <w:bottom w:val="nil"/>
              <w:right w:val="nil"/>
            </w:tcBorders>
            <w:shd w:val="clear" w:color="auto" w:fill="auto"/>
            <w:vAlign w:val="center"/>
            <w:hideMark/>
          </w:tcPr>
          <w:p w:rsidR="006431A7" w:rsidRDefault="006431A7">
            <w:pPr>
              <w:jc w:val="right"/>
              <w:rPr>
                <w:rFonts w:ascii="Arial" w:hAnsi="Arial" w:cs="Arial"/>
                <w:color w:val="000000"/>
                <w:sz w:val="16"/>
                <w:szCs w:val="16"/>
              </w:rPr>
            </w:pPr>
            <w:r>
              <w:rPr>
                <w:rFonts w:ascii="Arial" w:hAnsi="Arial" w:cs="Arial"/>
                <w:color w:val="000000"/>
                <w:sz w:val="16"/>
                <w:szCs w:val="16"/>
              </w:rPr>
              <w:t>4 748</w:t>
            </w:r>
          </w:p>
        </w:tc>
      </w:tr>
      <w:tr w:rsidR="006431A7" w:rsidTr="006431A7">
        <w:trPr>
          <w:trHeight w:val="285"/>
        </w:trPr>
        <w:tc>
          <w:tcPr>
            <w:tcW w:w="0" w:type="auto"/>
            <w:tcBorders>
              <w:top w:val="nil"/>
              <w:left w:val="nil"/>
              <w:bottom w:val="nil"/>
              <w:right w:val="nil"/>
            </w:tcBorders>
            <w:shd w:val="clear" w:color="auto" w:fill="auto"/>
            <w:vAlign w:val="center"/>
            <w:hideMark/>
          </w:tcPr>
          <w:p w:rsidR="006431A7" w:rsidRDefault="006431A7">
            <w:pPr>
              <w:rPr>
                <w:rFonts w:ascii="Arial" w:hAnsi="Arial" w:cs="Arial"/>
                <w:color w:val="000000"/>
                <w:sz w:val="16"/>
                <w:szCs w:val="16"/>
              </w:rPr>
            </w:pPr>
            <w:r>
              <w:rPr>
                <w:rFonts w:ascii="Arial" w:hAnsi="Arial" w:cs="Arial"/>
                <w:color w:val="000000"/>
                <w:sz w:val="16"/>
                <w:szCs w:val="16"/>
              </w:rPr>
              <w:t>Podatek dochodowy z rachunku zysków i strat</w:t>
            </w:r>
          </w:p>
        </w:tc>
        <w:tc>
          <w:tcPr>
            <w:tcW w:w="0" w:type="auto"/>
            <w:tcBorders>
              <w:top w:val="nil"/>
              <w:left w:val="nil"/>
              <w:bottom w:val="nil"/>
              <w:right w:val="nil"/>
            </w:tcBorders>
            <w:shd w:val="clear" w:color="auto" w:fill="auto"/>
            <w:vAlign w:val="center"/>
            <w:hideMark/>
          </w:tcPr>
          <w:p w:rsidR="006431A7" w:rsidRDefault="006431A7">
            <w:pPr>
              <w:jc w:val="right"/>
              <w:rPr>
                <w:rFonts w:ascii="Arial" w:hAnsi="Arial" w:cs="Arial"/>
                <w:sz w:val="16"/>
                <w:szCs w:val="16"/>
              </w:rPr>
            </w:pPr>
            <w:r>
              <w:rPr>
                <w:rFonts w:ascii="Arial" w:hAnsi="Arial" w:cs="Arial"/>
                <w:sz w:val="16"/>
                <w:szCs w:val="16"/>
              </w:rPr>
              <w:t>8</w:t>
            </w:r>
          </w:p>
        </w:tc>
        <w:tc>
          <w:tcPr>
            <w:tcW w:w="0" w:type="auto"/>
            <w:tcBorders>
              <w:top w:val="nil"/>
              <w:left w:val="nil"/>
              <w:bottom w:val="nil"/>
              <w:right w:val="nil"/>
            </w:tcBorders>
            <w:shd w:val="clear" w:color="auto" w:fill="auto"/>
            <w:vAlign w:val="center"/>
            <w:hideMark/>
          </w:tcPr>
          <w:p w:rsidR="006431A7" w:rsidRDefault="006431A7">
            <w:pPr>
              <w:jc w:val="right"/>
              <w:rPr>
                <w:rFonts w:ascii="Arial" w:hAnsi="Arial" w:cs="Arial"/>
                <w:color w:val="000000"/>
                <w:sz w:val="16"/>
                <w:szCs w:val="16"/>
              </w:rPr>
            </w:pPr>
            <w:r>
              <w:rPr>
                <w:rFonts w:ascii="Arial" w:hAnsi="Arial" w:cs="Arial"/>
                <w:color w:val="000000"/>
                <w:sz w:val="16"/>
                <w:szCs w:val="16"/>
              </w:rPr>
              <w:t>-31</w:t>
            </w:r>
          </w:p>
        </w:tc>
      </w:tr>
      <w:tr w:rsidR="006431A7" w:rsidTr="006431A7">
        <w:trPr>
          <w:trHeight w:val="285"/>
        </w:trPr>
        <w:tc>
          <w:tcPr>
            <w:tcW w:w="0" w:type="auto"/>
            <w:tcBorders>
              <w:top w:val="nil"/>
              <w:left w:val="nil"/>
              <w:bottom w:val="nil"/>
              <w:right w:val="nil"/>
            </w:tcBorders>
            <w:shd w:val="clear" w:color="auto" w:fill="auto"/>
            <w:vAlign w:val="center"/>
            <w:hideMark/>
          </w:tcPr>
          <w:p w:rsidR="006431A7" w:rsidRDefault="006431A7">
            <w:pPr>
              <w:rPr>
                <w:rFonts w:ascii="Arial" w:hAnsi="Arial" w:cs="Arial"/>
                <w:color w:val="000000"/>
                <w:sz w:val="16"/>
                <w:szCs w:val="16"/>
              </w:rPr>
            </w:pPr>
            <w:r>
              <w:rPr>
                <w:rFonts w:ascii="Arial" w:hAnsi="Arial" w:cs="Arial"/>
                <w:color w:val="000000"/>
                <w:sz w:val="16"/>
                <w:szCs w:val="16"/>
              </w:rPr>
              <w:t>Amortyzacja</w:t>
            </w:r>
          </w:p>
        </w:tc>
        <w:tc>
          <w:tcPr>
            <w:tcW w:w="0" w:type="auto"/>
            <w:tcBorders>
              <w:top w:val="nil"/>
              <w:left w:val="nil"/>
              <w:bottom w:val="nil"/>
              <w:right w:val="nil"/>
            </w:tcBorders>
            <w:shd w:val="clear" w:color="auto" w:fill="auto"/>
            <w:vAlign w:val="center"/>
            <w:hideMark/>
          </w:tcPr>
          <w:p w:rsidR="006431A7" w:rsidRDefault="006431A7">
            <w:pPr>
              <w:jc w:val="right"/>
              <w:rPr>
                <w:rFonts w:ascii="Arial" w:hAnsi="Arial" w:cs="Arial"/>
                <w:sz w:val="16"/>
                <w:szCs w:val="16"/>
              </w:rPr>
            </w:pPr>
            <w:r>
              <w:rPr>
                <w:rFonts w:ascii="Arial" w:hAnsi="Arial" w:cs="Arial"/>
                <w:sz w:val="16"/>
                <w:szCs w:val="16"/>
              </w:rPr>
              <w:t>3 561</w:t>
            </w:r>
          </w:p>
        </w:tc>
        <w:tc>
          <w:tcPr>
            <w:tcW w:w="0" w:type="auto"/>
            <w:tcBorders>
              <w:top w:val="nil"/>
              <w:left w:val="nil"/>
              <w:bottom w:val="nil"/>
              <w:right w:val="nil"/>
            </w:tcBorders>
            <w:shd w:val="clear" w:color="auto" w:fill="auto"/>
            <w:vAlign w:val="center"/>
            <w:hideMark/>
          </w:tcPr>
          <w:p w:rsidR="006431A7" w:rsidRDefault="006431A7">
            <w:pPr>
              <w:jc w:val="right"/>
              <w:rPr>
                <w:rFonts w:ascii="Arial" w:hAnsi="Arial" w:cs="Arial"/>
                <w:color w:val="000000"/>
                <w:sz w:val="16"/>
                <w:szCs w:val="16"/>
              </w:rPr>
            </w:pPr>
            <w:r>
              <w:rPr>
                <w:rFonts w:ascii="Arial" w:hAnsi="Arial" w:cs="Arial"/>
                <w:color w:val="000000"/>
                <w:sz w:val="16"/>
                <w:szCs w:val="16"/>
              </w:rPr>
              <w:t>1 886</w:t>
            </w:r>
          </w:p>
        </w:tc>
      </w:tr>
      <w:tr w:rsidR="006431A7" w:rsidTr="006431A7">
        <w:trPr>
          <w:trHeight w:val="465"/>
        </w:trPr>
        <w:tc>
          <w:tcPr>
            <w:tcW w:w="0" w:type="auto"/>
            <w:tcBorders>
              <w:top w:val="nil"/>
              <w:left w:val="nil"/>
              <w:bottom w:val="nil"/>
              <w:right w:val="nil"/>
            </w:tcBorders>
            <w:shd w:val="clear" w:color="auto" w:fill="auto"/>
            <w:vAlign w:val="center"/>
            <w:hideMark/>
          </w:tcPr>
          <w:p w:rsidR="006431A7" w:rsidRDefault="006431A7">
            <w:pPr>
              <w:rPr>
                <w:rFonts w:ascii="Arial" w:hAnsi="Arial" w:cs="Arial"/>
                <w:color w:val="000000"/>
                <w:sz w:val="16"/>
                <w:szCs w:val="16"/>
              </w:rPr>
            </w:pPr>
            <w:r>
              <w:rPr>
                <w:rFonts w:ascii="Arial" w:hAnsi="Arial" w:cs="Arial"/>
                <w:color w:val="000000"/>
                <w:sz w:val="16"/>
                <w:szCs w:val="16"/>
              </w:rPr>
              <w:t>Zyski/Straty na zbyciu wartości niematerialnych i rzeczowych aktywów trwałych</w:t>
            </w:r>
          </w:p>
        </w:tc>
        <w:tc>
          <w:tcPr>
            <w:tcW w:w="0" w:type="auto"/>
            <w:tcBorders>
              <w:top w:val="nil"/>
              <w:left w:val="nil"/>
              <w:bottom w:val="nil"/>
              <w:right w:val="nil"/>
            </w:tcBorders>
            <w:shd w:val="clear" w:color="auto" w:fill="auto"/>
            <w:vAlign w:val="center"/>
            <w:hideMark/>
          </w:tcPr>
          <w:p w:rsidR="006431A7" w:rsidRDefault="006431A7">
            <w:pPr>
              <w:jc w:val="right"/>
              <w:rPr>
                <w:rFonts w:ascii="Arial" w:hAnsi="Arial" w:cs="Arial"/>
                <w:sz w:val="16"/>
                <w:szCs w:val="16"/>
              </w:rPr>
            </w:pPr>
            <w:r>
              <w:rPr>
                <w:rFonts w:ascii="Arial" w:hAnsi="Arial" w:cs="Arial"/>
                <w:sz w:val="16"/>
                <w:szCs w:val="16"/>
              </w:rPr>
              <w:t>19</w:t>
            </w:r>
          </w:p>
        </w:tc>
        <w:tc>
          <w:tcPr>
            <w:tcW w:w="0" w:type="auto"/>
            <w:tcBorders>
              <w:top w:val="nil"/>
              <w:left w:val="nil"/>
              <w:bottom w:val="nil"/>
              <w:right w:val="nil"/>
            </w:tcBorders>
            <w:shd w:val="clear" w:color="auto" w:fill="auto"/>
            <w:vAlign w:val="center"/>
            <w:hideMark/>
          </w:tcPr>
          <w:p w:rsidR="006431A7" w:rsidRDefault="006431A7">
            <w:pPr>
              <w:jc w:val="right"/>
              <w:rPr>
                <w:rFonts w:ascii="Arial" w:hAnsi="Arial" w:cs="Arial"/>
                <w:color w:val="000000"/>
                <w:sz w:val="16"/>
                <w:szCs w:val="16"/>
              </w:rPr>
            </w:pPr>
            <w:r>
              <w:rPr>
                <w:rFonts w:ascii="Arial" w:hAnsi="Arial" w:cs="Arial"/>
                <w:color w:val="000000"/>
                <w:sz w:val="16"/>
                <w:szCs w:val="16"/>
              </w:rPr>
              <w:t>1 159</w:t>
            </w:r>
          </w:p>
        </w:tc>
      </w:tr>
      <w:tr w:rsidR="006431A7" w:rsidTr="006431A7">
        <w:trPr>
          <w:trHeight w:val="285"/>
        </w:trPr>
        <w:tc>
          <w:tcPr>
            <w:tcW w:w="0" w:type="auto"/>
            <w:tcBorders>
              <w:top w:val="nil"/>
              <w:left w:val="nil"/>
              <w:bottom w:val="nil"/>
              <w:right w:val="nil"/>
            </w:tcBorders>
            <w:shd w:val="clear" w:color="auto" w:fill="auto"/>
            <w:vAlign w:val="center"/>
            <w:hideMark/>
          </w:tcPr>
          <w:p w:rsidR="006431A7" w:rsidRDefault="006431A7">
            <w:pPr>
              <w:rPr>
                <w:rFonts w:ascii="Arial" w:hAnsi="Arial" w:cs="Arial"/>
                <w:color w:val="000000"/>
                <w:sz w:val="16"/>
                <w:szCs w:val="16"/>
              </w:rPr>
            </w:pPr>
            <w:r>
              <w:rPr>
                <w:rFonts w:ascii="Arial" w:hAnsi="Arial" w:cs="Arial"/>
                <w:color w:val="000000"/>
                <w:sz w:val="16"/>
                <w:szCs w:val="16"/>
              </w:rPr>
              <w:t>Odpis z tytułu utraty wartości</w:t>
            </w:r>
          </w:p>
        </w:tc>
        <w:tc>
          <w:tcPr>
            <w:tcW w:w="0" w:type="auto"/>
            <w:tcBorders>
              <w:top w:val="nil"/>
              <w:left w:val="nil"/>
              <w:bottom w:val="nil"/>
              <w:right w:val="nil"/>
            </w:tcBorders>
            <w:shd w:val="clear" w:color="auto" w:fill="auto"/>
            <w:vAlign w:val="center"/>
            <w:hideMark/>
          </w:tcPr>
          <w:p w:rsidR="006431A7" w:rsidRDefault="006431A7">
            <w:pPr>
              <w:jc w:val="right"/>
              <w:rPr>
                <w:rFonts w:ascii="Arial" w:hAnsi="Arial" w:cs="Arial"/>
                <w:sz w:val="16"/>
                <w:szCs w:val="16"/>
              </w:rPr>
            </w:pPr>
            <w:r>
              <w:rPr>
                <w:rFonts w:ascii="Arial" w:hAnsi="Arial" w:cs="Arial"/>
                <w:sz w:val="16"/>
                <w:szCs w:val="16"/>
              </w:rPr>
              <w:t xml:space="preserve"> -</w:t>
            </w:r>
          </w:p>
        </w:tc>
        <w:tc>
          <w:tcPr>
            <w:tcW w:w="0" w:type="auto"/>
            <w:tcBorders>
              <w:top w:val="nil"/>
              <w:left w:val="nil"/>
              <w:bottom w:val="nil"/>
              <w:right w:val="nil"/>
            </w:tcBorders>
            <w:shd w:val="clear" w:color="auto" w:fill="auto"/>
            <w:vAlign w:val="center"/>
            <w:hideMark/>
          </w:tcPr>
          <w:p w:rsidR="006431A7" w:rsidRDefault="006431A7">
            <w:pPr>
              <w:jc w:val="right"/>
              <w:rPr>
                <w:rFonts w:ascii="Arial" w:hAnsi="Arial" w:cs="Arial"/>
                <w:color w:val="000000"/>
                <w:sz w:val="16"/>
                <w:szCs w:val="16"/>
              </w:rPr>
            </w:pPr>
            <w:r>
              <w:rPr>
                <w:rFonts w:ascii="Arial" w:hAnsi="Arial" w:cs="Arial"/>
                <w:color w:val="000000"/>
                <w:sz w:val="16"/>
                <w:szCs w:val="16"/>
              </w:rPr>
              <w:t>-</w:t>
            </w:r>
          </w:p>
        </w:tc>
      </w:tr>
      <w:tr w:rsidR="006431A7" w:rsidTr="006431A7">
        <w:trPr>
          <w:trHeight w:val="285"/>
        </w:trPr>
        <w:tc>
          <w:tcPr>
            <w:tcW w:w="0" w:type="auto"/>
            <w:tcBorders>
              <w:top w:val="nil"/>
              <w:left w:val="nil"/>
              <w:bottom w:val="nil"/>
              <w:right w:val="nil"/>
            </w:tcBorders>
            <w:shd w:val="clear" w:color="auto" w:fill="auto"/>
            <w:vAlign w:val="center"/>
            <w:hideMark/>
          </w:tcPr>
          <w:p w:rsidR="006431A7" w:rsidRDefault="006431A7">
            <w:pPr>
              <w:rPr>
                <w:rFonts w:ascii="Arial" w:hAnsi="Arial" w:cs="Arial"/>
                <w:color w:val="000000"/>
                <w:sz w:val="16"/>
                <w:szCs w:val="16"/>
              </w:rPr>
            </w:pPr>
            <w:r>
              <w:rPr>
                <w:rFonts w:ascii="Arial" w:hAnsi="Arial" w:cs="Arial"/>
                <w:color w:val="000000"/>
                <w:sz w:val="16"/>
                <w:szCs w:val="16"/>
              </w:rPr>
              <w:t xml:space="preserve">Odsetki i udziały w zyskach(dywidendy) </w:t>
            </w:r>
          </w:p>
        </w:tc>
        <w:tc>
          <w:tcPr>
            <w:tcW w:w="0" w:type="auto"/>
            <w:tcBorders>
              <w:top w:val="nil"/>
              <w:left w:val="nil"/>
              <w:bottom w:val="nil"/>
              <w:right w:val="nil"/>
            </w:tcBorders>
            <w:shd w:val="clear" w:color="auto" w:fill="auto"/>
            <w:vAlign w:val="center"/>
            <w:hideMark/>
          </w:tcPr>
          <w:p w:rsidR="006431A7" w:rsidRDefault="006431A7">
            <w:pPr>
              <w:jc w:val="right"/>
              <w:rPr>
                <w:rFonts w:ascii="Arial" w:hAnsi="Arial" w:cs="Arial"/>
                <w:sz w:val="16"/>
                <w:szCs w:val="16"/>
              </w:rPr>
            </w:pPr>
            <w:r>
              <w:rPr>
                <w:rFonts w:ascii="Arial" w:hAnsi="Arial" w:cs="Arial"/>
                <w:sz w:val="16"/>
                <w:szCs w:val="16"/>
              </w:rPr>
              <w:t>726</w:t>
            </w:r>
          </w:p>
        </w:tc>
        <w:tc>
          <w:tcPr>
            <w:tcW w:w="0" w:type="auto"/>
            <w:tcBorders>
              <w:top w:val="nil"/>
              <w:left w:val="nil"/>
              <w:bottom w:val="nil"/>
              <w:right w:val="nil"/>
            </w:tcBorders>
            <w:shd w:val="clear" w:color="auto" w:fill="auto"/>
            <w:vAlign w:val="center"/>
            <w:hideMark/>
          </w:tcPr>
          <w:p w:rsidR="006431A7" w:rsidRDefault="006431A7">
            <w:pPr>
              <w:jc w:val="right"/>
              <w:rPr>
                <w:rFonts w:ascii="Arial" w:hAnsi="Arial" w:cs="Arial"/>
                <w:color w:val="000000"/>
                <w:sz w:val="16"/>
                <w:szCs w:val="16"/>
              </w:rPr>
            </w:pPr>
            <w:r>
              <w:rPr>
                <w:rFonts w:ascii="Arial" w:hAnsi="Arial" w:cs="Arial"/>
                <w:color w:val="000000"/>
                <w:sz w:val="16"/>
                <w:szCs w:val="16"/>
              </w:rPr>
              <w:t>655</w:t>
            </w:r>
          </w:p>
        </w:tc>
      </w:tr>
      <w:tr w:rsidR="006431A7" w:rsidTr="006431A7">
        <w:trPr>
          <w:trHeight w:val="285"/>
        </w:trPr>
        <w:tc>
          <w:tcPr>
            <w:tcW w:w="0" w:type="auto"/>
            <w:tcBorders>
              <w:top w:val="nil"/>
              <w:left w:val="nil"/>
              <w:bottom w:val="nil"/>
              <w:right w:val="nil"/>
            </w:tcBorders>
            <w:shd w:val="clear" w:color="auto" w:fill="auto"/>
            <w:vAlign w:val="center"/>
            <w:hideMark/>
          </w:tcPr>
          <w:p w:rsidR="006431A7" w:rsidRDefault="006431A7">
            <w:pPr>
              <w:rPr>
                <w:rFonts w:ascii="Arial" w:hAnsi="Arial" w:cs="Arial"/>
                <w:color w:val="000000"/>
                <w:sz w:val="16"/>
                <w:szCs w:val="16"/>
              </w:rPr>
            </w:pPr>
            <w:r>
              <w:rPr>
                <w:rFonts w:ascii="Arial" w:hAnsi="Arial" w:cs="Arial"/>
                <w:color w:val="000000"/>
                <w:sz w:val="16"/>
                <w:szCs w:val="16"/>
              </w:rPr>
              <w:t xml:space="preserve">Zyski/Straty z tytułu różnic kursowych </w:t>
            </w:r>
          </w:p>
        </w:tc>
        <w:tc>
          <w:tcPr>
            <w:tcW w:w="0" w:type="auto"/>
            <w:tcBorders>
              <w:top w:val="nil"/>
              <w:left w:val="nil"/>
              <w:bottom w:val="nil"/>
              <w:right w:val="nil"/>
            </w:tcBorders>
            <w:shd w:val="clear" w:color="auto" w:fill="auto"/>
            <w:vAlign w:val="center"/>
            <w:hideMark/>
          </w:tcPr>
          <w:p w:rsidR="006431A7" w:rsidRDefault="006431A7">
            <w:pPr>
              <w:jc w:val="right"/>
              <w:rPr>
                <w:rFonts w:ascii="Arial" w:hAnsi="Arial" w:cs="Arial"/>
                <w:sz w:val="16"/>
                <w:szCs w:val="16"/>
              </w:rPr>
            </w:pPr>
            <w:r>
              <w:rPr>
                <w:rFonts w:ascii="Arial" w:hAnsi="Arial" w:cs="Arial"/>
                <w:sz w:val="16"/>
                <w:szCs w:val="16"/>
              </w:rPr>
              <w:t>-122</w:t>
            </w:r>
          </w:p>
        </w:tc>
        <w:tc>
          <w:tcPr>
            <w:tcW w:w="0" w:type="auto"/>
            <w:tcBorders>
              <w:top w:val="nil"/>
              <w:left w:val="nil"/>
              <w:bottom w:val="nil"/>
              <w:right w:val="nil"/>
            </w:tcBorders>
            <w:shd w:val="clear" w:color="auto" w:fill="auto"/>
            <w:vAlign w:val="center"/>
            <w:hideMark/>
          </w:tcPr>
          <w:p w:rsidR="006431A7" w:rsidRDefault="006431A7">
            <w:pPr>
              <w:jc w:val="right"/>
              <w:rPr>
                <w:rFonts w:ascii="Arial" w:hAnsi="Arial" w:cs="Arial"/>
                <w:color w:val="000000"/>
                <w:sz w:val="16"/>
                <w:szCs w:val="16"/>
              </w:rPr>
            </w:pPr>
            <w:r>
              <w:rPr>
                <w:rFonts w:ascii="Arial" w:hAnsi="Arial" w:cs="Arial"/>
                <w:color w:val="000000"/>
                <w:sz w:val="16"/>
                <w:szCs w:val="16"/>
              </w:rPr>
              <w:t>145</w:t>
            </w:r>
          </w:p>
        </w:tc>
      </w:tr>
      <w:tr w:rsidR="006431A7" w:rsidTr="006431A7">
        <w:trPr>
          <w:trHeight w:val="285"/>
        </w:trPr>
        <w:tc>
          <w:tcPr>
            <w:tcW w:w="0" w:type="auto"/>
            <w:tcBorders>
              <w:top w:val="nil"/>
              <w:left w:val="nil"/>
              <w:bottom w:val="nil"/>
              <w:right w:val="nil"/>
            </w:tcBorders>
            <w:shd w:val="clear" w:color="auto" w:fill="auto"/>
            <w:vAlign w:val="center"/>
            <w:hideMark/>
          </w:tcPr>
          <w:p w:rsidR="006431A7" w:rsidRDefault="006431A7">
            <w:pPr>
              <w:rPr>
                <w:rFonts w:ascii="Arial" w:hAnsi="Arial" w:cs="Arial"/>
                <w:color w:val="000000"/>
                <w:sz w:val="16"/>
                <w:szCs w:val="16"/>
              </w:rPr>
            </w:pPr>
            <w:r>
              <w:rPr>
                <w:rFonts w:ascii="Arial" w:hAnsi="Arial" w:cs="Arial"/>
                <w:color w:val="000000"/>
                <w:sz w:val="16"/>
                <w:szCs w:val="16"/>
              </w:rPr>
              <w:t>Zmiany stanu rezerw</w:t>
            </w:r>
          </w:p>
        </w:tc>
        <w:tc>
          <w:tcPr>
            <w:tcW w:w="0" w:type="auto"/>
            <w:tcBorders>
              <w:top w:val="nil"/>
              <w:left w:val="nil"/>
              <w:bottom w:val="nil"/>
              <w:right w:val="nil"/>
            </w:tcBorders>
            <w:shd w:val="clear" w:color="auto" w:fill="auto"/>
            <w:vAlign w:val="center"/>
            <w:hideMark/>
          </w:tcPr>
          <w:p w:rsidR="006431A7" w:rsidRDefault="006431A7">
            <w:pPr>
              <w:jc w:val="right"/>
              <w:rPr>
                <w:rFonts w:ascii="Arial" w:hAnsi="Arial" w:cs="Arial"/>
                <w:sz w:val="16"/>
                <w:szCs w:val="16"/>
              </w:rPr>
            </w:pPr>
            <w:r>
              <w:rPr>
                <w:rFonts w:ascii="Arial" w:hAnsi="Arial" w:cs="Arial"/>
                <w:sz w:val="16"/>
                <w:szCs w:val="16"/>
              </w:rPr>
              <w:t>-59</w:t>
            </w:r>
          </w:p>
        </w:tc>
        <w:tc>
          <w:tcPr>
            <w:tcW w:w="0" w:type="auto"/>
            <w:tcBorders>
              <w:top w:val="nil"/>
              <w:left w:val="nil"/>
              <w:bottom w:val="nil"/>
              <w:right w:val="nil"/>
            </w:tcBorders>
            <w:shd w:val="clear" w:color="auto" w:fill="auto"/>
            <w:vAlign w:val="center"/>
            <w:hideMark/>
          </w:tcPr>
          <w:p w:rsidR="006431A7" w:rsidRDefault="006431A7">
            <w:pPr>
              <w:jc w:val="right"/>
              <w:rPr>
                <w:rFonts w:ascii="Arial" w:hAnsi="Arial" w:cs="Arial"/>
                <w:color w:val="000000"/>
                <w:sz w:val="16"/>
                <w:szCs w:val="16"/>
              </w:rPr>
            </w:pPr>
            <w:r>
              <w:rPr>
                <w:rFonts w:ascii="Arial" w:hAnsi="Arial" w:cs="Arial"/>
                <w:color w:val="000000"/>
                <w:sz w:val="16"/>
                <w:szCs w:val="16"/>
              </w:rPr>
              <w:t>0</w:t>
            </w:r>
          </w:p>
        </w:tc>
      </w:tr>
      <w:tr w:rsidR="006431A7" w:rsidTr="006431A7">
        <w:trPr>
          <w:trHeight w:val="285"/>
        </w:trPr>
        <w:tc>
          <w:tcPr>
            <w:tcW w:w="0" w:type="auto"/>
            <w:tcBorders>
              <w:top w:val="nil"/>
              <w:left w:val="nil"/>
              <w:bottom w:val="nil"/>
              <w:right w:val="nil"/>
            </w:tcBorders>
            <w:shd w:val="clear" w:color="auto" w:fill="auto"/>
            <w:vAlign w:val="center"/>
            <w:hideMark/>
          </w:tcPr>
          <w:p w:rsidR="006431A7" w:rsidRDefault="006431A7">
            <w:pPr>
              <w:rPr>
                <w:rFonts w:ascii="Arial" w:hAnsi="Arial" w:cs="Arial"/>
                <w:color w:val="000000"/>
                <w:sz w:val="16"/>
                <w:szCs w:val="16"/>
              </w:rPr>
            </w:pPr>
            <w:r>
              <w:rPr>
                <w:rFonts w:ascii="Arial" w:hAnsi="Arial" w:cs="Arial"/>
                <w:color w:val="000000"/>
                <w:sz w:val="16"/>
                <w:szCs w:val="16"/>
              </w:rPr>
              <w:t>Inne korekty</w:t>
            </w:r>
          </w:p>
        </w:tc>
        <w:tc>
          <w:tcPr>
            <w:tcW w:w="0" w:type="auto"/>
            <w:tcBorders>
              <w:top w:val="nil"/>
              <w:left w:val="nil"/>
              <w:bottom w:val="nil"/>
              <w:right w:val="nil"/>
            </w:tcBorders>
            <w:shd w:val="clear" w:color="auto" w:fill="auto"/>
            <w:vAlign w:val="center"/>
            <w:hideMark/>
          </w:tcPr>
          <w:p w:rsidR="006431A7" w:rsidRDefault="006431A7">
            <w:pPr>
              <w:jc w:val="right"/>
              <w:rPr>
                <w:rFonts w:ascii="Arial" w:hAnsi="Arial" w:cs="Arial"/>
                <w:sz w:val="16"/>
                <w:szCs w:val="16"/>
              </w:rPr>
            </w:pPr>
            <w:r>
              <w:rPr>
                <w:rFonts w:ascii="Arial" w:hAnsi="Arial" w:cs="Arial"/>
                <w:sz w:val="16"/>
                <w:szCs w:val="16"/>
              </w:rPr>
              <w:t>-3 207</w:t>
            </w:r>
          </w:p>
        </w:tc>
        <w:tc>
          <w:tcPr>
            <w:tcW w:w="0" w:type="auto"/>
            <w:tcBorders>
              <w:top w:val="nil"/>
              <w:left w:val="nil"/>
              <w:bottom w:val="nil"/>
              <w:right w:val="nil"/>
            </w:tcBorders>
            <w:shd w:val="clear" w:color="auto" w:fill="auto"/>
            <w:vAlign w:val="center"/>
            <w:hideMark/>
          </w:tcPr>
          <w:p w:rsidR="006431A7" w:rsidRDefault="006431A7">
            <w:pPr>
              <w:jc w:val="right"/>
              <w:rPr>
                <w:rFonts w:ascii="Arial" w:hAnsi="Arial" w:cs="Arial"/>
                <w:color w:val="000000"/>
                <w:sz w:val="16"/>
                <w:szCs w:val="16"/>
              </w:rPr>
            </w:pPr>
            <w:r>
              <w:rPr>
                <w:rFonts w:ascii="Arial" w:hAnsi="Arial" w:cs="Arial"/>
                <w:color w:val="000000"/>
                <w:sz w:val="16"/>
                <w:szCs w:val="16"/>
              </w:rPr>
              <w:t>935</w:t>
            </w:r>
          </w:p>
        </w:tc>
      </w:tr>
      <w:tr w:rsidR="006431A7" w:rsidTr="006431A7">
        <w:trPr>
          <w:trHeight w:val="285"/>
        </w:trPr>
        <w:tc>
          <w:tcPr>
            <w:tcW w:w="0" w:type="auto"/>
            <w:tcBorders>
              <w:top w:val="nil"/>
              <w:left w:val="nil"/>
              <w:bottom w:val="nil"/>
              <w:right w:val="nil"/>
            </w:tcBorders>
            <w:shd w:val="clear" w:color="auto" w:fill="auto"/>
            <w:vAlign w:val="center"/>
            <w:hideMark/>
          </w:tcPr>
          <w:p w:rsidR="006431A7" w:rsidRDefault="006431A7">
            <w:pPr>
              <w:rPr>
                <w:rFonts w:ascii="Arial" w:hAnsi="Arial" w:cs="Arial"/>
                <w:b/>
                <w:bCs/>
                <w:color w:val="000000"/>
                <w:sz w:val="16"/>
                <w:szCs w:val="16"/>
              </w:rPr>
            </w:pPr>
            <w:r>
              <w:rPr>
                <w:rFonts w:ascii="Arial" w:hAnsi="Arial" w:cs="Arial"/>
                <w:b/>
                <w:bCs/>
                <w:color w:val="000000"/>
                <w:sz w:val="16"/>
                <w:szCs w:val="16"/>
              </w:rPr>
              <w:t>Zmiany stanu kapitału obrotowego:</w:t>
            </w:r>
          </w:p>
        </w:tc>
        <w:tc>
          <w:tcPr>
            <w:tcW w:w="0" w:type="auto"/>
            <w:tcBorders>
              <w:top w:val="nil"/>
              <w:left w:val="nil"/>
              <w:bottom w:val="nil"/>
              <w:right w:val="nil"/>
            </w:tcBorders>
            <w:shd w:val="clear" w:color="auto" w:fill="auto"/>
            <w:vAlign w:val="center"/>
            <w:hideMark/>
          </w:tcPr>
          <w:p w:rsidR="006431A7" w:rsidRDefault="006431A7" w:rsidP="007C72C8">
            <w:pPr>
              <w:jc w:val="right"/>
              <w:rPr>
                <w:rFonts w:ascii="Arial" w:hAnsi="Arial" w:cs="Arial"/>
                <w:b/>
                <w:bCs/>
                <w:sz w:val="16"/>
                <w:szCs w:val="16"/>
              </w:rPr>
            </w:pPr>
            <w:r>
              <w:rPr>
                <w:rFonts w:ascii="Arial" w:hAnsi="Arial" w:cs="Arial"/>
                <w:b/>
                <w:bCs/>
                <w:sz w:val="16"/>
                <w:szCs w:val="16"/>
              </w:rPr>
              <w:t>3 57</w:t>
            </w:r>
            <w:r w:rsidR="007C72C8">
              <w:rPr>
                <w:rFonts w:ascii="Arial" w:hAnsi="Arial" w:cs="Arial"/>
                <w:b/>
                <w:bCs/>
                <w:sz w:val="16"/>
                <w:szCs w:val="16"/>
              </w:rPr>
              <w:t>2</w:t>
            </w:r>
          </w:p>
        </w:tc>
        <w:tc>
          <w:tcPr>
            <w:tcW w:w="0" w:type="auto"/>
            <w:tcBorders>
              <w:top w:val="nil"/>
              <w:left w:val="nil"/>
              <w:bottom w:val="nil"/>
              <w:right w:val="nil"/>
            </w:tcBorders>
            <w:shd w:val="clear" w:color="auto" w:fill="auto"/>
            <w:vAlign w:val="center"/>
            <w:hideMark/>
          </w:tcPr>
          <w:p w:rsidR="006431A7" w:rsidRDefault="006431A7">
            <w:pPr>
              <w:jc w:val="right"/>
              <w:rPr>
                <w:rFonts w:ascii="Arial" w:hAnsi="Arial" w:cs="Arial"/>
                <w:b/>
                <w:bCs/>
                <w:color w:val="000000"/>
                <w:sz w:val="16"/>
                <w:szCs w:val="16"/>
              </w:rPr>
            </w:pPr>
            <w:r>
              <w:rPr>
                <w:rFonts w:ascii="Arial" w:hAnsi="Arial" w:cs="Arial"/>
                <w:b/>
                <w:bCs/>
                <w:color w:val="000000"/>
                <w:sz w:val="16"/>
                <w:szCs w:val="16"/>
              </w:rPr>
              <w:t>417</w:t>
            </w:r>
          </w:p>
        </w:tc>
      </w:tr>
      <w:tr w:rsidR="006431A7" w:rsidTr="006431A7">
        <w:trPr>
          <w:trHeight w:val="285"/>
        </w:trPr>
        <w:tc>
          <w:tcPr>
            <w:tcW w:w="0" w:type="auto"/>
            <w:tcBorders>
              <w:top w:val="nil"/>
              <w:left w:val="nil"/>
              <w:bottom w:val="nil"/>
              <w:right w:val="nil"/>
            </w:tcBorders>
            <w:shd w:val="clear" w:color="auto" w:fill="auto"/>
            <w:vAlign w:val="center"/>
            <w:hideMark/>
          </w:tcPr>
          <w:p w:rsidR="006431A7" w:rsidRDefault="006431A7">
            <w:pPr>
              <w:rPr>
                <w:rFonts w:ascii="Arial" w:hAnsi="Arial" w:cs="Arial"/>
                <w:color w:val="000000"/>
                <w:sz w:val="16"/>
                <w:szCs w:val="16"/>
              </w:rPr>
            </w:pPr>
            <w:r>
              <w:rPr>
                <w:rFonts w:ascii="Arial" w:hAnsi="Arial" w:cs="Arial"/>
                <w:color w:val="000000"/>
                <w:sz w:val="16"/>
                <w:szCs w:val="16"/>
              </w:rPr>
              <w:t>Zapasy</w:t>
            </w:r>
          </w:p>
        </w:tc>
        <w:tc>
          <w:tcPr>
            <w:tcW w:w="0" w:type="auto"/>
            <w:tcBorders>
              <w:top w:val="nil"/>
              <w:left w:val="nil"/>
              <w:bottom w:val="nil"/>
              <w:right w:val="nil"/>
            </w:tcBorders>
            <w:shd w:val="clear" w:color="auto" w:fill="auto"/>
            <w:vAlign w:val="center"/>
            <w:hideMark/>
          </w:tcPr>
          <w:p w:rsidR="006431A7" w:rsidRDefault="006431A7" w:rsidP="007C72C8">
            <w:pPr>
              <w:jc w:val="right"/>
              <w:rPr>
                <w:rFonts w:ascii="Arial" w:hAnsi="Arial" w:cs="Arial"/>
                <w:sz w:val="16"/>
                <w:szCs w:val="16"/>
              </w:rPr>
            </w:pPr>
            <w:r>
              <w:rPr>
                <w:rFonts w:ascii="Arial" w:hAnsi="Arial" w:cs="Arial"/>
                <w:sz w:val="16"/>
                <w:szCs w:val="16"/>
              </w:rPr>
              <w:t>-11</w:t>
            </w:r>
            <w:r w:rsidR="007C72C8">
              <w:rPr>
                <w:rFonts w:ascii="Arial" w:hAnsi="Arial" w:cs="Arial"/>
                <w:sz w:val="16"/>
                <w:szCs w:val="16"/>
              </w:rPr>
              <w:t>5</w:t>
            </w:r>
          </w:p>
        </w:tc>
        <w:tc>
          <w:tcPr>
            <w:tcW w:w="0" w:type="auto"/>
            <w:tcBorders>
              <w:top w:val="nil"/>
              <w:left w:val="nil"/>
              <w:bottom w:val="nil"/>
              <w:right w:val="nil"/>
            </w:tcBorders>
            <w:shd w:val="clear" w:color="auto" w:fill="auto"/>
            <w:vAlign w:val="center"/>
            <w:hideMark/>
          </w:tcPr>
          <w:p w:rsidR="006431A7" w:rsidRDefault="006431A7">
            <w:pPr>
              <w:jc w:val="right"/>
              <w:rPr>
                <w:rFonts w:ascii="Arial" w:hAnsi="Arial" w:cs="Arial"/>
                <w:color w:val="000000"/>
                <w:sz w:val="16"/>
                <w:szCs w:val="16"/>
              </w:rPr>
            </w:pPr>
            <w:r>
              <w:rPr>
                <w:rFonts w:ascii="Arial" w:hAnsi="Arial" w:cs="Arial"/>
                <w:color w:val="000000"/>
                <w:sz w:val="16"/>
                <w:szCs w:val="16"/>
              </w:rPr>
              <w:t>47</w:t>
            </w:r>
          </w:p>
        </w:tc>
      </w:tr>
      <w:tr w:rsidR="006431A7" w:rsidTr="006431A7">
        <w:trPr>
          <w:trHeight w:val="285"/>
        </w:trPr>
        <w:tc>
          <w:tcPr>
            <w:tcW w:w="0" w:type="auto"/>
            <w:tcBorders>
              <w:top w:val="nil"/>
              <w:left w:val="nil"/>
              <w:bottom w:val="nil"/>
              <w:right w:val="nil"/>
            </w:tcBorders>
            <w:shd w:val="clear" w:color="auto" w:fill="auto"/>
            <w:vAlign w:val="center"/>
            <w:hideMark/>
          </w:tcPr>
          <w:p w:rsidR="006431A7" w:rsidRDefault="006431A7">
            <w:pPr>
              <w:rPr>
                <w:rFonts w:ascii="Arial" w:hAnsi="Arial" w:cs="Arial"/>
                <w:color w:val="000000"/>
                <w:sz w:val="16"/>
                <w:szCs w:val="16"/>
              </w:rPr>
            </w:pPr>
            <w:r>
              <w:rPr>
                <w:rFonts w:ascii="Arial" w:hAnsi="Arial" w:cs="Arial"/>
                <w:color w:val="000000"/>
                <w:sz w:val="16"/>
                <w:szCs w:val="16"/>
              </w:rPr>
              <w:t>Należności z tyt. dostaw i usług oraz pozostałe należności</w:t>
            </w:r>
          </w:p>
        </w:tc>
        <w:tc>
          <w:tcPr>
            <w:tcW w:w="0" w:type="auto"/>
            <w:tcBorders>
              <w:top w:val="nil"/>
              <w:left w:val="nil"/>
              <w:bottom w:val="nil"/>
              <w:right w:val="nil"/>
            </w:tcBorders>
            <w:shd w:val="clear" w:color="auto" w:fill="auto"/>
            <w:vAlign w:val="center"/>
            <w:hideMark/>
          </w:tcPr>
          <w:p w:rsidR="006431A7" w:rsidRDefault="006431A7">
            <w:pPr>
              <w:jc w:val="right"/>
              <w:rPr>
                <w:rFonts w:ascii="Arial" w:hAnsi="Arial" w:cs="Arial"/>
                <w:sz w:val="16"/>
                <w:szCs w:val="16"/>
              </w:rPr>
            </w:pPr>
            <w:r>
              <w:rPr>
                <w:rFonts w:ascii="Arial" w:hAnsi="Arial" w:cs="Arial"/>
                <w:sz w:val="16"/>
                <w:szCs w:val="16"/>
              </w:rPr>
              <w:t>-3 165</w:t>
            </w:r>
          </w:p>
        </w:tc>
        <w:tc>
          <w:tcPr>
            <w:tcW w:w="0" w:type="auto"/>
            <w:tcBorders>
              <w:top w:val="nil"/>
              <w:left w:val="nil"/>
              <w:bottom w:val="nil"/>
              <w:right w:val="nil"/>
            </w:tcBorders>
            <w:shd w:val="clear" w:color="auto" w:fill="auto"/>
            <w:vAlign w:val="center"/>
            <w:hideMark/>
          </w:tcPr>
          <w:p w:rsidR="006431A7" w:rsidRDefault="006431A7">
            <w:pPr>
              <w:jc w:val="right"/>
              <w:rPr>
                <w:rFonts w:ascii="Arial" w:hAnsi="Arial" w:cs="Arial"/>
                <w:color w:val="000000"/>
                <w:sz w:val="16"/>
                <w:szCs w:val="16"/>
              </w:rPr>
            </w:pPr>
            <w:r>
              <w:rPr>
                <w:rFonts w:ascii="Arial" w:hAnsi="Arial" w:cs="Arial"/>
                <w:color w:val="000000"/>
                <w:sz w:val="16"/>
                <w:szCs w:val="16"/>
              </w:rPr>
              <w:t>-1 252</w:t>
            </w:r>
          </w:p>
        </w:tc>
      </w:tr>
      <w:tr w:rsidR="006431A7" w:rsidTr="006431A7">
        <w:trPr>
          <w:trHeight w:val="450"/>
        </w:trPr>
        <w:tc>
          <w:tcPr>
            <w:tcW w:w="0" w:type="auto"/>
            <w:tcBorders>
              <w:top w:val="nil"/>
              <w:left w:val="nil"/>
              <w:bottom w:val="nil"/>
              <w:right w:val="nil"/>
            </w:tcBorders>
            <w:shd w:val="clear" w:color="auto" w:fill="auto"/>
            <w:vAlign w:val="center"/>
            <w:hideMark/>
          </w:tcPr>
          <w:p w:rsidR="006431A7" w:rsidRDefault="006431A7">
            <w:pPr>
              <w:rPr>
                <w:rFonts w:ascii="Arial" w:hAnsi="Arial" w:cs="Arial"/>
                <w:color w:val="000000"/>
                <w:sz w:val="16"/>
                <w:szCs w:val="16"/>
              </w:rPr>
            </w:pPr>
            <w:r>
              <w:rPr>
                <w:rFonts w:ascii="Arial" w:hAnsi="Arial" w:cs="Arial"/>
                <w:color w:val="000000"/>
                <w:sz w:val="16"/>
                <w:szCs w:val="16"/>
              </w:rPr>
              <w:t>Zobowiązania z tyt. dostaw i usług oraz pozostałe zobowiązania</w:t>
            </w:r>
          </w:p>
        </w:tc>
        <w:tc>
          <w:tcPr>
            <w:tcW w:w="0" w:type="auto"/>
            <w:tcBorders>
              <w:top w:val="nil"/>
              <w:left w:val="nil"/>
              <w:bottom w:val="nil"/>
              <w:right w:val="nil"/>
            </w:tcBorders>
            <w:shd w:val="clear" w:color="auto" w:fill="auto"/>
            <w:vAlign w:val="center"/>
            <w:hideMark/>
          </w:tcPr>
          <w:p w:rsidR="006431A7" w:rsidRDefault="006431A7">
            <w:pPr>
              <w:jc w:val="right"/>
              <w:rPr>
                <w:rFonts w:ascii="Arial" w:hAnsi="Arial" w:cs="Arial"/>
                <w:sz w:val="16"/>
                <w:szCs w:val="16"/>
              </w:rPr>
            </w:pPr>
            <w:r>
              <w:rPr>
                <w:rFonts w:ascii="Arial" w:hAnsi="Arial" w:cs="Arial"/>
                <w:sz w:val="16"/>
                <w:szCs w:val="16"/>
              </w:rPr>
              <w:t>6 851</w:t>
            </w:r>
          </w:p>
        </w:tc>
        <w:tc>
          <w:tcPr>
            <w:tcW w:w="0" w:type="auto"/>
            <w:tcBorders>
              <w:top w:val="nil"/>
              <w:left w:val="nil"/>
              <w:bottom w:val="nil"/>
              <w:right w:val="nil"/>
            </w:tcBorders>
            <w:shd w:val="clear" w:color="auto" w:fill="auto"/>
            <w:vAlign w:val="center"/>
            <w:hideMark/>
          </w:tcPr>
          <w:p w:rsidR="006431A7" w:rsidRDefault="006431A7">
            <w:pPr>
              <w:jc w:val="right"/>
              <w:rPr>
                <w:rFonts w:ascii="Arial" w:hAnsi="Arial" w:cs="Arial"/>
                <w:color w:val="000000"/>
                <w:sz w:val="16"/>
                <w:szCs w:val="16"/>
              </w:rPr>
            </w:pPr>
            <w:r>
              <w:rPr>
                <w:rFonts w:ascii="Arial" w:hAnsi="Arial" w:cs="Arial"/>
                <w:color w:val="000000"/>
                <w:sz w:val="16"/>
                <w:szCs w:val="16"/>
              </w:rPr>
              <w:t>1 622</w:t>
            </w:r>
          </w:p>
        </w:tc>
      </w:tr>
      <w:tr w:rsidR="006431A7" w:rsidTr="006431A7">
        <w:trPr>
          <w:trHeight w:val="315"/>
        </w:trPr>
        <w:tc>
          <w:tcPr>
            <w:tcW w:w="0" w:type="auto"/>
            <w:tcBorders>
              <w:top w:val="nil"/>
              <w:left w:val="nil"/>
              <w:bottom w:val="nil"/>
              <w:right w:val="nil"/>
            </w:tcBorders>
            <w:shd w:val="clear" w:color="auto" w:fill="auto"/>
            <w:vAlign w:val="center"/>
            <w:hideMark/>
          </w:tcPr>
          <w:p w:rsidR="006431A7" w:rsidRDefault="006431A7">
            <w:pPr>
              <w:rPr>
                <w:rFonts w:ascii="Arial" w:hAnsi="Arial" w:cs="Arial"/>
                <w:color w:val="000000"/>
                <w:sz w:val="16"/>
                <w:szCs w:val="16"/>
              </w:rPr>
            </w:pPr>
            <w:r>
              <w:rPr>
                <w:rFonts w:ascii="Arial" w:hAnsi="Arial" w:cs="Arial"/>
                <w:color w:val="000000"/>
                <w:sz w:val="16"/>
                <w:szCs w:val="16"/>
              </w:rPr>
              <w:t xml:space="preserve"> Podatek dochodowy zapłacony</w:t>
            </w:r>
          </w:p>
        </w:tc>
        <w:tc>
          <w:tcPr>
            <w:tcW w:w="0" w:type="auto"/>
            <w:tcBorders>
              <w:top w:val="nil"/>
              <w:left w:val="nil"/>
              <w:bottom w:val="nil"/>
              <w:right w:val="nil"/>
            </w:tcBorders>
            <w:shd w:val="clear" w:color="auto" w:fill="auto"/>
            <w:vAlign w:val="center"/>
            <w:hideMark/>
          </w:tcPr>
          <w:p w:rsidR="006431A7" w:rsidRDefault="006431A7">
            <w:pPr>
              <w:jc w:val="right"/>
              <w:rPr>
                <w:rFonts w:ascii="Arial" w:hAnsi="Arial" w:cs="Arial"/>
                <w:sz w:val="16"/>
                <w:szCs w:val="16"/>
              </w:rPr>
            </w:pPr>
            <w:r>
              <w:rPr>
                <w:rFonts w:ascii="Arial" w:hAnsi="Arial" w:cs="Arial"/>
                <w:sz w:val="16"/>
                <w:szCs w:val="16"/>
              </w:rPr>
              <w:t>47</w:t>
            </w:r>
          </w:p>
        </w:tc>
        <w:tc>
          <w:tcPr>
            <w:tcW w:w="0" w:type="auto"/>
            <w:tcBorders>
              <w:top w:val="nil"/>
              <w:left w:val="nil"/>
              <w:bottom w:val="nil"/>
              <w:right w:val="nil"/>
            </w:tcBorders>
            <w:shd w:val="clear" w:color="auto" w:fill="auto"/>
            <w:vAlign w:val="center"/>
            <w:hideMark/>
          </w:tcPr>
          <w:p w:rsidR="006431A7" w:rsidRDefault="006431A7">
            <w:pPr>
              <w:jc w:val="right"/>
              <w:rPr>
                <w:rFonts w:ascii="Arial" w:hAnsi="Arial" w:cs="Arial"/>
                <w:color w:val="000000"/>
                <w:sz w:val="16"/>
                <w:szCs w:val="16"/>
              </w:rPr>
            </w:pPr>
            <w:r>
              <w:rPr>
                <w:rFonts w:ascii="Arial" w:hAnsi="Arial" w:cs="Arial"/>
                <w:color w:val="000000"/>
                <w:sz w:val="16"/>
                <w:szCs w:val="16"/>
              </w:rPr>
              <w:t>507</w:t>
            </w:r>
          </w:p>
        </w:tc>
      </w:tr>
      <w:tr w:rsidR="006431A7" w:rsidTr="006431A7">
        <w:trPr>
          <w:trHeight w:val="315"/>
        </w:trPr>
        <w:tc>
          <w:tcPr>
            <w:tcW w:w="0" w:type="auto"/>
            <w:tcBorders>
              <w:top w:val="single" w:sz="8" w:space="0" w:color="auto"/>
              <w:left w:val="nil"/>
              <w:bottom w:val="single" w:sz="8" w:space="0" w:color="auto"/>
              <w:right w:val="nil"/>
            </w:tcBorders>
            <w:shd w:val="clear" w:color="auto" w:fill="auto"/>
            <w:vAlign w:val="center"/>
            <w:hideMark/>
          </w:tcPr>
          <w:p w:rsidR="006431A7" w:rsidRDefault="006431A7">
            <w:pPr>
              <w:rPr>
                <w:rFonts w:ascii="Arial" w:hAnsi="Arial" w:cs="Arial"/>
                <w:b/>
                <w:bCs/>
                <w:color w:val="000000"/>
                <w:sz w:val="16"/>
                <w:szCs w:val="16"/>
              </w:rPr>
            </w:pPr>
            <w:r>
              <w:rPr>
                <w:rFonts w:ascii="Arial" w:hAnsi="Arial" w:cs="Arial"/>
                <w:b/>
                <w:bCs/>
                <w:color w:val="000000"/>
                <w:sz w:val="16"/>
                <w:szCs w:val="16"/>
              </w:rPr>
              <w:t>Przepływy pieniężne netto z działalności operacyjnej</w:t>
            </w:r>
          </w:p>
        </w:tc>
        <w:tc>
          <w:tcPr>
            <w:tcW w:w="0" w:type="auto"/>
            <w:tcBorders>
              <w:top w:val="single" w:sz="8" w:space="0" w:color="auto"/>
              <w:left w:val="nil"/>
              <w:bottom w:val="single" w:sz="8" w:space="0" w:color="auto"/>
              <w:right w:val="nil"/>
            </w:tcBorders>
            <w:shd w:val="clear" w:color="auto" w:fill="auto"/>
            <w:vAlign w:val="center"/>
            <w:hideMark/>
          </w:tcPr>
          <w:p w:rsidR="006431A7" w:rsidRDefault="006431A7">
            <w:pPr>
              <w:jc w:val="right"/>
              <w:rPr>
                <w:rFonts w:ascii="Arial" w:hAnsi="Arial" w:cs="Arial"/>
                <w:b/>
                <w:bCs/>
                <w:sz w:val="16"/>
                <w:szCs w:val="16"/>
              </w:rPr>
            </w:pPr>
            <w:r>
              <w:rPr>
                <w:rFonts w:ascii="Arial" w:hAnsi="Arial" w:cs="Arial"/>
                <w:b/>
                <w:bCs/>
                <w:sz w:val="16"/>
                <w:szCs w:val="16"/>
              </w:rPr>
              <w:t>7 877</w:t>
            </w:r>
          </w:p>
        </w:tc>
        <w:tc>
          <w:tcPr>
            <w:tcW w:w="0" w:type="auto"/>
            <w:tcBorders>
              <w:top w:val="single" w:sz="8" w:space="0" w:color="auto"/>
              <w:left w:val="nil"/>
              <w:bottom w:val="single" w:sz="8" w:space="0" w:color="auto"/>
              <w:right w:val="nil"/>
            </w:tcBorders>
            <w:shd w:val="clear" w:color="auto" w:fill="auto"/>
            <w:vAlign w:val="center"/>
            <w:hideMark/>
          </w:tcPr>
          <w:p w:rsidR="006431A7" w:rsidRDefault="006431A7">
            <w:pPr>
              <w:jc w:val="right"/>
              <w:rPr>
                <w:rFonts w:ascii="Arial" w:hAnsi="Arial" w:cs="Arial"/>
                <w:b/>
                <w:bCs/>
                <w:color w:val="000000"/>
                <w:sz w:val="16"/>
                <w:szCs w:val="16"/>
              </w:rPr>
            </w:pPr>
            <w:r>
              <w:rPr>
                <w:rFonts w:ascii="Arial" w:hAnsi="Arial" w:cs="Arial"/>
                <w:b/>
                <w:bCs/>
                <w:color w:val="000000"/>
                <w:sz w:val="16"/>
                <w:szCs w:val="16"/>
              </w:rPr>
              <w:t>-1 148</w:t>
            </w:r>
          </w:p>
        </w:tc>
      </w:tr>
      <w:tr w:rsidR="006431A7" w:rsidTr="006431A7">
        <w:trPr>
          <w:trHeight w:val="300"/>
        </w:trPr>
        <w:tc>
          <w:tcPr>
            <w:tcW w:w="0" w:type="auto"/>
            <w:tcBorders>
              <w:top w:val="nil"/>
              <w:left w:val="nil"/>
              <w:bottom w:val="nil"/>
              <w:right w:val="nil"/>
            </w:tcBorders>
            <w:shd w:val="clear" w:color="auto" w:fill="auto"/>
            <w:vAlign w:val="center"/>
            <w:hideMark/>
          </w:tcPr>
          <w:p w:rsidR="006431A7" w:rsidRDefault="006431A7">
            <w:pPr>
              <w:rPr>
                <w:rFonts w:ascii="Arial" w:hAnsi="Arial" w:cs="Arial"/>
                <w:b/>
                <w:bCs/>
                <w:color w:val="000000"/>
                <w:sz w:val="16"/>
                <w:szCs w:val="16"/>
              </w:rPr>
            </w:pPr>
            <w:r>
              <w:rPr>
                <w:rFonts w:ascii="Arial" w:hAnsi="Arial" w:cs="Arial"/>
                <w:b/>
                <w:bCs/>
                <w:color w:val="000000"/>
                <w:sz w:val="16"/>
                <w:szCs w:val="16"/>
              </w:rPr>
              <w:t>Przepływy pieniężne z działalności inwestycyjnej</w:t>
            </w:r>
          </w:p>
        </w:tc>
        <w:tc>
          <w:tcPr>
            <w:tcW w:w="0" w:type="auto"/>
            <w:tcBorders>
              <w:top w:val="nil"/>
              <w:left w:val="nil"/>
              <w:bottom w:val="nil"/>
              <w:right w:val="nil"/>
            </w:tcBorders>
            <w:shd w:val="clear" w:color="auto" w:fill="auto"/>
            <w:noWrap/>
            <w:vAlign w:val="center"/>
            <w:hideMark/>
          </w:tcPr>
          <w:p w:rsidR="006431A7" w:rsidRDefault="006431A7">
            <w:pPr>
              <w:rPr>
                <w:sz w:val="22"/>
                <w:szCs w:val="22"/>
              </w:rPr>
            </w:pPr>
          </w:p>
        </w:tc>
        <w:tc>
          <w:tcPr>
            <w:tcW w:w="0" w:type="auto"/>
            <w:tcBorders>
              <w:top w:val="nil"/>
              <w:left w:val="nil"/>
              <w:bottom w:val="nil"/>
              <w:right w:val="nil"/>
            </w:tcBorders>
            <w:shd w:val="clear" w:color="auto" w:fill="auto"/>
            <w:noWrap/>
            <w:vAlign w:val="center"/>
            <w:hideMark/>
          </w:tcPr>
          <w:p w:rsidR="006431A7" w:rsidRDefault="006431A7">
            <w:pPr>
              <w:rPr>
                <w:color w:val="000000"/>
                <w:sz w:val="22"/>
                <w:szCs w:val="22"/>
              </w:rPr>
            </w:pPr>
          </w:p>
        </w:tc>
      </w:tr>
      <w:tr w:rsidR="006431A7" w:rsidTr="006431A7">
        <w:trPr>
          <w:trHeight w:val="390"/>
        </w:trPr>
        <w:tc>
          <w:tcPr>
            <w:tcW w:w="0" w:type="auto"/>
            <w:tcBorders>
              <w:top w:val="nil"/>
              <w:left w:val="nil"/>
              <w:bottom w:val="nil"/>
              <w:right w:val="nil"/>
            </w:tcBorders>
            <w:shd w:val="clear" w:color="auto" w:fill="auto"/>
            <w:vAlign w:val="center"/>
            <w:hideMark/>
          </w:tcPr>
          <w:p w:rsidR="006431A7" w:rsidRDefault="006431A7">
            <w:pPr>
              <w:rPr>
                <w:rFonts w:ascii="Arial" w:hAnsi="Arial" w:cs="Arial"/>
                <w:color w:val="000000"/>
                <w:sz w:val="16"/>
                <w:szCs w:val="16"/>
              </w:rPr>
            </w:pPr>
            <w:r>
              <w:rPr>
                <w:rFonts w:ascii="Arial" w:hAnsi="Arial" w:cs="Arial"/>
                <w:color w:val="000000"/>
                <w:sz w:val="16"/>
                <w:szCs w:val="16"/>
              </w:rPr>
              <w:t>Nabycie wartości niematerialnych  i rzeczowych aktywów trwałych</w:t>
            </w:r>
          </w:p>
        </w:tc>
        <w:tc>
          <w:tcPr>
            <w:tcW w:w="0" w:type="auto"/>
            <w:tcBorders>
              <w:top w:val="nil"/>
              <w:left w:val="nil"/>
              <w:bottom w:val="nil"/>
              <w:right w:val="nil"/>
            </w:tcBorders>
            <w:shd w:val="clear" w:color="auto" w:fill="auto"/>
            <w:noWrap/>
            <w:vAlign w:val="center"/>
            <w:hideMark/>
          </w:tcPr>
          <w:p w:rsidR="006431A7" w:rsidRDefault="006431A7">
            <w:pPr>
              <w:jc w:val="right"/>
              <w:rPr>
                <w:rFonts w:ascii="Arial" w:hAnsi="Arial" w:cs="Arial"/>
                <w:sz w:val="16"/>
                <w:szCs w:val="16"/>
              </w:rPr>
            </w:pPr>
            <w:r>
              <w:rPr>
                <w:rFonts w:ascii="Arial" w:hAnsi="Arial" w:cs="Arial"/>
                <w:sz w:val="16"/>
                <w:szCs w:val="16"/>
              </w:rPr>
              <w:t>-13 742</w:t>
            </w:r>
          </w:p>
        </w:tc>
        <w:tc>
          <w:tcPr>
            <w:tcW w:w="0" w:type="auto"/>
            <w:tcBorders>
              <w:top w:val="nil"/>
              <w:left w:val="nil"/>
              <w:bottom w:val="nil"/>
              <w:right w:val="nil"/>
            </w:tcBorders>
            <w:shd w:val="clear" w:color="auto" w:fill="auto"/>
            <w:noWrap/>
            <w:vAlign w:val="center"/>
            <w:hideMark/>
          </w:tcPr>
          <w:p w:rsidR="006431A7" w:rsidRDefault="006431A7">
            <w:pPr>
              <w:jc w:val="right"/>
              <w:rPr>
                <w:rFonts w:ascii="Arial" w:hAnsi="Arial" w:cs="Arial"/>
                <w:color w:val="000000"/>
                <w:sz w:val="16"/>
                <w:szCs w:val="16"/>
              </w:rPr>
            </w:pPr>
            <w:r>
              <w:rPr>
                <w:rFonts w:ascii="Arial" w:hAnsi="Arial" w:cs="Arial"/>
                <w:color w:val="000000"/>
                <w:sz w:val="16"/>
                <w:szCs w:val="16"/>
              </w:rPr>
              <w:t>-31 570</w:t>
            </w:r>
          </w:p>
        </w:tc>
      </w:tr>
      <w:tr w:rsidR="006431A7" w:rsidTr="006431A7">
        <w:trPr>
          <w:trHeight w:val="390"/>
        </w:trPr>
        <w:tc>
          <w:tcPr>
            <w:tcW w:w="0" w:type="auto"/>
            <w:tcBorders>
              <w:top w:val="nil"/>
              <w:left w:val="nil"/>
              <w:bottom w:val="nil"/>
              <w:right w:val="nil"/>
            </w:tcBorders>
            <w:shd w:val="clear" w:color="auto" w:fill="auto"/>
            <w:vAlign w:val="center"/>
            <w:hideMark/>
          </w:tcPr>
          <w:p w:rsidR="006431A7" w:rsidRDefault="006431A7">
            <w:pPr>
              <w:rPr>
                <w:rFonts w:ascii="Arial" w:hAnsi="Arial" w:cs="Arial"/>
                <w:color w:val="000000"/>
                <w:sz w:val="16"/>
                <w:szCs w:val="16"/>
              </w:rPr>
            </w:pPr>
            <w:r>
              <w:rPr>
                <w:rFonts w:ascii="Arial" w:hAnsi="Arial" w:cs="Arial"/>
                <w:color w:val="000000"/>
                <w:sz w:val="16"/>
                <w:szCs w:val="16"/>
              </w:rPr>
              <w:t>Wpływy ze zbycia  wartości niematerialnych i rzeczowych aktywów trwałych</w:t>
            </w:r>
          </w:p>
        </w:tc>
        <w:tc>
          <w:tcPr>
            <w:tcW w:w="0" w:type="auto"/>
            <w:tcBorders>
              <w:top w:val="nil"/>
              <w:left w:val="nil"/>
              <w:bottom w:val="nil"/>
              <w:right w:val="nil"/>
            </w:tcBorders>
            <w:shd w:val="clear" w:color="auto" w:fill="auto"/>
            <w:noWrap/>
            <w:vAlign w:val="center"/>
            <w:hideMark/>
          </w:tcPr>
          <w:p w:rsidR="006431A7" w:rsidRDefault="006431A7">
            <w:pPr>
              <w:jc w:val="right"/>
              <w:rPr>
                <w:rFonts w:ascii="Arial" w:hAnsi="Arial" w:cs="Arial"/>
                <w:sz w:val="16"/>
                <w:szCs w:val="16"/>
              </w:rPr>
            </w:pPr>
          </w:p>
        </w:tc>
        <w:tc>
          <w:tcPr>
            <w:tcW w:w="0" w:type="auto"/>
            <w:tcBorders>
              <w:top w:val="nil"/>
              <w:left w:val="nil"/>
              <w:bottom w:val="nil"/>
              <w:right w:val="nil"/>
            </w:tcBorders>
            <w:shd w:val="clear" w:color="auto" w:fill="auto"/>
            <w:noWrap/>
            <w:vAlign w:val="center"/>
            <w:hideMark/>
          </w:tcPr>
          <w:p w:rsidR="006431A7" w:rsidRDefault="006431A7">
            <w:pPr>
              <w:jc w:val="right"/>
              <w:rPr>
                <w:rFonts w:ascii="Arial" w:hAnsi="Arial" w:cs="Arial"/>
                <w:color w:val="000000"/>
                <w:sz w:val="16"/>
                <w:szCs w:val="16"/>
              </w:rPr>
            </w:pPr>
            <w:r>
              <w:rPr>
                <w:rFonts w:ascii="Arial" w:hAnsi="Arial" w:cs="Arial"/>
                <w:color w:val="000000"/>
                <w:sz w:val="16"/>
                <w:szCs w:val="16"/>
              </w:rPr>
              <w:t>0</w:t>
            </w:r>
          </w:p>
        </w:tc>
      </w:tr>
      <w:tr w:rsidR="006431A7" w:rsidTr="006431A7">
        <w:trPr>
          <w:trHeight w:val="315"/>
        </w:trPr>
        <w:tc>
          <w:tcPr>
            <w:tcW w:w="0" w:type="auto"/>
            <w:tcBorders>
              <w:top w:val="nil"/>
              <w:left w:val="nil"/>
              <w:bottom w:val="nil"/>
              <w:right w:val="nil"/>
            </w:tcBorders>
            <w:shd w:val="clear" w:color="auto" w:fill="auto"/>
            <w:vAlign w:val="center"/>
            <w:hideMark/>
          </w:tcPr>
          <w:p w:rsidR="006431A7" w:rsidRDefault="006431A7">
            <w:pPr>
              <w:rPr>
                <w:rFonts w:ascii="Arial" w:hAnsi="Arial" w:cs="Arial"/>
                <w:color w:val="000000"/>
                <w:sz w:val="16"/>
                <w:szCs w:val="16"/>
              </w:rPr>
            </w:pPr>
            <w:r>
              <w:rPr>
                <w:rFonts w:ascii="Arial" w:hAnsi="Arial" w:cs="Arial"/>
                <w:color w:val="000000"/>
                <w:sz w:val="16"/>
                <w:szCs w:val="16"/>
              </w:rPr>
              <w:t>Dywidendy otrzymane</w:t>
            </w:r>
          </w:p>
        </w:tc>
        <w:tc>
          <w:tcPr>
            <w:tcW w:w="0" w:type="auto"/>
            <w:tcBorders>
              <w:top w:val="nil"/>
              <w:left w:val="nil"/>
              <w:bottom w:val="nil"/>
              <w:right w:val="nil"/>
            </w:tcBorders>
            <w:shd w:val="clear" w:color="auto" w:fill="auto"/>
            <w:noWrap/>
            <w:vAlign w:val="center"/>
            <w:hideMark/>
          </w:tcPr>
          <w:p w:rsidR="006431A7" w:rsidRDefault="006431A7">
            <w:pPr>
              <w:jc w:val="right"/>
              <w:rPr>
                <w:rFonts w:ascii="Arial" w:hAnsi="Arial" w:cs="Arial"/>
                <w:sz w:val="16"/>
                <w:szCs w:val="16"/>
              </w:rPr>
            </w:pPr>
          </w:p>
        </w:tc>
        <w:tc>
          <w:tcPr>
            <w:tcW w:w="0" w:type="auto"/>
            <w:tcBorders>
              <w:top w:val="nil"/>
              <w:left w:val="nil"/>
              <w:bottom w:val="nil"/>
              <w:right w:val="nil"/>
            </w:tcBorders>
            <w:shd w:val="clear" w:color="auto" w:fill="auto"/>
            <w:noWrap/>
            <w:vAlign w:val="center"/>
            <w:hideMark/>
          </w:tcPr>
          <w:p w:rsidR="006431A7" w:rsidRDefault="006431A7">
            <w:pPr>
              <w:jc w:val="right"/>
              <w:rPr>
                <w:rFonts w:ascii="Arial" w:hAnsi="Arial" w:cs="Arial"/>
                <w:color w:val="000000"/>
                <w:sz w:val="16"/>
                <w:szCs w:val="16"/>
              </w:rPr>
            </w:pPr>
            <w:r>
              <w:rPr>
                <w:rFonts w:ascii="Arial" w:hAnsi="Arial" w:cs="Arial"/>
                <w:color w:val="000000"/>
                <w:sz w:val="16"/>
                <w:szCs w:val="16"/>
              </w:rPr>
              <w:t>0</w:t>
            </w:r>
          </w:p>
        </w:tc>
      </w:tr>
      <w:tr w:rsidR="006431A7" w:rsidTr="006431A7">
        <w:trPr>
          <w:trHeight w:val="465"/>
        </w:trPr>
        <w:tc>
          <w:tcPr>
            <w:tcW w:w="0" w:type="auto"/>
            <w:tcBorders>
              <w:top w:val="single" w:sz="8" w:space="0" w:color="auto"/>
              <w:left w:val="nil"/>
              <w:bottom w:val="single" w:sz="8" w:space="0" w:color="auto"/>
              <w:right w:val="nil"/>
            </w:tcBorders>
            <w:shd w:val="clear" w:color="auto" w:fill="auto"/>
            <w:vAlign w:val="center"/>
            <w:hideMark/>
          </w:tcPr>
          <w:p w:rsidR="006431A7" w:rsidRDefault="006431A7">
            <w:pPr>
              <w:rPr>
                <w:rFonts w:ascii="Arial" w:hAnsi="Arial" w:cs="Arial"/>
                <w:b/>
                <w:bCs/>
                <w:color w:val="000000"/>
                <w:sz w:val="16"/>
                <w:szCs w:val="16"/>
              </w:rPr>
            </w:pPr>
            <w:r>
              <w:rPr>
                <w:rFonts w:ascii="Arial" w:hAnsi="Arial" w:cs="Arial"/>
                <w:b/>
                <w:bCs/>
                <w:color w:val="000000"/>
                <w:sz w:val="16"/>
                <w:szCs w:val="16"/>
              </w:rPr>
              <w:t>Przepływy pieniężne netto z działalności inwestycyjnej</w:t>
            </w:r>
          </w:p>
        </w:tc>
        <w:tc>
          <w:tcPr>
            <w:tcW w:w="0" w:type="auto"/>
            <w:tcBorders>
              <w:top w:val="single" w:sz="8" w:space="0" w:color="auto"/>
              <w:left w:val="nil"/>
              <w:bottom w:val="single" w:sz="8" w:space="0" w:color="auto"/>
              <w:right w:val="nil"/>
            </w:tcBorders>
            <w:shd w:val="clear" w:color="auto" w:fill="auto"/>
            <w:noWrap/>
            <w:vAlign w:val="center"/>
            <w:hideMark/>
          </w:tcPr>
          <w:p w:rsidR="006431A7" w:rsidRDefault="006431A7">
            <w:pPr>
              <w:jc w:val="right"/>
              <w:rPr>
                <w:rFonts w:ascii="Arial" w:hAnsi="Arial" w:cs="Arial"/>
                <w:b/>
                <w:bCs/>
                <w:sz w:val="16"/>
                <w:szCs w:val="16"/>
              </w:rPr>
            </w:pPr>
            <w:r>
              <w:rPr>
                <w:rFonts w:ascii="Arial" w:hAnsi="Arial" w:cs="Arial"/>
                <w:b/>
                <w:bCs/>
                <w:sz w:val="16"/>
                <w:szCs w:val="16"/>
              </w:rPr>
              <w:t>-13 742</w:t>
            </w:r>
          </w:p>
        </w:tc>
        <w:tc>
          <w:tcPr>
            <w:tcW w:w="0" w:type="auto"/>
            <w:tcBorders>
              <w:top w:val="single" w:sz="8" w:space="0" w:color="auto"/>
              <w:left w:val="nil"/>
              <w:bottom w:val="single" w:sz="8" w:space="0" w:color="auto"/>
              <w:right w:val="nil"/>
            </w:tcBorders>
            <w:shd w:val="clear" w:color="auto" w:fill="auto"/>
            <w:noWrap/>
            <w:vAlign w:val="center"/>
            <w:hideMark/>
          </w:tcPr>
          <w:p w:rsidR="006431A7" w:rsidRDefault="006431A7">
            <w:pPr>
              <w:jc w:val="right"/>
              <w:rPr>
                <w:rFonts w:ascii="Arial" w:hAnsi="Arial" w:cs="Arial"/>
                <w:b/>
                <w:bCs/>
                <w:color w:val="000000"/>
                <w:sz w:val="16"/>
                <w:szCs w:val="16"/>
              </w:rPr>
            </w:pPr>
            <w:r>
              <w:rPr>
                <w:rFonts w:ascii="Arial" w:hAnsi="Arial" w:cs="Arial"/>
                <w:b/>
                <w:bCs/>
                <w:color w:val="000000"/>
                <w:sz w:val="16"/>
                <w:szCs w:val="16"/>
              </w:rPr>
              <w:t>-31 570</w:t>
            </w:r>
          </w:p>
        </w:tc>
      </w:tr>
      <w:tr w:rsidR="006431A7" w:rsidTr="006431A7">
        <w:trPr>
          <w:trHeight w:val="300"/>
        </w:trPr>
        <w:tc>
          <w:tcPr>
            <w:tcW w:w="0" w:type="auto"/>
            <w:tcBorders>
              <w:top w:val="nil"/>
              <w:left w:val="nil"/>
              <w:bottom w:val="nil"/>
              <w:right w:val="nil"/>
            </w:tcBorders>
            <w:shd w:val="clear" w:color="auto" w:fill="auto"/>
            <w:vAlign w:val="center"/>
            <w:hideMark/>
          </w:tcPr>
          <w:p w:rsidR="006431A7" w:rsidRDefault="006431A7">
            <w:pPr>
              <w:rPr>
                <w:rFonts w:ascii="Arial" w:hAnsi="Arial" w:cs="Arial"/>
                <w:b/>
                <w:bCs/>
                <w:color w:val="000000"/>
                <w:sz w:val="16"/>
                <w:szCs w:val="16"/>
              </w:rPr>
            </w:pPr>
            <w:r>
              <w:rPr>
                <w:rFonts w:ascii="Arial" w:hAnsi="Arial" w:cs="Arial"/>
                <w:b/>
                <w:bCs/>
                <w:color w:val="000000"/>
                <w:sz w:val="16"/>
                <w:szCs w:val="16"/>
              </w:rPr>
              <w:t>Przepływy pieniężne z działalności finansowej</w:t>
            </w:r>
          </w:p>
        </w:tc>
        <w:tc>
          <w:tcPr>
            <w:tcW w:w="0" w:type="auto"/>
            <w:tcBorders>
              <w:top w:val="nil"/>
              <w:left w:val="nil"/>
              <w:bottom w:val="nil"/>
              <w:right w:val="nil"/>
            </w:tcBorders>
            <w:shd w:val="clear" w:color="auto" w:fill="auto"/>
            <w:noWrap/>
            <w:vAlign w:val="center"/>
            <w:hideMark/>
          </w:tcPr>
          <w:p w:rsidR="006431A7" w:rsidRDefault="006431A7">
            <w:pPr>
              <w:rPr>
                <w:color w:val="FF0000"/>
                <w:sz w:val="22"/>
                <w:szCs w:val="22"/>
              </w:rPr>
            </w:pPr>
          </w:p>
        </w:tc>
        <w:tc>
          <w:tcPr>
            <w:tcW w:w="0" w:type="auto"/>
            <w:tcBorders>
              <w:top w:val="nil"/>
              <w:left w:val="nil"/>
              <w:bottom w:val="nil"/>
              <w:right w:val="nil"/>
            </w:tcBorders>
            <w:shd w:val="clear" w:color="auto" w:fill="auto"/>
            <w:noWrap/>
            <w:vAlign w:val="center"/>
            <w:hideMark/>
          </w:tcPr>
          <w:p w:rsidR="006431A7" w:rsidRDefault="006431A7">
            <w:pPr>
              <w:rPr>
                <w:color w:val="000000"/>
                <w:sz w:val="22"/>
                <w:szCs w:val="22"/>
              </w:rPr>
            </w:pPr>
          </w:p>
        </w:tc>
      </w:tr>
      <w:tr w:rsidR="006431A7" w:rsidTr="006431A7">
        <w:trPr>
          <w:trHeight w:val="315"/>
        </w:trPr>
        <w:tc>
          <w:tcPr>
            <w:tcW w:w="0" w:type="auto"/>
            <w:tcBorders>
              <w:top w:val="nil"/>
              <w:left w:val="nil"/>
              <w:bottom w:val="nil"/>
              <w:right w:val="nil"/>
            </w:tcBorders>
            <w:shd w:val="clear" w:color="auto" w:fill="auto"/>
            <w:vAlign w:val="center"/>
            <w:hideMark/>
          </w:tcPr>
          <w:p w:rsidR="006431A7" w:rsidRDefault="006431A7">
            <w:pPr>
              <w:rPr>
                <w:rFonts w:ascii="Arial" w:hAnsi="Arial" w:cs="Arial"/>
                <w:color w:val="000000"/>
                <w:sz w:val="16"/>
                <w:szCs w:val="16"/>
              </w:rPr>
            </w:pPr>
            <w:r>
              <w:rPr>
                <w:rFonts w:ascii="Arial" w:hAnsi="Arial" w:cs="Arial"/>
                <w:color w:val="000000"/>
                <w:sz w:val="16"/>
                <w:szCs w:val="16"/>
              </w:rPr>
              <w:t>Otrzymane kredyty i pożyczki</w:t>
            </w:r>
          </w:p>
        </w:tc>
        <w:tc>
          <w:tcPr>
            <w:tcW w:w="0" w:type="auto"/>
            <w:tcBorders>
              <w:top w:val="nil"/>
              <w:left w:val="nil"/>
              <w:bottom w:val="nil"/>
              <w:right w:val="nil"/>
            </w:tcBorders>
            <w:shd w:val="clear" w:color="auto" w:fill="auto"/>
            <w:noWrap/>
            <w:vAlign w:val="center"/>
            <w:hideMark/>
          </w:tcPr>
          <w:p w:rsidR="006431A7" w:rsidRDefault="006431A7">
            <w:pPr>
              <w:jc w:val="right"/>
              <w:rPr>
                <w:rFonts w:ascii="Arial" w:hAnsi="Arial" w:cs="Arial"/>
                <w:sz w:val="16"/>
                <w:szCs w:val="16"/>
              </w:rPr>
            </w:pPr>
            <w:r>
              <w:rPr>
                <w:rFonts w:ascii="Arial" w:hAnsi="Arial" w:cs="Arial"/>
                <w:sz w:val="16"/>
                <w:szCs w:val="16"/>
              </w:rPr>
              <w:t>19 888</w:t>
            </w:r>
          </w:p>
        </w:tc>
        <w:tc>
          <w:tcPr>
            <w:tcW w:w="0" w:type="auto"/>
            <w:tcBorders>
              <w:top w:val="nil"/>
              <w:left w:val="nil"/>
              <w:bottom w:val="nil"/>
              <w:right w:val="nil"/>
            </w:tcBorders>
            <w:shd w:val="clear" w:color="auto" w:fill="auto"/>
            <w:noWrap/>
            <w:vAlign w:val="center"/>
            <w:hideMark/>
          </w:tcPr>
          <w:p w:rsidR="006431A7" w:rsidRDefault="006431A7">
            <w:pPr>
              <w:jc w:val="right"/>
              <w:rPr>
                <w:rFonts w:ascii="Arial" w:hAnsi="Arial" w:cs="Arial"/>
                <w:color w:val="000000"/>
                <w:sz w:val="16"/>
                <w:szCs w:val="16"/>
              </w:rPr>
            </w:pPr>
            <w:r>
              <w:rPr>
                <w:rFonts w:ascii="Arial" w:hAnsi="Arial" w:cs="Arial"/>
                <w:color w:val="000000"/>
                <w:sz w:val="16"/>
                <w:szCs w:val="16"/>
              </w:rPr>
              <w:t>10 821</w:t>
            </w:r>
          </w:p>
        </w:tc>
      </w:tr>
      <w:tr w:rsidR="006431A7" w:rsidTr="006431A7">
        <w:trPr>
          <w:trHeight w:val="315"/>
        </w:trPr>
        <w:tc>
          <w:tcPr>
            <w:tcW w:w="0" w:type="auto"/>
            <w:tcBorders>
              <w:top w:val="nil"/>
              <w:left w:val="nil"/>
              <w:bottom w:val="nil"/>
              <w:right w:val="nil"/>
            </w:tcBorders>
            <w:shd w:val="clear" w:color="auto" w:fill="auto"/>
            <w:vAlign w:val="center"/>
            <w:hideMark/>
          </w:tcPr>
          <w:p w:rsidR="006431A7" w:rsidRDefault="006431A7">
            <w:pPr>
              <w:rPr>
                <w:rFonts w:ascii="Arial" w:hAnsi="Arial" w:cs="Arial"/>
                <w:color w:val="000000"/>
                <w:sz w:val="16"/>
                <w:szCs w:val="16"/>
              </w:rPr>
            </w:pPr>
            <w:r>
              <w:rPr>
                <w:rFonts w:ascii="Arial" w:hAnsi="Arial" w:cs="Arial"/>
                <w:color w:val="000000"/>
                <w:sz w:val="16"/>
                <w:szCs w:val="16"/>
              </w:rPr>
              <w:t>Spłata kredytów i pożyczek</w:t>
            </w:r>
          </w:p>
        </w:tc>
        <w:tc>
          <w:tcPr>
            <w:tcW w:w="0" w:type="auto"/>
            <w:tcBorders>
              <w:top w:val="nil"/>
              <w:left w:val="nil"/>
              <w:bottom w:val="nil"/>
              <w:right w:val="nil"/>
            </w:tcBorders>
            <w:shd w:val="clear" w:color="auto" w:fill="auto"/>
            <w:noWrap/>
            <w:vAlign w:val="center"/>
            <w:hideMark/>
          </w:tcPr>
          <w:p w:rsidR="006431A7" w:rsidRDefault="006431A7">
            <w:pPr>
              <w:jc w:val="right"/>
              <w:rPr>
                <w:rFonts w:ascii="Arial" w:hAnsi="Arial" w:cs="Arial"/>
                <w:sz w:val="16"/>
                <w:szCs w:val="16"/>
              </w:rPr>
            </w:pPr>
            <w:r>
              <w:rPr>
                <w:rFonts w:ascii="Arial" w:hAnsi="Arial" w:cs="Arial"/>
                <w:sz w:val="16"/>
                <w:szCs w:val="16"/>
              </w:rPr>
              <w:t>-1 993</w:t>
            </w:r>
          </w:p>
        </w:tc>
        <w:tc>
          <w:tcPr>
            <w:tcW w:w="0" w:type="auto"/>
            <w:tcBorders>
              <w:top w:val="nil"/>
              <w:left w:val="nil"/>
              <w:bottom w:val="nil"/>
              <w:right w:val="nil"/>
            </w:tcBorders>
            <w:shd w:val="clear" w:color="auto" w:fill="auto"/>
            <w:noWrap/>
            <w:vAlign w:val="center"/>
            <w:hideMark/>
          </w:tcPr>
          <w:p w:rsidR="006431A7" w:rsidRDefault="006431A7">
            <w:pPr>
              <w:jc w:val="right"/>
              <w:rPr>
                <w:rFonts w:ascii="Arial" w:hAnsi="Arial" w:cs="Arial"/>
                <w:color w:val="000000"/>
                <w:sz w:val="16"/>
                <w:szCs w:val="16"/>
              </w:rPr>
            </w:pPr>
            <w:r>
              <w:rPr>
                <w:rFonts w:ascii="Arial" w:hAnsi="Arial" w:cs="Arial"/>
                <w:color w:val="000000"/>
                <w:sz w:val="16"/>
                <w:szCs w:val="16"/>
              </w:rPr>
              <w:t>-871</w:t>
            </w:r>
          </w:p>
        </w:tc>
      </w:tr>
      <w:tr w:rsidR="006431A7" w:rsidTr="006431A7">
        <w:trPr>
          <w:trHeight w:val="315"/>
        </w:trPr>
        <w:tc>
          <w:tcPr>
            <w:tcW w:w="0" w:type="auto"/>
            <w:tcBorders>
              <w:top w:val="nil"/>
              <w:left w:val="nil"/>
              <w:bottom w:val="nil"/>
              <w:right w:val="nil"/>
            </w:tcBorders>
            <w:shd w:val="clear" w:color="auto" w:fill="auto"/>
            <w:vAlign w:val="center"/>
            <w:hideMark/>
          </w:tcPr>
          <w:p w:rsidR="006431A7" w:rsidRDefault="006431A7">
            <w:pPr>
              <w:rPr>
                <w:rFonts w:ascii="Arial" w:hAnsi="Arial" w:cs="Arial"/>
                <w:color w:val="000000"/>
                <w:sz w:val="16"/>
                <w:szCs w:val="16"/>
              </w:rPr>
            </w:pPr>
            <w:r>
              <w:rPr>
                <w:rFonts w:ascii="Arial" w:hAnsi="Arial" w:cs="Arial"/>
                <w:color w:val="000000"/>
                <w:sz w:val="16"/>
                <w:szCs w:val="16"/>
              </w:rPr>
              <w:t>Płatności zobowiązań z tytułu leasingu finansowego</w:t>
            </w:r>
          </w:p>
        </w:tc>
        <w:tc>
          <w:tcPr>
            <w:tcW w:w="0" w:type="auto"/>
            <w:tcBorders>
              <w:top w:val="nil"/>
              <w:left w:val="nil"/>
              <w:bottom w:val="nil"/>
              <w:right w:val="nil"/>
            </w:tcBorders>
            <w:shd w:val="clear" w:color="auto" w:fill="auto"/>
            <w:noWrap/>
            <w:vAlign w:val="center"/>
            <w:hideMark/>
          </w:tcPr>
          <w:p w:rsidR="006431A7" w:rsidRDefault="006431A7">
            <w:pPr>
              <w:jc w:val="right"/>
              <w:rPr>
                <w:rFonts w:ascii="Arial" w:hAnsi="Arial" w:cs="Arial"/>
                <w:sz w:val="16"/>
                <w:szCs w:val="16"/>
              </w:rPr>
            </w:pPr>
            <w:r>
              <w:rPr>
                <w:rFonts w:ascii="Arial" w:hAnsi="Arial" w:cs="Arial"/>
                <w:sz w:val="16"/>
                <w:szCs w:val="16"/>
              </w:rPr>
              <w:t>-171</w:t>
            </w:r>
          </w:p>
        </w:tc>
        <w:tc>
          <w:tcPr>
            <w:tcW w:w="0" w:type="auto"/>
            <w:tcBorders>
              <w:top w:val="nil"/>
              <w:left w:val="nil"/>
              <w:bottom w:val="nil"/>
              <w:right w:val="nil"/>
            </w:tcBorders>
            <w:shd w:val="clear" w:color="auto" w:fill="auto"/>
            <w:noWrap/>
            <w:vAlign w:val="center"/>
            <w:hideMark/>
          </w:tcPr>
          <w:p w:rsidR="006431A7" w:rsidRDefault="006431A7">
            <w:pPr>
              <w:jc w:val="right"/>
              <w:rPr>
                <w:rFonts w:ascii="Arial" w:hAnsi="Arial" w:cs="Arial"/>
                <w:color w:val="000000"/>
                <w:sz w:val="16"/>
                <w:szCs w:val="16"/>
              </w:rPr>
            </w:pPr>
            <w:r>
              <w:rPr>
                <w:rFonts w:ascii="Arial" w:hAnsi="Arial" w:cs="Arial"/>
                <w:color w:val="000000"/>
                <w:sz w:val="16"/>
                <w:szCs w:val="16"/>
              </w:rPr>
              <w:t>-164</w:t>
            </w:r>
          </w:p>
        </w:tc>
      </w:tr>
      <w:tr w:rsidR="006431A7" w:rsidTr="006431A7">
        <w:trPr>
          <w:trHeight w:val="315"/>
        </w:trPr>
        <w:tc>
          <w:tcPr>
            <w:tcW w:w="0" w:type="auto"/>
            <w:tcBorders>
              <w:top w:val="nil"/>
              <w:left w:val="nil"/>
              <w:bottom w:val="nil"/>
              <w:right w:val="nil"/>
            </w:tcBorders>
            <w:shd w:val="clear" w:color="auto" w:fill="auto"/>
            <w:vAlign w:val="center"/>
            <w:hideMark/>
          </w:tcPr>
          <w:p w:rsidR="006431A7" w:rsidRDefault="006431A7">
            <w:pPr>
              <w:rPr>
                <w:rFonts w:ascii="Arial" w:hAnsi="Arial" w:cs="Arial"/>
                <w:color w:val="000000"/>
                <w:sz w:val="16"/>
                <w:szCs w:val="16"/>
              </w:rPr>
            </w:pPr>
            <w:r>
              <w:rPr>
                <w:rFonts w:ascii="Arial" w:hAnsi="Arial" w:cs="Arial"/>
                <w:color w:val="000000"/>
                <w:sz w:val="16"/>
                <w:szCs w:val="16"/>
              </w:rPr>
              <w:t xml:space="preserve">Kredyt dzienny  w </w:t>
            </w:r>
            <w:proofErr w:type="spellStart"/>
            <w:r>
              <w:rPr>
                <w:rFonts w:ascii="Arial" w:hAnsi="Arial" w:cs="Arial"/>
                <w:color w:val="000000"/>
                <w:sz w:val="16"/>
                <w:szCs w:val="16"/>
              </w:rPr>
              <w:t>cash</w:t>
            </w:r>
            <w:proofErr w:type="spellEnd"/>
            <w:r>
              <w:rPr>
                <w:rFonts w:ascii="Arial" w:hAnsi="Arial" w:cs="Arial"/>
                <w:color w:val="000000"/>
                <w:sz w:val="16"/>
                <w:szCs w:val="16"/>
              </w:rPr>
              <w:t xml:space="preserve"> </w:t>
            </w:r>
            <w:proofErr w:type="spellStart"/>
            <w:r>
              <w:rPr>
                <w:rFonts w:ascii="Arial" w:hAnsi="Arial" w:cs="Arial"/>
                <w:color w:val="000000"/>
                <w:sz w:val="16"/>
                <w:szCs w:val="16"/>
              </w:rPr>
              <w:t>poolingu</w:t>
            </w:r>
            <w:proofErr w:type="spellEnd"/>
          </w:p>
        </w:tc>
        <w:tc>
          <w:tcPr>
            <w:tcW w:w="0" w:type="auto"/>
            <w:tcBorders>
              <w:top w:val="nil"/>
              <w:left w:val="nil"/>
              <w:bottom w:val="nil"/>
              <w:right w:val="nil"/>
            </w:tcBorders>
            <w:shd w:val="clear" w:color="auto" w:fill="auto"/>
            <w:noWrap/>
            <w:vAlign w:val="center"/>
            <w:hideMark/>
          </w:tcPr>
          <w:p w:rsidR="006431A7" w:rsidRDefault="006431A7">
            <w:pPr>
              <w:jc w:val="right"/>
              <w:rPr>
                <w:rFonts w:ascii="Arial" w:hAnsi="Arial" w:cs="Arial"/>
                <w:sz w:val="16"/>
                <w:szCs w:val="16"/>
              </w:rPr>
            </w:pPr>
            <w:r>
              <w:rPr>
                <w:rFonts w:ascii="Arial" w:hAnsi="Arial" w:cs="Arial"/>
                <w:sz w:val="16"/>
                <w:szCs w:val="16"/>
              </w:rPr>
              <w:t>-3 240</w:t>
            </w:r>
          </w:p>
        </w:tc>
        <w:tc>
          <w:tcPr>
            <w:tcW w:w="0" w:type="auto"/>
            <w:tcBorders>
              <w:top w:val="nil"/>
              <w:left w:val="nil"/>
              <w:bottom w:val="nil"/>
              <w:right w:val="nil"/>
            </w:tcBorders>
            <w:shd w:val="clear" w:color="auto" w:fill="auto"/>
            <w:noWrap/>
            <w:vAlign w:val="center"/>
            <w:hideMark/>
          </w:tcPr>
          <w:p w:rsidR="006431A7" w:rsidRDefault="006431A7">
            <w:pPr>
              <w:jc w:val="right"/>
              <w:rPr>
                <w:rFonts w:ascii="Arial" w:hAnsi="Arial" w:cs="Arial"/>
                <w:color w:val="000000"/>
                <w:sz w:val="16"/>
                <w:szCs w:val="16"/>
              </w:rPr>
            </w:pPr>
            <w:r>
              <w:rPr>
                <w:rFonts w:ascii="Arial" w:hAnsi="Arial" w:cs="Arial"/>
                <w:color w:val="000000"/>
                <w:sz w:val="16"/>
                <w:szCs w:val="16"/>
              </w:rPr>
              <w:t>1 603</w:t>
            </w:r>
          </w:p>
        </w:tc>
      </w:tr>
      <w:tr w:rsidR="006431A7" w:rsidTr="006431A7">
        <w:trPr>
          <w:trHeight w:val="315"/>
        </w:trPr>
        <w:tc>
          <w:tcPr>
            <w:tcW w:w="0" w:type="auto"/>
            <w:tcBorders>
              <w:top w:val="nil"/>
              <w:left w:val="nil"/>
              <w:bottom w:val="nil"/>
              <w:right w:val="nil"/>
            </w:tcBorders>
            <w:shd w:val="clear" w:color="auto" w:fill="auto"/>
            <w:vAlign w:val="center"/>
            <w:hideMark/>
          </w:tcPr>
          <w:p w:rsidR="006431A7" w:rsidRDefault="006431A7">
            <w:pPr>
              <w:rPr>
                <w:rFonts w:ascii="Arial" w:hAnsi="Arial" w:cs="Arial"/>
                <w:color w:val="000000"/>
                <w:sz w:val="16"/>
                <w:szCs w:val="16"/>
              </w:rPr>
            </w:pPr>
            <w:r>
              <w:rPr>
                <w:rFonts w:ascii="Arial" w:hAnsi="Arial" w:cs="Arial"/>
                <w:color w:val="000000"/>
                <w:sz w:val="16"/>
                <w:szCs w:val="16"/>
              </w:rPr>
              <w:t>Odsetki zapłacone</w:t>
            </w:r>
          </w:p>
        </w:tc>
        <w:tc>
          <w:tcPr>
            <w:tcW w:w="0" w:type="auto"/>
            <w:tcBorders>
              <w:top w:val="nil"/>
              <w:left w:val="nil"/>
              <w:bottom w:val="nil"/>
              <w:right w:val="nil"/>
            </w:tcBorders>
            <w:shd w:val="clear" w:color="auto" w:fill="auto"/>
            <w:noWrap/>
            <w:vAlign w:val="center"/>
            <w:hideMark/>
          </w:tcPr>
          <w:p w:rsidR="006431A7" w:rsidRDefault="006431A7">
            <w:pPr>
              <w:jc w:val="right"/>
              <w:rPr>
                <w:rFonts w:ascii="Arial" w:hAnsi="Arial" w:cs="Arial"/>
                <w:sz w:val="16"/>
                <w:szCs w:val="16"/>
              </w:rPr>
            </w:pPr>
            <w:r>
              <w:rPr>
                <w:rFonts w:ascii="Arial" w:hAnsi="Arial" w:cs="Arial"/>
                <w:sz w:val="16"/>
                <w:szCs w:val="16"/>
              </w:rPr>
              <w:t>-874</w:t>
            </w:r>
          </w:p>
        </w:tc>
        <w:tc>
          <w:tcPr>
            <w:tcW w:w="0" w:type="auto"/>
            <w:tcBorders>
              <w:top w:val="nil"/>
              <w:left w:val="nil"/>
              <w:bottom w:val="nil"/>
              <w:right w:val="nil"/>
            </w:tcBorders>
            <w:shd w:val="clear" w:color="auto" w:fill="auto"/>
            <w:noWrap/>
            <w:vAlign w:val="center"/>
            <w:hideMark/>
          </w:tcPr>
          <w:p w:rsidR="006431A7" w:rsidRDefault="006431A7">
            <w:pPr>
              <w:jc w:val="right"/>
              <w:rPr>
                <w:rFonts w:ascii="Arial" w:hAnsi="Arial" w:cs="Arial"/>
                <w:color w:val="000000"/>
                <w:sz w:val="16"/>
                <w:szCs w:val="16"/>
              </w:rPr>
            </w:pPr>
            <w:r>
              <w:rPr>
                <w:rFonts w:ascii="Arial" w:hAnsi="Arial" w:cs="Arial"/>
                <w:color w:val="000000"/>
                <w:sz w:val="16"/>
                <w:szCs w:val="16"/>
              </w:rPr>
              <w:t>-426</w:t>
            </w:r>
          </w:p>
        </w:tc>
      </w:tr>
      <w:tr w:rsidR="006431A7" w:rsidTr="006431A7">
        <w:trPr>
          <w:trHeight w:val="315"/>
        </w:trPr>
        <w:tc>
          <w:tcPr>
            <w:tcW w:w="0" w:type="auto"/>
            <w:tcBorders>
              <w:top w:val="nil"/>
              <w:left w:val="nil"/>
              <w:bottom w:val="nil"/>
              <w:right w:val="nil"/>
            </w:tcBorders>
            <w:shd w:val="clear" w:color="auto" w:fill="auto"/>
            <w:vAlign w:val="center"/>
            <w:hideMark/>
          </w:tcPr>
          <w:p w:rsidR="006431A7" w:rsidRDefault="006431A7">
            <w:pPr>
              <w:rPr>
                <w:rFonts w:ascii="Arial" w:hAnsi="Arial" w:cs="Arial"/>
                <w:color w:val="000000"/>
                <w:sz w:val="16"/>
                <w:szCs w:val="16"/>
              </w:rPr>
            </w:pPr>
            <w:r>
              <w:rPr>
                <w:rFonts w:ascii="Arial" w:hAnsi="Arial" w:cs="Arial"/>
                <w:color w:val="000000"/>
                <w:sz w:val="16"/>
                <w:szCs w:val="16"/>
              </w:rPr>
              <w:t xml:space="preserve">Inne wpływy/wydatki finansowe </w:t>
            </w:r>
          </w:p>
        </w:tc>
        <w:tc>
          <w:tcPr>
            <w:tcW w:w="0" w:type="auto"/>
            <w:tcBorders>
              <w:top w:val="nil"/>
              <w:left w:val="nil"/>
              <w:bottom w:val="nil"/>
              <w:right w:val="nil"/>
            </w:tcBorders>
            <w:shd w:val="clear" w:color="auto" w:fill="auto"/>
            <w:noWrap/>
            <w:vAlign w:val="center"/>
            <w:hideMark/>
          </w:tcPr>
          <w:p w:rsidR="006431A7" w:rsidRDefault="006431A7">
            <w:pPr>
              <w:jc w:val="right"/>
              <w:rPr>
                <w:rFonts w:ascii="Arial" w:hAnsi="Arial" w:cs="Arial"/>
                <w:sz w:val="16"/>
                <w:szCs w:val="16"/>
              </w:rPr>
            </w:pPr>
            <w:r>
              <w:rPr>
                <w:rFonts w:ascii="Arial" w:hAnsi="Arial" w:cs="Arial"/>
                <w:sz w:val="16"/>
                <w:szCs w:val="16"/>
              </w:rPr>
              <w:t>589</w:t>
            </w:r>
          </w:p>
        </w:tc>
        <w:tc>
          <w:tcPr>
            <w:tcW w:w="0" w:type="auto"/>
            <w:tcBorders>
              <w:top w:val="nil"/>
              <w:left w:val="nil"/>
              <w:bottom w:val="nil"/>
              <w:right w:val="nil"/>
            </w:tcBorders>
            <w:shd w:val="clear" w:color="auto" w:fill="auto"/>
            <w:noWrap/>
            <w:vAlign w:val="center"/>
            <w:hideMark/>
          </w:tcPr>
          <w:p w:rsidR="006431A7" w:rsidRDefault="006431A7">
            <w:pPr>
              <w:jc w:val="right"/>
              <w:rPr>
                <w:rFonts w:ascii="Arial" w:hAnsi="Arial" w:cs="Arial"/>
                <w:color w:val="000000"/>
                <w:sz w:val="16"/>
                <w:szCs w:val="16"/>
              </w:rPr>
            </w:pPr>
            <w:r>
              <w:rPr>
                <w:rFonts w:ascii="Arial" w:hAnsi="Arial" w:cs="Arial"/>
                <w:color w:val="000000"/>
                <w:sz w:val="16"/>
                <w:szCs w:val="16"/>
              </w:rPr>
              <w:t xml:space="preserve"> -</w:t>
            </w:r>
          </w:p>
        </w:tc>
      </w:tr>
      <w:tr w:rsidR="006431A7" w:rsidTr="006431A7">
        <w:trPr>
          <w:trHeight w:val="315"/>
        </w:trPr>
        <w:tc>
          <w:tcPr>
            <w:tcW w:w="0" w:type="auto"/>
            <w:tcBorders>
              <w:top w:val="single" w:sz="8" w:space="0" w:color="auto"/>
              <w:left w:val="nil"/>
              <w:bottom w:val="single" w:sz="8" w:space="0" w:color="auto"/>
              <w:right w:val="nil"/>
            </w:tcBorders>
            <w:shd w:val="clear" w:color="auto" w:fill="auto"/>
            <w:vAlign w:val="center"/>
            <w:hideMark/>
          </w:tcPr>
          <w:p w:rsidR="006431A7" w:rsidRDefault="006431A7">
            <w:pPr>
              <w:rPr>
                <w:rFonts w:ascii="Arial" w:hAnsi="Arial" w:cs="Arial"/>
                <w:b/>
                <w:bCs/>
                <w:color w:val="000000"/>
                <w:sz w:val="16"/>
                <w:szCs w:val="16"/>
              </w:rPr>
            </w:pPr>
            <w:r>
              <w:rPr>
                <w:rFonts w:ascii="Arial" w:hAnsi="Arial" w:cs="Arial"/>
                <w:b/>
                <w:bCs/>
                <w:color w:val="000000"/>
                <w:sz w:val="16"/>
                <w:szCs w:val="16"/>
              </w:rPr>
              <w:t>Przepływy pieniężne netto z działalności finansowej</w:t>
            </w:r>
          </w:p>
        </w:tc>
        <w:tc>
          <w:tcPr>
            <w:tcW w:w="0" w:type="auto"/>
            <w:tcBorders>
              <w:top w:val="single" w:sz="8" w:space="0" w:color="auto"/>
              <w:left w:val="nil"/>
              <w:bottom w:val="single" w:sz="8" w:space="0" w:color="auto"/>
              <w:right w:val="nil"/>
            </w:tcBorders>
            <w:shd w:val="clear" w:color="auto" w:fill="auto"/>
            <w:noWrap/>
            <w:vAlign w:val="center"/>
            <w:hideMark/>
          </w:tcPr>
          <w:p w:rsidR="006431A7" w:rsidRDefault="006431A7">
            <w:pPr>
              <w:jc w:val="right"/>
              <w:rPr>
                <w:rFonts w:ascii="Arial" w:hAnsi="Arial" w:cs="Arial"/>
                <w:b/>
                <w:bCs/>
                <w:sz w:val="16"/>
                <w:szCs w:val="16"/>
              </w:rPr>
            </w:pPr>
            <w:r>
              <w:rPr>
                <w:rFonts w:ascii="Arial" w:hAnsi="Arial" w:cs="Arial"/>
                <w:b/>
                <w:bCs/>
                <w:sz w:val="16"/>
                <w:szCs w:val="16"/>
              </w:rPr>
              <w:t>14 199</w:t>
            </w:r>
          </w:p>
        </w:tc>
        <w:tc>
          <w:tcPr>
            <w:tcW w:w="0" w:type="auto"/>
            <w:tcBorders>
              <w:top w:val="single" w:sz="8" w:space="0" w:color="auto"/>
              <w:left w:val="nil"/>
              <w:bottom w:val="single" w:sz="8" w:space="0" w:color="auto"/>
              <w:right w:val="nil"/>
            </w:tcBorders>
            <w:shd w:val="clear" w:color="auto" w:fill="auto"/>
            <w:noWrap/>
            <w:vAlign w:val="center"/>
            <w:hideMark/>
          </w:tcPr>
          <w:p w:rsidR="006431A7" w:rsidRDefault="006431A7">
            <w:pPr>
              <w:jc w:val="right"/>
              <w:rPr>
                <w:rFonts w:ascii="Arial" w:hAnsi="Arial" w:cs="Arial"/>
                <w:b/>
                <w:bCs/>
                <w:color w:val="000000"/>
                <w:sz w:val="16"/>
                <w:szCs w:val="16"/>
              </w:rPr>
            </w:pPr>
            <w:r>
              <w:rPr>
                <w:rFonts w:ascii="Arial" w:hAnsi="Arial" w:cs="Arial"/>
                <w:b/>
                <w:bCs/>
                <w:color w:val="000000"/>
                <w:sz w:val="16"/>
                <w:szCs w:val="16"/>
              </w:rPr>
              <w:t>10 963</w:t>
            </w:r>
          </w:p>
        </w:tc>
      </w:tr>
      <w:tr w:rsidR="006431A7" w:rsidTr="006431A7">
        <w:trPr>
          <w:trHeight w:val="525"/>
        </w:trPr>
        <w:tc>
          <w:tcPr>
            <w:tcW w:w="0" w:type="auto"/>
            <w:tcBorders>
              <w:top w:val="nil"/>
              <w:left w:val="nil"/>
              <w:bottom w:val="nil"/>
              <w:right w:val="nil"/>
            </w:tcBorders>
            <w:shd w:val="clear" w:color="auto" w:fill="auto"/>
            <w:vAlign w:val="center"/>
            <w:hideMark/>
          </w:tcPr>
          <w:p w:rsidR="006431A7" w:rsidRDefault="006431A7">
            <w:pPr>
              <w:rPr>
                <w:rFonts w:ascii="Arial" w:hAnsi="Arial" w:cs="Arial"/>
                <w:color w:val="000000"/>
                <w:sz w:val="16"/>
                <w:szCs w:val="16"/>
              </w:rPr>
            </w:pPr>
            <w:r>
              <w:rPr>
                <w:rFonts w:ascii="Arial" w:hAnsi="Arial" w:cs="Arial"/>
                <w:color w:val="000000"/>
                <w:sz w:val="16"/>
                <w:szCs w:val="16"/>
              </w:rPr>
              <w:t>(Zmniejszenie/Zwiększenie) netto stanu środków pieniężnych i ekwiwalentów środków pieniężnych</w:t>
            </w:r>
          </w:p>
        </w:tc>
        <w:tc>
          <w:tcPr>
            <w:tcW w:w="0" w:type="auto"/>
            <w:tcBorders>
              <w:top w:val="nil"/>
              <w:left w:val="nil"/>
              <w:bottom w:val="nil"/>
              <w:right w:val="nil"/>
            </w:tcBorders>
            <w:shd w:val="clear" w:color="auto" w:fill="auto"/>
            <w:noWrap/>
            <w:vAlign w:val="center"/>
            <w:hideMark/>
          </w:tcPr>
          <w:p w:rsidR="006431A7" w:rsidRDefault="006431A7">
            <w:pPr>
              <w:jc w:val="right"/>
              <w:rPr>
                <w:rFonts w:ascii="Arial" w:hAnsi="Arial" w:cs="Arial"/>
                <w:sz w:val="16"/>
                <w:szCs w:val="16"/>
              </w:rPr>
            </w:pPr>
            <w:r>
              <w:rPr>
                <w:rFonts w:ascii="Arial" w:hAnsi="Arial" w:cs="Arial"/>
                <w:sz w:val="16"/>
                <w:szCs w:val="16"/>
              </w:rPr>
              <w:t>8 334</w:t>
            </w:r>
          </w:p>
        </w:tc>
        <w:tc>
          <w:tcPr>
            <w:tcW w:w="0" w:type="auto"/>
            <w:tcBorders>
              <w:top w:val="nil"/>
              <w:left w:val="nil"/>
              <w:bottom w:val="nil"/>
              <w:right w:val="nil"/>
            </w:tcBorders>
            <w:shd w:val="clear" w:color="auto" w:fill="auto"/>
            <w:noWrap/>
            <w:vAlign w:val="center"/>
            <w:hideMark/>
          </w:tcPr>
          <w:p w:rsidR="006431A7" w:rsidRDefault="006431A7">
            <w:pPr>
              <w:jc w:val="right"/>
              <w:rPr>
                <w:rFonts w:ascii="Arial" w:hAnsi="Arial" w:cs="Arial"/>
                <w:color w:val="000000"/>
                <w:sz w:val="16"/>
                <w:szCs w:val="16"/>
              </w:rPr>
            </w:pPr>
            <w:r>
              <w:rPr>
                <w:rFonts w:ascii="Arial" w:hAnsi="Arial" w:cs="Arial"/>
                <w:color w:val="000000"/>
                <w:sz w:val="16"/>
                <w:szCs w:val="16"/>
              </w:rPr>
              <w:t>-21 755</w:t>
            </w:r>
          </w:p>
        </w:tc>
      </w:tr>
      <w:tr w:rsidR="006431A7" w:rsidTr="006431A7">
        <w:trPr>
          <w:trHeight w:val="315"/>
        </w:trPr>
        <w:tc>
          <w:tcPr>
            <w:tcW w:w="0" w:type="auto"/>
            <w:tcBorders>
              <w:top w:val="single" w:sz="8" w:space="0" w:color="auto"/>
              <w:left w:val="nil"/>
              <w:bottom w:val="nil"/>
              <w:right w:val="nil"/>
            </w:tcBorders>
            <w:shd w:val="clear" w:color="auto" w:fill="auto"/>
            <w:noWrap/>
            <w:vAlign w:val="center"/>
            <w:hideMark/>
          </w:tcPr>
          <w:p w:rsidR="006431A7" w:rsidRDefault="006431A7">
            <w:pPr>
              <w:rPr>
                <w:rFonts w:ascii="Arial" w:hAnsi="Arial" w:cs="Arial"/>
                <w:color w:val="000000"/>
                <w:sz w:val="16"/>
                <w:szCs w:val="16"/>
              </w:rPr>
            </w:pPr>
            <w:r>
              <w:rPr>
                <w:rFonts w:ascii="Arial" w:hAnsi="Arial" w:cs="Arial"/>
                <w:color w:val="000000"/>
                <w:sz w:val="16"/>
                <w:szCs w:val="16"/>
              </w:rPr>
              <w:t xml:space="preserve">Różnice kursowe z tytułu wyceny środków pieniężnych  </w:t>
            </w:r>
          </w:p>
        </w:tc>
        <w:tc>
          <w:tcPr>
            <w:tcW w:w="0" w:type="auto"/>
            <w:tcBorders>
              <w:top w:val="single" w:sz="8" w:space="0" w:color="auto"/>
              <w:left w:val="nil"/>
              <w:bottom w:val="nil"/>
              <w:right w:val="nil"/>
            </w:tcBorders>
            <w:shd w:val="clear" w:color="auto" w:fill="auto"/>
            <w:noWrap/>
            <w:vAlign w:val="center"/>
            <w:hideMark/>
          </w:tcPr>
          <w:p w:rsidR="006431A7" w:rsidRDefault="006431A7">
            <w:pPr>
              <w:jc w:val="right"/>
              <w:rPr>
                <w:rFonts w:ascii="Arial" w:hAnsi="Arial" w:cs="Arial"/>
                <w:sz w:val="16"/>
                <w:szCs w:val="16"/>
              </w:rPr>
            </w:pPr>
            <w:r>
              <w:rPr>
                <w:rFonts w:ascii="Arial" w:hAnsi="Arial" w:cs="Arial"/>
                <w:sz w:val="16"/>
                <w:szCs w:val="16"/>
              </w:rPr>
              <w:t>12</w:t>
            </w:r>
          </w:p>
        </w:tc>
        <w:tc>
          <w:tcPr>
            <w:tcW w:w="0" w:type="auto"/>
            <w:tcBorders>
              <w:top w:val="single" w:sz="8" w:space="0" w:color="auto"/>
              <w:left w:val="nil"/>
              <w:bottom w:val="nil"/>
              <w:right w:val="nil"/>
            </w:tcBorders>
            <w:shd w:val="clear" w:color="auto" w:fill="auto"/>
            <w:noWrap/>
            <w:vAlign w:val="center"/>
            <w:hideMark/>
          </w:tcPr>
          <w:p w:rsidR="006431A7" w:rsidRDefault="006431A7">
            <w:pPr>
              <w:jc w:val="right"/>
              <w:rPr>
                <w:rFonts w:ascii="Arial" w:hAnsi="Arial" w:cs="Arial"/>
                <w:color w:val="000000"/>
                <w:sz w:val="16"/>
                <w:szCs w:val="16"/>
              </w:rPr>
            </w:pPr>
            <w:r>
              <w:rPr>
                <w:rFonts w:ascii="Arial" w:hAnsi="Arial" w:cs="Arial"/>
                <w:color w:val="000000"/>
                <w:sz w:val="16"/>
                <w:szCs w:val="16"/>
              </w:rPr>
              <w:t>35</w:t>
            </w:r>
          </w:p>
        </w:tc>
      </w:tr>
      <w:tr w:rsidR="006431A7" w:rsidTr="006431A7">
        <w:trPr>
          <w:trHeight w:val="540"/>
        </w:trPr>
        <w:tc>
          <w:tcPr>
            <w:tcW w:w="0" w:type="auto"/>
            <w:tcBorders>
              <w:top w:val="single" w:sz="8" w:space="0" w:color="auto"/>
              <w:left w:val="nil"/>
              <w:bottom w:val="single" w:sz="8" w:space="0" w:color="auto"/>
              <w:right w:val="nil"/>
            </w:tcBorders>
            <w:shd w:val="clear" w:color="auto" w:fill="auto"/>
            <w:vAlign w:val="center"/>
            <w:hideMark/>
          </w:tcPr>
          <w:p w:rsidR="006431A7" w:rsidRDefault="006431A7">
            <w:pPr>
              <w:rPr>
                <w:rFonts w:ascii="Arial" w:hAnsi="Arial" w:cs="Arial"/>
                <w:b/>
                <w:bCs/>
                <w:color w:val="000000"/>
                <w:sz w:val="16"/>
                <w:szCs w:val="16"/>
              </w:rPr>
            </w:pPr>
            <w:r>
              <w:rPr>
                <w:rFonts w:ascii="Arial" w:hAnsi="Arial" w:cs="Arial"/>
                <w:b/>
                <w:bCs/>
                <w:color w:val="000000"/>
                <w:sz w:val="16"/>
                <w:szCs w:val="16"/>
              </w:rPr>
              <w:t xml:space="preserve"> Stan środków pieniężnych i ekwiwalentów środków pieniężnych  na początek okresu</w:t>
            </w:r>
          </w:p>
        </w:tc>
        <w:tc>
          <w:tcPr>
            <w:tcW w:w="0" w:type="auto"/>
            <w:tcBorders>
              <w:top w:val="single" w:sz="8" w:space="0" w:color="auto"/>
              <w:left w:val="nil"/>
              <w:bottom w:val="single" w:sz="8" w:space="0" w:color="auto"/>
              <w:right w:val="nil"/>
            </w:tcBorders>
            <w:shd w:val="clear" w:color="auto" w:fill="auto"/>
            <w:noWrap/>
            <w:vAlign w:val="center"/>
            <w:hideMark/>
          </w:tcPr>
          <w:p w:rsidR="006431A7" w:rsidRDefault="006431A7">
            <w:pPr>
              <w:jc w:val="right"/>
              <w:rPr>
                <w:rFonts w:ascii="Arial" w:hAnsi="Arial" w:cs="Arial"/>
                <w:b/>
                <w:bCs/>
                <w:sz w:val="16"/>
                <w:szCs w:val="16"/>
              </w:rPr>
            </w:pPr>
            <w:r>
              <w:rPr>
                <w:rFonts w:ascii="Arial" w:hAnsi="Arial" w:cs="Arial"/>
                <w:b/>
                <w:bCs/>
                <w:sz w:val="16"/>
                <w:szCs w:val="16"/>
              </w:rPr>
              <w:t>1 356</w:t>
            </w:r>
          </w:p>
        </w:tc>
        <w:tc>
          <w:tcPr>
            <w:tcW w:w="0" w:type="auto"/>
            <w:tcBorders>
              <w:top w:val="single" w:sz="8" w:space="0" w:color="auto"/>
              <w:left w:val="nil"/>
              <w:bottom w:val="single" w:sz="8" w:space="0" w:color="auto"/>
              <w:right w:val="nil"/>
            </w:tcBorders>
            <w:shd w:val="clear" w:color="auto" w:fill="auto"/>
            <w:noWrap/>
            <w:vAlign w:val="center"/>
            <w:hideMark/>
          </w:tcPr>
          <w:p w:rsidR="006431A7" w:rsidRDefault="006431A7">
            <w:pPr>
              <w:jc w:val="right"/>
              <w:rPr>
                <w:rFonts w:ascii="Arial" w:hAnsi="Arial" w:cs="Arial"/>
                <w:b/>
                <w:bCs/>
                <w:color w:val="000000"/>
                <w:sz w:val="16"/>
                <w:szCs w:val="16"/>
              </w:rPr>
            </w:pPr>
            <w:r>
              <w:rPr>
                <w:rFonts w:ascii="Arial" w:hAnsi="Arial" w:cs="Arial"/>
                <w:b/>
                <w:bCs/>
                <w:color w:val="000000"/>
                <w:sz w:val="16"/>
                <w:szCs w:val="16"/>
              </w:rPr>
              <w:t>22 439</w:t>
            </w:r>
          </w:p>
        </w:tc>
      </w:tr>
      <w:tr w:rsidR="006431A7" w:rsidTr="006431A7">
        <w:trPr>
          <w:trHeight w:val="555"/>
        </w:trPr>
        <w:tc>
          <w:tcPr>
            <w:tcW w:w="0" w:type="auto"/>
            <w:tcBorders>
              <w:top w:val="nil"/>
              <w:left w:val="nil"/>
              <w:bottom w:val="single" w:sz="8" w:space="0" w:color="auto"/>
              <w:right w:val="nil"/>
            </w:tcBorders>
            <w:shd w:val="clear" w:color="auto" w:fill="auto"/>
            <w:vAlign w:val="center"/>
            <w:hideMark/>
          </w:tcPr>
          <w:p w:rsidR="006431A7" w:rsidRDefault="006431A7">
            <w:pPr>
              <w:rPr>
                <w:rFonts w:ascii="Arial" w:hAnsi="Arial" w:cs="Arial"/>
                <w:b/>
                <w:bCs/>
                <w:color w:val="000000"/>
                <w:sz w:val="16"/>
                <w:szCs w:val="16"/>
              </w:rPr>
            </w:pPr>
            <w:r>
              <w:rPr>
                <w:rFonts w:ascii="Arial" w:hAnsi="Arial" w:cs="Arial"/>
                <w:b/>
                <w:bCs/>
                <w:color w:val="000000"/>
                <w:sz w:val="16"/>
                <w:szCs w:val="16"/>
              </w:rPr>
              <w:t>Stan środków pieniężnych i ekwiwalentów środków pieniężnych  na koniec roku</w:t>
            </w:r>
          </w:p>
        </w:tc>
        <w:tc>
          <w:tcPr>
            <w:tcW w:w="0" w:type="auto"/>
            <w:tcBorders>
              <w:top w:val="nil"/>
              <w:left w:val="nil"/>
              <w:bottom w:val="single" w:sz="8" w:space="0" w:color="auto"/>
              <w:right w:val="nil"/>
            </w:tcBorders>
            <w:shd w:val="clear" w:color="auto" w:fill="auto"/>
            <w:noWrap/>
            <w:vAlign w:val="center"/>
            <w:hideMark/>
          </w:tcPr>
          <w:p w:rsidR="006431A7" w:rsidRDefault="006431A7">
            <w:pPr>
              <w:jc w:val="right"/>
              <w:rPr>
                <w:rFonts w:ascii="Arial" w:hAnsi="Arial" w:cs="Arial"/>
                <w:b/>
                <w:bCs/>
                <w:sz w:val="16"/>
                <w:szCs w:val="16"/>
              </w:rPr>
            </w:pPr>
            <w:r>
              <w:rPr>
                <w:rFonts w:ascii="Arial" w:hAnsi="Arial" w:cs="Arial"/>
                <w:b/>
                <w:bCs/>
                <w:sz w:val="16"/>
                <w:szCs w:val="16"/>
              </w:rPr>
              <w:t>9 702</w:t>
            </w:r>
          </w:p>
        </w:tc>
        <w:tc>
          <w:tcPr>
            <w:tcW w:w="0" w:type="auto"/>
            <w:tcBorders>
              <w:top w:val="nil"/>
              <w:left w:val="nil"/>
              <w:bottom w:val="single" w:sz="8" w:space="0" w:color="auto"/>
              <w:right w:val="nil"/>
            </w:tcBorders>
            <w:shd w:val="clear" w:color="auto" w:fill="auto"/>
            <w:noWrap/>
            <w:vAlign w:val="center"/>
            <w:hideMark/>
          </w:tcPr>
          <w:p w:rsidR="006431A7" w:rsidRDefault="006431A7">
            <w:pPr>
              <w:jc w:val="right"/>
              <w:rPr>
                <w:rFonts w:ascii="Arial" w:hAnsi="Arial" w:cs="Arial"/>
                <w:b/>
                <w:bCs/>
                <w:color w:val="000000"/>
                <w:sz w:val="16"/>
                <w:szCs w:val="16"/>
              </w:rPr>
            </w:pPr>
            <w:r>
              <w:rPr>
                <w:rFonts w:ascii="Arial" w:hAnsi="Arial" w:cs="Arial"/>
                <w:b/>
                <w:bCs/>
                <w:color w:val="000000"/>
                <w:sz w:val="16"/>
                <w:szCs w:val="16"/>
              </w:rPr>
              <w:t>719</w:t>
            </w:r>
          </w:p>
        </w:tc>
      </w:tr>
    </w:tbl>
    <w:p w:rsidR="006418A8" w:rsidRPr="00F31D8E" w:rsidRDefault="006418A8" w:rsidP="006418A8">
      <w:pPr>
        <w:pStyle w:val="Tytu"/>
        <w:tabs>
          <w:tab w:val="left" w:pos="540"/>
        </w:tabs>
        <w:rPr>
          <w:szCs w:val="20"/>
        </w:rPr>
      </w:pPr>
      <w:r w:rsidRPr="00F31D8E">
        <w:br w:type="page"/>
      </w:r>
      <w:r w:rsidRPr="00F31D8E">
        <w:lastRenderedPageBreak/>
        <w:t xml:space="preserve">Wybrane dane </w:t>
      </w:r>
      <w:r w:rsidRPr="00F31D8E">
        <w:rPr>
          <w:szCs w:val="20"/>
        </w:rPr>
        <w:t xml:space="preserve">objaśniające do śródrocznego skróconego jednostkowego </w:t>
      </w:r>
      <w:r w:rsidR="00017733" w:rsidRPr="00F31D8E">
        <w:rPr>
          <w:szCs w:val="20"/>
        </w:rPr>
        <w:br/>
      </w:r>
      <w:r w:rsidRPr="00F31D8E">
        <w:rPr>
          <w:szCs w:val="20"/>
        </w:rPr>
        <w:t xml:space="preserve">sprawozdania finansowego INTERFERIE S.A. </w:t>
      </w:r>
      <w:r w:rsidR="00017733" w:rsidRPr="00F31D8E">
        <w:rPr>
          <w:szCs w:val="20"/>
        </w:rPr>
        <w:br/>
      </w:r>
      <w:r w:rsidRPr="00F31D8E">
        <w:rPr>
          <w:szCs w:val="20"/>
        </w:rPr>
        <w:t xml:space="preserve">sporządzonego za okres </w:t>
      </w:r>
      <w:r w:rsidR="00017733" w:rsidRPr="00F31D8E">
        <w:rPr>
          <w:szCs w:val="20"/>
        </w:rPr>
        <w:t>dziewięciu</w:t>
      </w:r>
      <w:r w:rsidRPr="00F31D8E">
        <w:rPr>
          <w:szCs w:val="20"/>
        </w:rPr>
        <w:t xml:space="preserve"> miesięcy zakończonych 30 września </w:t>
      </w:r>
      <w:r w:rsidR="002057E7">
        <w:rPr>
          <w:szCs w:val="20"/>
        </w:rPr>
        <w:t>202</w:t>
      </w:r>
      <w:r w:rsidR="006915D0">
        <w:rPr>
          <w:szCs w:val="20"/>
        </w:rPr>
        <w:t>1</w:t>
      </w:r>
      <w:r w:rsidRPr="00F31D8E">
        <w:rPr>
          <w:szCs w:val="20"/>
        </w:rPr>
        <w:t xml:space="preserve"> roku</w:t>
      </w:r>
    </w:p>
    <w:p w:rsidR="006418A8" w:rsidRPr="00F31D8E" w:rsidRDefault="006418A8" w:rsidP="006418A8">
      <w:pPr>
        <w:tabs>
          <w:tab w:val="left" w:pos="540"/>
        </w:tabs>
        <w:spacing w:line="260" w:lineRule="exact"/>
        <w:jc w:val="both"/>
        <w:rPr>
          <w:rFonts w:ascii="Arial" w:hAnsi="Arial" w:cs="Arial"/>
        </w:rPr>
      </w:pPr>
    </w:p>
    <w:p w:rsidR="006418A8" w:rsidRDefault="006418A8" w:rsidP="006418A8">
      <w:pPr>
        <w:tabs>
          <w:tab w:val="left" w:pos="540"/>
        </w:tabs>
        <w:spacing w:line="260" w:lineRule="exact"/>
        <w:jc w:val="both"/>
        <w:rPr>
          <w:rFonts w:ascii="Arial" w:hAnsi="Arial" w:cs="Arial"/>
          <w:i/>
          <w:sz w:val="18"/>
          <w:szCs w:val="18"/>
        </w:rPr>
      </w:pPr>
    </w:p>
    <w:p w:rsidR="005D3822" w:rsidRPr="00F31D8E" w:rsidRDefault="005D3822" w:rsidP="005D3822">
      <w:pPr>
        <w:tabs>
          <w:tab w:val="left" w:pos="540"/>
        </w:tabs>
        <w:spacing w:line="260" w:lineRule="exact"/>
        <w:jc w:val="both"/>
        <w:rPr>
          <w:rFonts w:ascii="Arial" w:hAnsi="Arial" w:cs="Arial"/>
          <w:b/>
          <w:bCs/>
          <w:sz w:val="18"/>
          <w:szCs w:val="18"/>
        </w:rPr>
      </w:pPr>
      <w:r w:rsidRPr="00F31D8E">
        <w:rPr>
          <w:rFonts w:ascii="Arial" w:hAnsi="Arial" w:cs="Arial"/>
          <w:b/>
          <w:bCs/>
          <w:sz w:val="18"/>
          <w:szCs w:val="18"/>
        </w:rPr>
        <w:t>I    Podstawa sporządzenia i stosowane zasady rachunkowości.</w:t>
      </w:r>
    </w:p>
    <w:p w:rsidR="005D3822" w:rsidRPr="00F31D8E" w:rsidRDefault="005D3822" w:rsidP="005D3822">
      <w:pPr>
        <w:tabs>
          <w:tab w:val="left" w:pos="540"/>
        </w:tabs>
        <w:spacing w:line="260" w:lineRule="exact"/>
        <w:jc w:val="both"/>
        <w:rPr>
          <w:rFonts w:ascii="Arial" w:hAnsi="Arial" w:cs="Arial"/>
          <w:sz w:val="18"/>
          <w:szCs w:val="18"/>
        </w:rPr>
      </w:pPr>
    </w:p>
    <w:p w:rsidR="005D3822" w:rsidRPr="00F31D8E" w:rsidRDefault="005D3822" w:rsidP="005D3822">
      <w:pPr>
        <w:tabs>
          <w:tab w:val="left" w:pos="540"/>
        </w:tabs>
        <w:spacing w:line="260" w:lineRule="exact"/>
        <w:jc w:val="both"/>
        <w:rPr>
          <w:rFonts w:ascii="Arial" w:hAnsi="Arial" w:cs="Arial"/>
          <w:b/>
          <w:bCs/>
          <w:i/>
          <w:iCs/>
          <w:sz w:val="18"/>
          <w:szCs w:val="18"/>
        </w:rPr>
      </w:pPr>
      <w:r w:rsidRPr="00F31D8E">
        <w:rPr>
          <w:rFonts w:ascii="Arial" w:hAnsi="Arial" w:cs="Arial"/>
          <w:b/>
          <w:bCs/>
          <w:i/>
          <w:iCs/>
          <w:sz w:val="18"/>
          <w:szCs w:val="18"/>
        </w:rPr>
        <w:t>1. Wstęp.</w:t>
      </w:r>
    </w:p>
    <w:p w:rsidR="005D3822" w:rsidRPr="00F31D8E" w:rsidRDefault="005D3822" w:rsidP="005D3822">
      <w:pPr>
        <w:tabs>
          <w:tab w:val="left" w:pos="540"/>
        </w:tabs>
        <w:spacing w:line="260" w:lineRule="exact"/>
        <w:jc w:val="both"/>
        <w:rPr>
          <w:rFonts w:ascii="Arial" w:hAnsi="Arial" w:cs="Arial"/>
          <w:i/>
          <w:sz w:val="18"/>
          <w:szCs w:val="18"/>
        </w:rPr>
      </w:pPr>
    </w:p>
    <w:p w:rsidR="005D3822" w:rsidRPr="00491116" w:rsidRDefault="005D3822" w:rsidP="005D3822">
      <w:pPr>
        <w:tabs>
          <w:tab w:val="left" w:pos="540"/>
        </w:tabs>
        <w:spacing w:line="260" w:lineRule="exact"/>
        <w:jc w:val="both"/>
        <w:rPr>
          <w:rFonts w:ascii="Arial" w:hAnsi="Arial" w:cs="Arial"/>
          <w:sz w:val="18"/>
          <w:szCs w:val="18"/>
        </w:rPr>
      </w:pPr>
      <w:r w:rsidRPr="00491116">
        <w:rPr>
          <w:rFonts w:ascii="Arial" w:hAnsi="Arial" w:cs="Arial"/>
          <w:sz w:val="18"/>
          <w:szCs w:val="18"/>
        </w:rPr>
        <w:t>Prezentowany raport śródroczny zawiera śródroczne skrócone jednostkowe sprawozdanie finansowe. Sporządzony jest za następujące okresy:</w:t>
      </w:r>
    </w:p>
    <w:p w:rsidR="005D3822" w:rsidRPr="00491116" w:rsidRDefault="005D3822" w:rsidP="005D3822">
      <w:pPr>
        <w:tabs>
          <w:tab w:val="left" w:pos="360"/>
          <w:tab w:val="left" w:pos="540"/>
        </w:tabs>
        <w:spacing w:line="260" w:lineRule="exact"/>
        <w:jc w:val="both"/>
        <w:rPr>
          <w:rFonts w:ascii="Arial" w:hAnsi="Arial" w:cs="Arial"/>
          <w:sz w:val="18"/>
          <w:szCs w:val="18"/>
        </w:rPr>
      </w:pPr>
      <w:r w:rsidRPr="00491116">
        <w:rPr>
          <w:rFonts w:ascii="Arial" w:hAnsi="Arial" w:cs="Arial"/>
          <w:sz w:val="18"/>
          <w:szCs w:val="18"/>
        </w:rPr>
        <w:t>-</w:t>
      </w:r>
      <w:r w:rsidRPr="00491116">
        <w:rPr>
          <w:rFonts w:ascii="Arial" w:hAnsi="Arial" w:cs="Arial"/>
          <w:sz w:val="18"/>
          <w:szCs w:val="18"/>
        </w:rPr>
        <w:tab/>
        <w:t>bieżący od 1 stycznia do 30 września 202</w:t>
      </w:r>
      <w:r w:rsidR="0083455D" w:rsidRPr="00491116">
        <w:rPr>
          <w:rFonts w:ascii="Arial" w:hAnsi="Arial" w:cs="Arial"/>
          <w:sz w:val="18"/>
          <w:szCs w:val="18"/>
        </w:rPr>
        <w:t>1</w:t>
      </w:r>
      <w:r w:rsidRPr="00491116">
        <w:rPr>
          <w:rFonts w:ascii="Arial" w:hAnsi="Arial" w:cs="Arial"/>
          <w:sz w:val="18"/>
          <w:szCs w:val="18"/>
        </w:rPr>
        <w:t xml:space="preserve"> r. ( w sprawozdaniu z sytuacji finansowej stan na dzień 30.09.202</w:t>
      </w:r>
      <w:r w:rsidR="00491116" w:rsidRPr="00491116">
        <w:rPr>
          <w:rFonts w:ascii="Arial" w:hAnsi="Arial" w:cs="Arial"/>
          <w:sz w:val="18"/>
          <w:szCs w:val="18"/>
        </w:rPr>
        <w:t>1</w:t>
      </w:r>
      <w:r w:rsidRPr="00491116">
        <w:rPr>
          <w:rFonts w:ascii="Arial" w:hAnsi="Arial" w:cs="Arial"/>
          <w:sz w:val="18"/>
          <w:szCs w:val="18"/>
        </w:rPr>
        <w:t xml:space="preserve"> r.)</w:t>
      </w:r>
    </w:p>
    <w:p w:rsidR="005D3822" w:rsidRPr="00661ED4" w:rsidRDefault="005D3822" w:rsidP="005D3822">
      <w:pPr>
        <w:tabs>
          <w:tab w:val="left" w:pos="360"/>
          <w:tab w:val="left" w:pos="540"/>
        </w:tabs>
        <w:spacing w:line="260" w:lineRule="exact"/>
        <w:jc w:val="both"/>
        <w:rPr>
          <w:rFonts w:ascii="Arial" w:hAnsi="Arial" w:cs="Arial"/>
          <w:sz w:val="18"/>
          <w:szCs w:val="18"/>
        </w:rPr>
      </w:pPr>
      <w:r w:rsidRPr="00491116">
        <w:rPr>
          <w:rFonts w:ascii="Arial" w:hAnsi="Arial" w:cs="Arial"/>
          <w:sz w:val="18"/>
          <w:szCs w:val="18"/>
        </w:rPr>
        <w:t>-</w:t>
      </w:r>
      <w:r w:rsidRPr="00491116">
        <w:rPr>
          <w:rFonts w:ascii="Arial" w:hAnsi="Arial" w:cs="Arial"/>
          <w:sz w:val="18"/>
          <w:szCs w:val="18"/>
        </w:rPr>
        <w:tab/>
      </w:r>
      <w:r w:rsidRPr="000D373B">
        <w:rPr>
          <w:rFonts w:ascii="Arial" w:hAnsi="Arial" w:cs="Arial"/>
          <w:sz w:val="18"/>
          <w:szCs w:val="18"/>
        </w:rPr>
        <w:t>porównywalny od 1 stycznia do 30 września 20</w:t>
      </w:r>
      <w:r w:rsidR="00491116" w:rsidRPr="000D373B">
        <w:rPr>
          <w:rFonts w:ascii="Arial" w:hAnsi="Arial" w:cs="Arial"/>
          <w:sz w:val="18"/>
          <w:szCs w:val="18"/>
        </w:rPr>
        <w:t>20</w:t>
      </w:r>
      <w:r w:rsidRPr="000D373B">
        <w:rPr>
          <w:rFonts w:ascii="Arial" w:hAnsi="Arial" w:cs="Arial"/>
          <w:sz w:val="18"/>
          <w:szCs w:val="18"/>
        </w:rPr>
        <w:t xml:space="preserve">r. ( w sprawozdaniu z sytuacji finansowej stan na dzień </w:t>
      </w:r>
      <w:r w:rsidR="007C72C8">
        <w:rPr>
          <w:rFonts w:ascii="Arial" w:hAnsi="Arial" w:cs="Arial"/>
          <w:sz w:val="18"/>
          <w:szCs w:val="18"/>
        </w:rPr>
        <w:t>31</w:t>
      </w:r>
      <w:r w:rsidRPr="000D373B">
        <w:rPr>
          <w:rFonts w:ascii="Arial" w:hAnsi="Arial" w:cs="Arial"/>
          <w:sz w:val="18"/>
          <w:szCs w:val="18"/>
        </w:rPr>
        <w:t>.</w:t>
      </w:r>
      <w:r w:rsidR="007C72C8">
        <w:rPr>
          <w:rFonts w:ascii="Arial" w:hAnsi="Arial" w:cs="Arial"/>
          <w:sz w:val="18"/>
          <w:szCs w:val="18"/>
        </w:rPr>
        <w:t>12</w:t>
      </w:r>
      <w:r w:rsidRPr="000D373B">
        <w:rPr>
          <w:rFonts w:ascii="Arial" w:hAnsi="Arial" w:cs="Arial"/>
          <w:sz w:val="18"/>
          <w:szCs w:val="18"/>
        </w:rPr>
        <w:t>.20</w:t>
      </w:r>
      <w:r w:rsidR="000D373B" w:rsidRPr="000D373B">
        <w:rPr>
          <w:rFonts w:ascii="Arial" w:hAnsi="Arial" w:cs="Arial"/>
          <w:sz w:val="18"/>
          <w:szCs w:val="18"/>
        </w:rPr>
        <w:t>2</w:t>
      </w:r>
      <w:r w:rsidR="007C72C8">
        <w:rPr>
          <w:rFonts w:ascii="Arial" w:hAnsi="Arial" w:cs="Arial"/>
          <w:sz w:val="18"/>
          <w:szCs w:val="18"/>
        </w:rPr>
        <w:t>0</w:t>
      </w:r>
      <w:r w:rsidRPr="000D373B">
        <w:rPr>
          <w:rFonts w:ascii="Arial" w:hAnsi="Arial" w:cs="Arial"/>
          <w:sz w:val="18"/>
          <w:szCs w:val="18"/>
        </w:rPr>
        <w:t xml:space="preserve"> r.)</w:t>
      </w:r>
    </w:p>
    <w:p w:rsidR="005D3822" w:rsidRPr="009F3DA3" w:rsidRDefault="005D3822" w:rsidP="005D3822">
      <w:pPr>
        <w:tabs>
          <w:tab w:val="left" w:pos="360"/>
          <w:tab w:val="left" w:pos="540"/>
        </w:tabs>
        <w:spacing w:line="260" w:lineRule="exact"/>
        <w:jc w:val="both"/>
        <w:rPr>
          <w:rFonts w:ascii="Arial" w:hAnsi="Arial" w:cs="Arial"/>
          <w:sz w:val="18"/>
          <w:szCs w:val="18"/>
        </w:rPr>
      </w:pPr>
    </w:p>
    <w:p w:rsidR="005D3822" w:rsidRPr="00491116" w:rsidRDefault="005D3822" w:rsidP="005D3822">
      <w:pPr>
        <w:tabs>
          <w:tab w:val="left" w:pos="360"/>
          <w:tab w:val="left" w:pos="540"/>
        </w:tabs>
        <w:spacing w:line="260" w:lineRule="exact"/>
        <w:jc w:val="both"/>
        <w:rPr>
          <w:rFonts w:ascii="Arial" w:hAnsi="Arial" w:cs="Arial"/>
          <w:sz w:val="18"/>
          <w:szCs w:val="18"/>
        </w:rPr>
      </w:pPr>
      <w:r w:rsidRPr="00491116">
        <w:rPr>
          <w:rFonts w:ascii="Arial" w:hAnsi="Arial" w:cs="Arial"/>
          <w:sz w:val="18"/>
          <w:szCs w:val="18"/>
        </w:rPr>
        <w:t xml:space="preserve">Na sprawozdanie finansowe składają się: </w:t>
      </w:r>
    </w:p>
    <w:p w:rsidR="005D3822" w:rsidRPr="00491116" w:rsidRDefault="005D3822" w:rsidP="005D3822">
      <w:pPr>
        <w:tabs>
          <w:tab w:val="left" w:pos="360"/>
          <w:tab w:val="left" w:pos="540"/>
        </w:tabs>
        <w:spacing w:line="260" w:lineRule="exact"/>
        <w:jc w:val="both"/>
        <w:rPr>
          <w:rFonts w:ascii="Arial" w:hAnsi="Arial" w:cs="Arial"/>
          <w:sz w:val="18"/>
          <w:szCs w:val="18"/>
        </w:rPr>
      </w:pPr>
      <w:r w:rsidRPr="00491116">
        <w:rPr>
          <w:rFonts w:ascii="Arial" w:hAnsi="Arial" w:cs="Arial"/>
          <w:sz w:val="18"/>
          <w:szCs w:val="18"/>
        </w:rPr>
        <w:t>- śródroczne skrócone sprawozdanie z sytuacji finansowej na dzień 30.09.202</w:t>
      </w:r>
      <w:r w:rsidR="00491116" w:rsidRPr="00491116">
        <w:rPr>
          <w:rFonts w:ascii="Arial" w:hAnsi="Arial" w:cs="Arial"/>
          <w:sz w:val="18"/>
          <w:szCs w:val="18"/>
        </w:rPr>
        <w:t>1</w:t>
      </w:r>
      <w:r w:rsidRPr="00491116">
        <w:rPr>
          <w:rFonts w:ascii="Arial" w:hAnsi="Arial" w:cs="Arial"/>
          <w:sz w:val="18"/>
          <w:szCs w:val="18"/>
        </w:rPr>
        <w:t xml:space="preserve"> r. oraz na 31.12.20</w:t>
      </w:r>
      <w:r w:rsidR="00491116" w:rsidRPr="00491116">
        <w:rPr>
          <w:rFonts w:ascii="Arial" w:hAnsi="Arial" w:cs="Arial"/>
          <w:sz w:val="18"/>
          <w:szCs w:val="18"/>
        </w:rPr>
        <w:t>20</w:t>
      </w:r>
      <w:r w:rsidRPr="00491116">
        <w:rPr>
          <w:rFonts w:ascii="Arial" w:hAnsi="Arial" w:cs="Arial"/>
          <w:sz w:val="18"/>
          <w:szCs w:val="18"/>
        </w:rPr>
        <w:t xml:space="preserve"> r. </w:t>
      </w:r>
    </w:p>
    <w:p w:rsidR="005D3822" w:rsidRPr="00491116" w:rsidRDefault="005D3822" w:rsidP="005D3822">
      <w:pPr>
        <w:tabs>
          <w:tab w:val="left" w:pos="360"/>
          <w:tab w:val="left" w:pos="540"/>
        </w:tabs>
        <w:spacing w:line="260" w:lineRule="exact"/>
        <w:jc w:val="both"/>
        <w:rPr>
          <w:rFonts w:ascii="Arial" w:hAnsi="Arial" w:cs="Arial"/>
          <w:sz w:val="18"/>
          <w:szCs w:val="18"/>
        </w:rPr>
      </w:pPr>
      <w:r w:rsidRPr="00491116">
        <w:rPr>
          <w:rFonts w:ascii="Arial" w:hAnsi="Arial" w:cs="Arial"/>
          <w:sz w:val="18"/>
          <w:szCs w:val="18"/>
        </w:rPr>
        <w:t>- śródroczne skrócone sprawozdanie z całkowitych dochodów za 3 m-ce kończące się 30 września 202</w:t>
      </w:r>
      <w:r w:rsidR="00491116" w:rsidRPr="00491116">
        <w:rPr>
          <w:rFonts w:ascii="Arial" w:hAnsi="Arial" w:cs="Arial"/>
          <w:sz w:val="18"/>
          <w:szCs w:val="18"/>
        </w:rPr>
        <w:t>1</w:t>
      </w:r>
      <w:r w:rsidRPr="00491116">
        <w:rPr>
          <w:rFonts w:ascii="Arial" w:hAnsi="Arial" w:cs="Arial"/>
          <w:sz w:val="18"/>
          <w:szCs w:val="18"/>
        </w:rPr>
        <w:t xml:space="preserve">  oraz za 3 m-ce kończące się 30 września 2020 r., a także za 9 m-cy kończących się 30 września 20</w:t>
      </w:r>
      <w:r w:rsidR="00491116" w:rsidRPr="00491116">
        <w:rPr>
          <w:rFonts w:ascii="Arial" w:hAnsi="Arial" w:cs="Arial"/>
          <w:sz w:val="18"/>
          <w:szCs w:val="18"/>
        </w:rPr>
        <w:t>21</w:t>
      </w:r>
      <w:r w:rsidRPr="00491116">
        <w:rPr>
          <w:rFonts w:ascii="Arial" w:hAnsi="Arial" w:cs="Arial"/>
          <w:sz w:val="18"/>
          <w:szCs w:val="18"/>
        </w:rPr>
        <w:t xml:space="preserve"> r. oraz za 9 m-cy kończących się 30 września 20</w:t>
      </w:r>
      <w:r w:rsidR="00491116" w:rsidRPr="00491116">
        <w:rPr>
          <w:rFonts w:ascii="Arial" w:hAnsi="Arial" w:cs="Arial"/>
          <w:sz w:val="18"/>
          <w:szCs w:val="18"/>
        </w:rPr>
        <w:t>20</w:t>
      </w:r>
      <w:r w:rsidRPr="00491116">
        <w:rPr>
          <w:rFonts w:ascii="Arial" w:hAnsi="Arial" w:cs="Arial"/>
          <w:sz w:val="18"/>
          <w:szCs w:val="18"/>
        </w:rPr>
        <w:t xml:space="preserve"> r.</w:t>
      </w:r>
    </w:p>
    <w:p w:rsidR="005D3822" w:rsidRPr="00491116" w:rsidRDefault="005D3822" w:rsidP="005D3822">
      <w:pPr>
        <w:tabs>
          <w:tab w:val="left" w:pos="360"/>
          <w:tab w:val="left" w:pos="540"/>
        </w:tabs>
        <w:spacing w:line="260" w:lineRule="exact"/>
        <w:jc w:val="both"/>
        <w:rPr>
          <w:rFonts w:ascii="Arial" w:hAnsi="Arial" w:cs="Arial"/>
          <w:sz w:val="18"/>
          <w:szCs w:val="18"/>
        </w:rPr>
      </w:pPr>
      <w:r w:rsidRPr="00491116">
        <w:rPr>
          <w:rFonts w:ascii="Arial" w:hAnsi="Arial" w:cs="Arial"/>
          <w:sz w:val="18"/>
          <w:szCs w:val="18"/>
        </w:rPr>
        <w:t>- śródroczne skrócone sprawozdanie ze zmian w kapitale własnym za okres 9 miesięcy zakończony 30 września 202</w:t>
      </w:r>
      <w:r w:rsidR="00491116" w:rsidRPr="00491116">
        <w:rPr>
          <w:rFonts w:ascii="Arial" w:hAnsi="Arial" w:cs="Arial"/>
          <w:sz w:val="18"/>
          <w:szCs w:val="18"/>
        </w:rPr>
        <w:t>1</w:t>
      </w:r>
      <w:r w:rsidRPr="00491116">
        <w:rPr>
          <w:rFonts w:ascii="Arial" w:hAnsi="Arial" w:cs="Arial"/>
          <w:sz w:val="18"/>
          <w:szCs w:val="18"/>
        </w:rPr>
        <w:t xml:space="preserve"> r. oraz 30 września 20</w:t>
      </w:r>
      <w:r w:rsidR="00491116" w:rsidRPr="00491116">
        <w:rPr>
          <w:rFonts w:ascii="Arial" w:hAnsi="Arial" w:cs="Arial"/>
          <w:sz w:val="18"/>
          <w:szCs w:val="18"/>
        </w:rPr>
        <w:t>20 r</w:t>
      </w:r>
      <w:r w:rsidRPr="00491116">
        <w:rPr>
          <w:rFonts w:ascii="Arial" w:hAnsi="Arial" w:cs="Arial"/>
          <w:sz w:val="18"/>
          <w:szCs w:val="18"/>
        </w:rPr>
        <w:t>.</w:t>
      </w:r>
    </w:p>
    <w:p w:rsidR="005D3822" w:rsidRPr="00491116" w:rsidRDefault="005D3822" w:rsidP="005D3822">
      <w:pPr>
        <w:tabs>
          <w:tab w:val="left" w:pos="360"/>
          <w:tab w:val="left" w:pos="540"/>
        </w:tabs>
        <w:spacing w:line="260" w:lineRule="exact"/>
        <w:jc w:val="both"/>
        <w:rPr>
          <w:rFonts w:ascii="Arial" w:hAnsi="Arial" w:cs="Arial"/>
          <w:sz w:val="18"/>
          <w:szCs w:val="18"/>
        </w:rPr>
      </w:pPr>
      <w:r w:rsidRPr="00491116">
        <w:rPr>
          <w:rFonts w:ascii="Arial" w:hAnsi="Arial" w:cs="Arial"/>
          <w:sz w:val="18"/>
          <w:szCs w:val="18"/>
        </w:rPr>
        <w:t>- śródroczne skrócone sprawozdanie z przepływów pieniężnych za 9 m-cy kończących się 30 września 202</w:t>
      </w:r>
      <w:r w:rsidR="00491116" w:rsidRPr="00491116">
        <w:rPr>
          <w:rFonts w:ascii="Arial" w:hAnsi="Arial" w:cs="Arial"/>
          <w:sz w:val="18"/>
          <w:szCs w:val="18"/>
        </w:rPr>
        <w:t>1</w:t>
      </w:r>
      <w:r w:rsidRPr="00491116">
        <w:rPr>
          <w:rFonts w:ascii="Arial" w:hAnsi="Arial" w:cs="Arial"/>
          <w:sz w:val="18"/>
          <w:szCs w:val="18"/>
        </w:rPr>
        <w:t xml:space="preserve"> r. oraz za 9 m-cy kończących się 30 września 20</w:t>
      </w:r>
      <w:r w:rsidR="00491116" w:rsidRPr="00491116">
        <w:rPr>
          <w:rFonts w:ascii="Arial" w:hAnsi="Arial" w:cs="Arial"/>
          <w:sz w:val="18"/>
          <w:szCs w:val="18"/>
        </w:rPr>
        <w:t>20</w:t>
      </w:r>
      <w:r w:rsidRPr="00491116">
        <w:rPr>
          <w:rFonts w:ascii="Arial" w:hAnsi="Arial" w:cs="Arial"/>
          <w:sz w:val="18"/>
          <w:szCs w:val="18"/>
        </w:rPr>
        <w:t xml:space="preserve"> r.</w:t>
      </w:r>
    </w:p>
    <w:p w:rsidR="005D3822" w:rsidRPr="009F3DA3" w:rsidRDefault="005D3822" w:rsidP="005D3822">
      <w:pPr>
        <w:tabs>
          <w:tab w:val="left" w:pos="360"/>
          <w:tab w:val="left" w:pos="540"/>
        </w:tabs>
        <w:spacing w:line="260" w:lineRule="exact"/>
        <w:jc w:val="both"/>
        <w:rPr>
          <w:rFonts w:ascii="Arial" w:hAnsi="Arial" w:cs="Arial"/>
          <w:sz w:val="18"/>
          <w:szCs w:val="18"/>
        </w:rPr>
      </w:pPr>
      <w:r w:rsidRPr="00491116">
        <w:rPr>
          <w:rFonts w:ascii="Arial" w:hAnsi="Arial" w:cs="Arial"/>
          <w:sz w:val="18"/>
          <w:szCs w:val="18"/>
        </w:rPr>
        <w:t>- wybrane dane objaśniające.</w:t>
      </w:r>
    </w:p>
    <w:p w:rsidR="005D3822" w:rsidRPr="009F3DA3" w:rsidRDefault="005D3822" w:rsidP="005D3822">
      <w:pPr>
        <w:tabs>
          <w:tab w:val="left" w:pos="360"/>
          <w:tab w:val="left" w:pos="540"/>
        </w:tabs>
        <w:spacing w:line="260" w:lineRule="exact"/>
        <w:jc w:val="both"/>
        <w:rPr>
          <w:rFonts w:ascii="Arial" w:hAnsi="Arial" w:cs="Arial"/>
          <w:sz w:val="18"/>
          <w:szCs w:val="18"/>
        </w:rPr>
      </w:pPr>
    </w:p>
    <w:p w:rsidR="005D3822" w:rsidRPr="009F3DA3" w:rsidRDefault="005D3822" w:rsidP="005D3822">
      <w:pPr>
        <w:tabs>
          <w:tab w:val="left" w:pos="360"/>
          <w:tab w:val="left" w:pos="540"/>
        </w:tabs>
        <w:spacing w:line="260" w:lineRule="exact"/>
        <w:jc w:val="both"/>
        <w:rPr>
          <w:rFonts w:ascii="Arial" w:hAnsi="Arial" w:cs="Arial"/>
          <w:sz w:val="18"/>
          <w:szCs w:val="18"/>
        </w:rPr>
      </w:pPr>
      <w:r w:rsidRPr="009F3DA3">
        <w:rPr>
          <w:rFonts w:ascii="Arial" w:hAnsi="Arial" w:cs="Arial"/>
          <w:sz w:val="18"/>
          <w:szCs w:val="18"/>
        </w:rPr>
        <w:t xml:space="preserve">Sprawozdania finansowe na dzień 30 września </w:t>
      </w:r>
      <w:r>
        <w:rPr>
          <w:rFonts w:ascii="Arial" w:hAnsi="Arial" w:cs="Arial"/>
          <w:sz w:val="18"/>
          <w:szCs w:val="18"/>
        </w:rPr>
        <w:t>202</w:t>
      </w:r>
      <w:r w:rsidR="006915D0">
        <w:rPr>
          <w:rFonts w:ascii="Arial" w:hAnsi="Arial" w:cs="Arial"/>
          <w:sz w:val="18"/>
          <w:szCs w:val="18"/>
        </w:rPr>
        <w:t>1</w:t>
      </w:r>
      <w:r w:rsidRPr="009F3DA3">
        <w:rPr>
          <w:rFonts w:ascii="Arial" w:hAnsi="Arial" w:cs="Arial"/>
          <w:sz w:val="18"/>
          <w:szCs w:val="18"/>
        </w:rPr>
        <w:t xml:space="preserve"> r. oraz na dzień 30 września </w:t>
      </w:r>
      <w:r>
        <w:rPr>
          <w:rFonts w:ascii="Arial" w:hAnsi="Arial" w:cs="Arial"/>
          <w:sz w:val="18"/>
          <w:szCs w:val="18"/>
        </w:rPr>
        <w:t>20</w:t>
      </w:r>
      <w:r w:rsidR="006915D0">
        <w:rPr>
          <w:rFonts w:ascii="Arial" w:hAnsi="Arial" w:cs="Arial"/>
          <w:sz w:val="18"/>
          <w:szCs w:val="18"/>
        </w:rPr>
        <w:t>20</w:t>
      </w:r>
      <w:r w:rsidRPr="009F3DA3">
        <w:rPr>
          <w:rFonts w:ascii="Arial" w:hAnsi="Arial" w:cs="Arial"/>
          <w:sz w:val="18"/>
          <w:szCs w:val="18"/>
        </w:rPr>
        <w:t xml:space="preserve"> roku, a także za okres zakończony dnia 30 września </w:t>
      </w:r>
      <w:r>
        <w:rPr>
          <w:rFonts w:ascii="Arial" w:hAnsi="Arial" w:cs="Arial"/>
          <w:sz w:val="18"/>
          <w:szCs w:val="18"/>
        </w:rPr>
        <w:t>202</w:t>
      </w:r>
      <w:r w:rsidR="006915D0">
        <w:rPr>
          <w:rFonts w:ascii="Arial" w:hAnsi="Arial" w:cs="Arial"/>
          <w:sz w:val="18"/>
          <w:szCs w:val="18"/>
        </w:rPr>
        <w:t>1</w:t>
      </w:r>
      <w:r w:rsidRPr="009F3DA3">
        <w:rPr>
          <w:rFonts w:ascii="Arial" w:hAnsi="Arial" w:cs="Arial"/>
          <w:sz w:val="18"/>
          <w:szCs w:val="18"/>
        </w:rPr>
        <w:t xml:space="preserve"> roku i 30 września </w:t>
      </w:r>
      <w:r>
        <w:rPr>
          <w:rFonts w:ascii="Arial" w:hAnsi="Arial" w:cs="Arial"/>
          <w:sz w:val="18"/>
          <w:szCs w:val="18"/>
        </w:rPr>
        <w:t>20</w:t>
      </w:r>
      <w:r w:rsidR="006915D0">
        <w:rPr>
          <w:rFonts w:ascii="Arial" w:hAnsi="Arial" w:cs="Arial"/>
          <w:sz w:val="18"/>
          <w:szCs w:val="18"/>
        </w:rPr>
        <w:t>20</w:t>
      </w:r>
      <w:r w:rsidRPr="009F3DA3">
        <w:rPr>
          <w:rFonts w:ascii="Arial" w:hAnsi="Arial" w:cs="Arial"/>
          <w:sz w:val="18"/>
          <w:szCs w:val="18"/>
        </w:rPr>
        <w:t xml:space="preserve"> roku nie podlegały badaniu przez biegłego rewidenta.</w:t>
      </w:r>
    </w:p>
    <w:p w:rsidR="005D3822" w:rsidRPr="00F31D8E" w:rsidRDefault="005D3822" w:rsidP="005D3822">
      <w:pPr>
        <w:tabs>
          <w:tab w:val="left" w:pos="360"/>
          <w:tab w:val="left" w:pos="540"/>
        </w:tabs>
        <w:spacing w:line="260" w:lineRule="exact"/>
        <w:jc w:val="both"/>
        <w:rPr>
          <w:rFonts w:ascii="Arial" w:hAnsi="Arial" w:cs="Arial"/>
          <w:sz w:val="18"/>
          <w:szCs w:val="18"/>
        </w:rPr>
      </w:pPr>
    </w:p>
    <w:p w:rsidR="005D3822" w:rsidRPr="00F31D8E" w:rsidRDefault="005D3822" w:rsidP="005D3822">
      <w:pPr>
        <w:tabs>
          <w:tab w:val="left" w:pos="540"/>
        </w:tabs>
        <w:spacing w:line="260" w:lineRule="exact"/>
        <w:jc w:val="both"/>
        <w:rPr>
          <w:rFonts w:ascii="Arial" w:hAnsi="Arial" w:cs="Arial"/>
          <w:sz w:val="18"/>
          <w:szCs w:val="18"/>
        </w:rPr>
      </w:pPr>
      <w:r w:rsidRPr="00F31D8E">
        <w:rPr>
          <w:rFonts w:ascii="Arial" w:hAnsi="Arial" w:cs="Arial"/>
          <w:sz w:val="18"/>
          <w:szCs w:val="18"/>
        </w:rPr>
        <w:t xml:space="preserve">Spółka INTERFERIE Spółka Akcyjna z siedzibą w Legnicy, ul. </w:t>
      </w:r>
      <w:r>
        <w:rPr>
          <w:rFonts w:ascii="Arial" w:hAnsi="Arial" w:cs="Arial"/>
          <w:sz w:val="18"/>
          <w:szCs w:val="18"/>
        </w:rPr>
        <w:t>Chojnowska 41</w:t>
      </w:r>
      <w:r w:rsidRPr="00F31D8E">
        <w:rPr>
          <w:rFonts w:ascii="Arial" w:hAnsi="Arial" w:cs="Arial"/>
          <w:sz w:val="18"/>
          <w:szCs w:val="18"/>
        </w:rPr>
        <w:t xml:space="preserve">, rozpoczęła działalność </w:t>
      </w:r>
      <w:r>
        <w:rPr>
          <w:rFonts w:ascii="Arial" w:hAnsi="Arial" w:cs="Arial"/>
          <w:sz w:val="18"/>
          <w:szCs w:val="18"/>
        </w:rPr>
        <w:br/>
      </w:r>
      <w:r w:rsidRPr="00F31D8E">
        <w:rPr>
          <w:rFonts w:ascii="Arial" w:hAnsi="Arial" w:cs="Arial"/>
          <w:sz w:val="18"/>
          <w:szCs w:val="18"/>
        </w:rPr>
        <w:t xml:space="preserve">10 czerwca 1992 r. jako spółka z ograniczoną odpowiedzialnością. Akt założycielski Spółki sporządzono w formie aktu notarialnego w Kancelarii Notarialnej Notariusza Małgorzaty Niespodziewany w dniu 10 czerwca 1992 r. </w:t>
      </w:r>
    </w:p>
    <w:p w:rsidR="005D3822" w:rsidRPr="00F31D8E" w:rsidRDefault="005D3822" w:rsidP="005D3822">
      <w:pPr>
        <w:tabs>
          <w:tab w:val="left" w:pos="540"/>
        </w:tabs>
        <w:spacing w:line="260" w:lineRule="exact"/>
        <w:jc w:val="both"/>
        <w:rPr>
          <w:rFonts w:ascii="Arial" w:hAnsi="Arial" w:cs="Arial"/>
          <w:sz w:val="18"/>
          <w:szCs w:val="18"/>
        </w:rPr>
      </w:pPr>
      <w:r w:rsidRPr="00F31D8E">
        <w:rPr>
          <w:rFonts w:ascii="Arial" w:hAnsi="Arial" w:cs="Arial"/>
          <w:sz w:val="18"/>
          <w:szCs w:val="18"/>
        </w:rPr>
        <w:t xml:space="preserve">Sąd Rejonowy dla Wrocławia Fabrycznej we Wrocławiu, IX Wydział Gospodarczy Krajowego Rejestru Sądowego dokonał dnia 11 marca 2002 r. wpisu Spółki do Rejestru Przedsiębiorców pod numerem KRS 0000076846. </w:t>
      </w:r>
      <w:r w:rsidRPr="00F31D8E">
        <w:rPr>
          <w:rFonts w:ascii="Arial" w:hAnsi="Arial" w:cs="Arial"/>
          <w:sz w:val="18"/>
          <w:szCs w:val="18"/>
        </w:rPr>
        <w:br/>
        <w:t>W związku z przekształceniem Spółki w spółkę akcyjną, Sąd Rejonowy dla Wrocławia Fabrycznej we Wrocławiu, VI Wydział Gospodarczy Krajowego Rejestru Sądowego dokonał dnia 31.12.2004 r. wpisu Spółki do Rejestru Przedsiębiorców pod numerem KRS 0000225570. Czas trwania Spółki jest nieoznaczony.</w:t>
      </w:r>
    </w:p>
    <w:p w:rsidR="005D3822" w:rsidRPr="00F31D8E" w:rsidRDefault="005D3822" w:rsidP="005D3822">
      <w:pPr>
        <w:tabs>
          <w:tab w:val="left" w:pos="540"/>
        </w:tabs>
        <w:spacing w:line="260" w:lineRule="exact"/>
        <w:jc w:val="both"/>
        <w:rPr>
          <w:rFonts w:ascii="Arial" w:hAnsi="Arial" w:cs="Arial"/>
          <w:sz w:val="18"/>
          <w:szCs w:val="18"/>
        </w:rPr>
      </w:pPr>
    </w:p>
    <w:p w:rsidR="005D3822" w:rsidRPr="00F31D8E" w:rsidRDefault="005D3822" w:rsidP="005D3822">
      <w:pPr>
        <w:tabs>
          <w:tab w:val="left" w:pos="540"/>
        </w:tabs>
        <w:spacing w:line="260" w:lineRule="exact"/>
        <w:jc w:val="both"/>
        <w:rPr>
          <w:rFonts w:ascii="Arial" w:hAnsi="Arial" w:cs="Arial"/>
          <w:sz w:val="18"/>
          <w:szCs w:val="18"/>
        </w:rPr>
      </w:pPr>
      <w:r w:rsidRPr="00F31D8E">
        <w:rPr>
          <w:rFonts w:ascii="Arial" w:hAnsi="Arial" w:cs="Arial"/>
          <w:sz w:val="18"/>
          <w:szCs w:val="18"/>
        </w:rPr>
        <w:t>Przedmiotem działalności Spółki są przede wszystkim:</w:t>
      </w:r>
    </w:p>
    <w:p w:rsidR="005D3822" w:rsidRPr="00F31D8E" w:rsidRDefault="007C72C8" w:rsidP="005D3822">
      <w:pPr>
        <w:pStyle w:val="Akapitzlist"/>
        <w:numPr>
          <w:ilvl w:val="0"/>
          <w:numId w:val="14"/>
        </w:numPr>
        <w:tabs>
          <w:tab w:val="left" w:pos="567"/>
        </w:tabs>
        <w:spacing w:line="260" w:lineRule="exact"/>
        <w:ind w:left="993" w:hanging="851"/>
        <w:jc w:val="both"/>
        <w:rPr>
          <w:rFonts w:ascii="Arial" w:hAnsi="Arial" w:cs="Arial"/>
          <w:sz w:val="18"/>
          <w:szCs w:val="18"/>
        </w:rPr>
      </w:pPr>
      <w:r>
        <w:rPr>
          <w:rFonts w:ascii="Arial" w:hAnsi="Arial" w:cs="Arial"/>
          <w:sz w:val="18"/>
          <w:szCs w:val="18"/>
        </w:rPr>
        <w:t>działalność hotelarska</w:t>
      </w:r>
      <w:r w:rsidR="005D3822" w:rsidRPr="00F31D8E">
        <w:rPr>
          <w:rFonts w:ascii="Arial" w:hAnsi="Arial" w:cs="Arial"/>
          <w:sz w:val="18"/>
          <w:szCs w:val="18"/>
        </w:rPr>
        <w:t>,</w:t>
      </w:r>
    </w:p>
    <w:p w:rsidR="005D3822" w:rsidRPr="00F31D8E" w:rsidRDefault="007C72C8" w:rsidP="005D3822">
      <w:pPr>
        <w:pStyle w:val="Akapitzlist"/>
        <w:numPr>
          <w:ilvl w:val="0"/>
          <w:numId w:val="14"/>
        </w:numPr>
        <w:tabs>
          <w:tab w:val="left" w:pos="567"/>
        </w:tabs>
        <w:spacing w:line="260" w:lineRule="exact"/>
        <w:ind w:left="993" w:hanging="851"/>
        <w:jc w:val="both"/>
        <w:rPr>
          <w:rFonts w:ascii="Arial" w:hAnsi="Arial" w:cs="Arial"/>
          <w:sz w:val="18"/>
          <w:szCs w:val="18"/>
        </w:rPr>
      </w:pPr>
      <w:r>
        <w:rPr>
          <w:rFonts w:ascii="Arial" w:hAnsi="Arial" w:cs="Arial"/>
          <w:sz w:val="18"/>
          <w:szCs w:val="18"/>
        </w:rPr>
        <w:t>działalność restauracyjna</w:t>
      </w:r>
      <w:r w:rsidR="005D3822" w:rsidRPr="00F31D8E">
        <w:rPr>
          <w:rFonts w:ascii="Arial" w:hAnsi="Arial" w:cs="Arial"/>
          <w:sz w:val="18"/>
          <w:szCs w:val="18"/>
        </w:rPr>
        <w:t>,</w:t>
      </w:r>
    </w:p>
    <w:p w:rsidR="005D3822" w:rsidRPr="00F31D8E" w:rsidRDefault="005D3822" w:rsidP="005D3822">
      <w:pPr>
        <w:pStyle w:val="Akapitzlist"/>
        <w:numPr>
          <w:ilvl w:val="0"/>
          <w:numId w:val="14"/>
        </w:numPr>
        <w:tabs>
          <w:tab w:val="left" w:pos="567"/>
        </w:tabs>
        <w:spacing w:line="260" w:lineRule="exact"/>
        <w:ind w:left="993" w:hanging="851"/>
        <w:jc w:val="both"/>
        <w:rPr>
          <w:rFonts w:ascii="Arial" w:hAnsi="Arial" w:cs="Arial"/>
          <w:sz w:val="18"/>
          <w:szCs w:val="18"/>
        </w:rPr>
      </w:pPr>
      <w:r w:rsidRPr="00F31D8E">
        <w:rPr>
          <w:rFonts w:ascii="Arial" w:hAnsi="Arial" w:cs="Arial"/>
          <w:sz w:val="18"/>
          <w:szCs w:val="18"/>
        </w:rPr>
        <w:t>działalność w zakresie turystyki, wypoczynku i rekreacji,</w:t>
      </w:r>
    </w:p>
    <w:p w:rsidR="005D3822" w:rsidRPr="00F31D8E" w:rsidRDefault="005D3822" w:rsidP="005D3822">
      <w:pPr>
        <w:pStyle w:val="Akapitzlist"/>
        <w:numPr>
          <w:ilvl w:val="0"/>
          <w:numId w:val="14"/>
        </w:numPr>
        <w:tabs>
          <w:tab w:val="left" w:pos="567"/>
        </w:tabs>
        <w:spacing w:line="260" w:lineRule="exact"/>
        <w:ind w:left="993" w:hanging="851"/>
        <w:jc w:val="both"/>
        <w:rPr>
          <w:rFonts w:ascii="Arial" w:hAnsi="Arial" w:cs="Arial"/>
          <w:sz w:val="18"/>
          <w:szCs w:val="18"/>
        </w:rPr>
      </w:pPr>
      <w:r w:rsidRPr="00F31D8E">
        <w:rPr>
          <w:rFonts w:ascii="Arial" w:hAnsi="Arial" w:cs="Arial"/>
          <w:sz w:val="18"/>
          <w:szCs w:val="18"/>
        </w:rPr>
        <w:t xml:space="preserve">świadczenie usług </w:t>
      </w:r>
      <w:proofErr w:type="spellStart"/>
      <w:r w:rsidRPr="00F31D8E">
        <w:rPr>
          <w:rFonts w:ascii="Arial" w:hAnsi="Arial" w:cs="Arial"/>
          <w:sz w:val="18"/>
          <w:szCs w:val="18"/>
        </w:rPr>
        <w:t>sanatoryjno</w:t>
      </w:r>
      <w:proofErr w:type="spellEnd"/>
      <w:r w:rsidRPr="00F31D8E">
        <w:rPr>
          <w:rFonts w:ascii="Arial" w:hAnsi="Arial" w:cs="Arial"/>
          <w:sz w:val="18"/>
          <w:szCs w:val="18"/>
        </w:rPr>
        <w:t xml:space="preserve"> – leczniczych,</w:t>
      </w:r>
    </w:p>
    <w:p w:rsidR="005D3822" w:rsidRPr="00F31D8E" w:rsidRDefault="005D3822" w:rsidP="005D3822">
      <w:pPr>
        <w:pStyle w:val="Akapitzlist"/>
        <w:numPr>
          <w:ilvl w:val="0"/>
          <w:numId w:val="14"/>
        </w:numPr>
        <w:tabs>
          <w:tab w:val="left" w:pos="567"/>
        </w:tabs>
        <w:spacing w:line="260" w:lineRule="exact"/>
        <w:ind w:left="993" w:hanging="851"/>
        <w:jc w:val="both"/>
        <w:rPr>
          <w:rFonts w:ascii="Arial" w:hAnsi="Arial" w:cs="Arial"/>
          <w:sz w:val="18"/>
          <w:szCs w:val="18"/>
        </w:rPr>
      </w:pPr>
      <w:r w:rsidRPr="00F31D8E">
        <w:rPr>
          <w:rFonts w:ascii="Arial" w:hAnsi="Arial" w:cs="Arial"/>
          <w:sz w:val="18"/>
          <w:szCs w:val="18"/>
        </w:rPr>
        <w:t>organizacja kursów szkoleniowych, konferencji, imprez sportowo-turystycznych, festiwali itp.</w:t>
      </w:r>
    </w:p>
    <w:p w:rsidR="005D3822" w:rsidRPr="00F31D8E" w:rsidRDefault="005D3822" w:rsidP="005D3822">
      <w:pPr>
        <w:pStyle w:val="Akapitzlist"/>
        <w:numPr>
          <w:ilvl w:val="0"/>
          <w:numId w:val="14"/>
        </w:numPr>
        <w:tabs>
          <w:tab w:val="left" w:pos="540"/>
          <w:tab w:val="left" w:pos="993"/>
        </w:tabs>
        <w:spacing w:line="260" w:lineRule="exact"/>
        <w:ind w:left="993" w:hanging="851"/>
        <w:jc w:val="both"/>
        <w:rPr>
          <w:rFonts w:ascii="Arial" w:hAnsi="Arial" w:cs="Arial"/>
          <w:sz w:val="18"/>
          <w:szCs w:val="18"/>
        </w:rPr>
      </w:pPr>
      <w:r w:rsidRPr="00F31D8E">
        <w:rPr>
          <w:rFonts w:ascii="Arial" w:hAnsi="Arial" w:cs="Arial"/>
          <w:sz w:val="18"/>
          <w:szCs w:val="18"/>
        </w:rPr>
        <w:t>działalność pilotów wycieczek i przewodników turystycznych,</w:t>
      </w:r>
    </w:p>
    <w:p w:rsidR="005D3822" w:rsidRPr="00F31D8E" w:rsidRDefault="005D3822" w:rsidP="005D3822">
      <w:pPr>
        <w:pStyle w:val="Akapitzlist"/>
        <w:numPr>
          <w:ilvl w:val="0"/>
          <w:numId w:val="14"/>
        </w:numPr>
        <w:tabs>
          <w:tab w:val="left" w:pos="540"/>
          <w:tab w:val="left" w:pos="993"/>
        </w:tabs>
        <w:spacing w:line="260" w:lineRule="exact"/>
        <w:ind w:left="993" w:hanging="851"/>
        <w:jc w:val="both"/>
        <w:rPr>
          <w:rFonts w:ascii="Arial" w:hAnsi="Arial" w:cs="Arial"/>
          <w:sz w:val="18"/>
          <w:szCs w:val="18"/>
        </w:rPr>
      </w:pPr>
      <w:r w:rsidRPr="00F31D8E">
        <w:rPr>
          <w:rFonts w:ascii="Arial" w:hAnsi="Arial" w:cs="Arial"/>
          <w:sz w:val="18"/>
          <w:szCs w:val="18"/>
        </w:rPr>
        <w:t>działalność w zakresie informacji turystycznej,</w:t>
      </w:r>
    </w:p>
    <w:p w:rsidR="005D3822" w:rsidRPr="00F31D8E" w:rsidRDefault="005D3822" w:rsidP="005D3822">
      <w:pPr>
        <w:pStyle w:val="Akapitzlist"/>
        <w:numPr>
          <w:ilvl w:val="0"/>
          <w:numId w:val="14"/>
        </w:numPr>
        <w:tabs>
          <w:tab w:val="left" w:pos="540"/>
          <w:tab w:val="left" w:pos="993"/>
        </w:tabs>
        <w:spacing w:line="260" w:lineRule="exact"/>
        <w:ind w:left="993" w:hanging="851"/>
        <w:jc w:val="both"/>
        <w:rPr>
          <w:rFonts w:ascii="Arial" w:hAnsi="Arial" w:cs="Arial"/>
          <w:sz w:val="18"/>
          <w:szCs w:val="18"/>
        </w:rPr>
      </w:pPr>
      <w:r w:rsidRPr="00F31D8E">
        <w:rPr>
          <w:rFonts w:ascii="Arial" w:hAnsi="Arial" w:cs="Arial"/>
          <w:sz w:val="18"/>
          <w:szCs w:val="18"/>
        </w:rPr>
        <w:t>działalność fizjoterapeutyczna,</w:t>
      </w:r>
    </w:p>
    <w:p w:rsidR="005D3822" w:rsidRPr="00F31D8E" w:rsidRDefault="005D3822" w:rsidP="005D3822">
      <w:pPr>
        <w:pStyle w:val="Akapitzlist"/>
        <w:numPr>
          <w:ilvl w:val="0"/>
          <w:numId w:val="14"/>
        </w:numPr>
        <w:tabs>
          <w:tab w:val="left" w:pos="540"/>
          <w:tab w:val="left" w:pos="993"/>
        </w:tabs>
        <w:spacing w:line="260" w:lineRule="exact"/>
        <w:ind w:left="993" w:hanging="851"/>
        <w:jc w:val="both"/>
        <w:rPr>
          <w:rFonts w:ascii="Arial" w:hAnsi="Arial" w:cs="Arial"/>
          <w:sz w:val="18"/>
          <w:szCs w:val="18"/>
        </w:rPr>
      </w:pPr>
      <w:r w:rsidRPr="00F31D8E">
        <w:rPr>
          <w:rFonts w:ascii="Arial" w:hAnsi="Arial" w:cs="Arial"/>
          <w:sz w:val="18"/>
          <w:szCs w:val="18"/>
        </w:rPr>
        <w:t>ruchome placówki gastronomiczne,</w:t>
      </w:r>
    </w:p>
    <w:p w:rsidR="005D3822" w:rsidRPr="00F31D8E" w:rsidRDefault="005D3822" w:rsidP="005D3822">
      <w:pPr>
        <w:pStyle w:val="Akapitzlist"/>
        <w:numPr>
          <w:ilvl w:val="0"/>
          <w:numId w:val="14"/>
        </w:numPr>
        <w:tabs>
          <w:tab w:val="left" w:pos="540"/>
          <w:tab w:val="left" w:pos="993"/>
        </w:tabs>
        <w:spacing w:line="260" w:lineRule="exact"/>
        <w:ind w:left="993" w:hanging="851"/>
        <w:jc w:val="both"/>
        <w:rPr>
          <w:rFonts w:ascii="Arial" w:hAnsi="Arial" w:cs="Arial"/>
          <w:sz w:val="18"/>
          <w:szCs w:val="18"/>
        </w:rPr>
      </w:pPr>
      <w:r w:rsidRPr="00F31D8E">
        <w:rPr>
          <w:rFonts w:ascii="Arial" w:hAnsi="Arial" w:cs="Arial"/>
          <w:sz w:val="18"/>
          <w:szCs w:val="18"/>
        </w:rPr>
        <w:t>przygotowywanie i dostarczanie żywności dla odbiorców zewnętrznych /catering/,</w:t>
      </w:r>
    </w:p>
    <w:p w:rsidR="005D3822" w:rsidRPr="00F31D8E" w:rsidRDefault="005D3822" w:rsidP="005D3822">
      <w:pPr>
        <w:pStyle w:val="Akapitzlist"/>
        <w:numPr>
          <w:ilvl w:val="0"/>
          <w:numId w:val="14"/>
        </w:numPr>
        <w:tabs>
          <w:tab w:val="left" w:pos="540"/>
          <w:tab w:val="left" w:pos="993"/>
        </w:tabs>
        <w:spacing w:line="260" w:lineRule="exact"/>
        <w:ind w:left="993" w:hanging="851"/>
        <w:jc w:val="both"/>
        <w:rPr>
          <w:rFonts w:ascii="Arial" w:hAnsi="Arial" w:cs="Arial"/>
          <w:sz w:val="18"/>
          <w:szCs w:val="18"/>
        </w:rPr>
      </w:pPr>
      <w:r w:rsidRPr="00F31D8E">
        <w:rPr>
          <w:rFonts w:ascii="Arial" w:hAnsi="Arial" w:cs="Arial"/>
          <w:sz w:val="18"/>
          <w:szCs w:val="18"/>
        </w:rPr>
        <w:t>pozostała usługowa działalność gastronomiczna,</w:t>
      </w:r>
    </w:p>
    <w:p w:rsidR="005D3822" w:rsidRPr="00F31D8E" w:rsidRDefault="005D3822" w:rsidP="005D3822">
      <w:pPr>
        <w:pStyle w:val="Akapitzlist"/>
        <w:numPr>
          <w:ilvl w:val="0"/>
          <w:numId w:val="14"/>
        </w:numPr>
        <w:tabs>
          <w:tab w:val="left" w:pos="540"/>
          <w:tab w:val="left" w:pos="993"/>
        </w:tabs>
        <w:spacing w:line="260" w:lineRule="exact"/>
        <w:ind w:left="993" w:hanging="851"/>
        <w:jc w:val="both"/>
        <w:rPr>
          <w:rFonts w:ascii="Arial" w:hAnsi="Arial" w:cs="Arial"/>
          <w:sz w:val="18"/>
          <w:szCs w:val="18"/>
        </w:rPr>
      </w:pPr>
      <w:r w:rsidRPr="00F31D8E">
        <w:rPr>
          <w:rFonts w:ascii="Arial" w:hAnsi="Arial" w:cs="Arial"/>
          <w:sz w:val="18"/>
          <w:szCs w:val="18"/>
        </w:rPr>
        <w:t>pozostała działalność związana ze sportem,</w:t>
      </w:r>
    </w:p>
    <w:p w:rsidR="005D3822" w:rsidRPr="00F31D8E" w:rsidRDefault="005D3822" w:rsidP="005D3822">
      <w:pPr>
        <w:pStyle w:val="Akapitzlist"/>
        <w:numPr>
          <w:ilvl w:val="0"/>
          <w:numId w:val="14"/>
        </w:numPr>
        <w:tabs>
          <w:tab w:val="left" w:pos="540"/>
          <w:tab w:val="left" w:pos="993"/>
        </w:tabs>
        <w:spacing w:line="260" w:lineRule="exact"/>
        <w:ind w:left="993" w:hanging="851"/>
        <w:jc w:val="both"/>
        <w:rPr>
          <w:rFonts w:ascii="Arial" w:hAnsi="Arial" w:cs="Arial"/>
          <w:sz w:val="18"/>
          <w:szCs w:val="18"/>
        </w:rPr>
      </w:pPr>
      <w:r w:rsidRPr="00F31D8E">
        <w:rPr>
          <w:rFonts w:ascii="Arial" w:hAnsi="Arial" w:cs="Arial"/>
          <w:sz w:val="18"/>
          <w:szCs w:val="18"/>
        </w:rPr>
        <w:lastRenderedPageBreak/>
        <w:t>wypożyczanie i dzierżawa sprzętu rekreacyjnego i sportowego,</w:t>
      </w:r>
    </w:p>
    <w:p w:rsidR="005D3822" w:rsidRPr="00F31D8E" w:rsidRDefault="005D3822" w:rsidP="005D3822">
      <w:pPr>
        <w:pStyle w:val="Akapitzlist"/>
        <w:numPr>
          <w:ilvl w:val="0"/>
          <w:numId w:val="14"/>
        </w:numPr>
        <w:tabs>
          <w:tab w:val="left" w:pos="540"/>
          <w:tab w:val="left" w:pos="993"/>
        </w:tabs>
        <w:spacing w:line="260" w:lineRule="exact"/>
        <w:ind w:left="993" w:hanging="851"/>
        <w:jc w:val="both"/>
        <w:rPr>
          <w:rFonts w:ascii="Arial" w:hAnsi="Arial" w:cs="Arial"/>
          <w:sz w:val="18"/>
          <w:szCs w:val="18"/>
        </w:rPr>
      </w:pPr>
      <w:r w:rsidRPr="00F31D8E">
        <w:rPr>
          <w:rFonts w:ascii="Arial" w:hAnsi="Arial" w:cs="Arial"/>
          <w:sz w:val="18"/>
          <w:szCs w:val="18"/>
        </w:rPr>
        <w:t>pozostałe pozaszkolne formy edukacji, gdzie indziej niesklasyfikowane,</w:t>
      </w:r>
    </w:p>
    <w:p w:rsidR="005D3822" w:rsidRPr="00F31D8E" w:rsidRDefault="005D3822" w:rsidP="005D3822">
      <w:pPr>
        <w:pStyle w:val="Akapitzlist"/>
        <w:numPr>
          <w:ilvl w:val="0"/>
          <w:numId w:val="14"/>
        </w:numPr>
        <w:tabs>
          <w:tab w:val="left" w:pos="540"/>
          <w:tab w:val="left" w:pos="993"/>
        </w:tabs>
        <w:spacing w:line="260" w:lineRule="exact"/>
        <w:ind w:left="993" w:hanging="851"/>
        <w:jc w:val="both"/>
        <w:rPr>
          <w:rFonts w:ascii="Arial" w:hAnsi="Arial" w:cs="Arial"/>
          <w:sz w:val="18"/>
          <w:szCs w:val="18"/>
        </w:rPr>
      </w:pPr>
      <w:r w:rsidRPr="00F31D8E">
        <w:rPr>
          <w:rFonts w:ascii="Arial" w:hAnsi="Arial" w:cs="Arial"/>
          <w:sz w:val="18"/>
          <w:szCs w:val="18"/>
        </w:rPr>
        <w:t>działalność związana z organizacją targów, wystaw i kongresów,</w:t>
      </w:r>
    </w:p>
    <w:p w:rsidR="005D3822" w:rsidRPr="00F31D8E" w:rsidRDefault="005D3822" w:rsidP="005D3822">
      <w:pPr>
        <w:pStyle w:val="Akapitzlist"/>
        <w:numPr>
          <w:ilvl w:val="0"/>
          <w:numId w:val="14"/>
        </w:numPr>
        <w:tabs>
          <w:tab w:val="left" w:pos="540"/>
          <w:tab w:val="left" w:pos="993"/>
        </w:tabs>
        <w:spacing w:line="260" w:lineRule="exact"/>
        <w:ind w:left="993" w:hanging="851"/>
        <w:jc w:val="both"/>
        <w:rPr>
          <w:rFonts w:ascii="Arial" w:hAnsi="Arial" w:cs="Arial"/>
          <w:sz w:val="18"/>
          <w:szCs w:val="18"/>
        </w:rPr>
      </w:pPr>
      <w:r w:rsidRPr="00F31D8E">
        <w:rPr>
          <w:rFonts w:ascii="Arial" w:hAnsi="Arial" w:cs="Arial"/>
          <w:sz w:val="18"/>
          <w:szCs w:val="18"/>
        </w:rPr>
        <w:t>pozostała sprzedaż detaliczna prowadzona w niewyspecjalizowanych sklepach,</w:t>
      </w:r>
    </w:p>
    <w:p w:rsidR="005D3822" w:rsidRPr="00F31D8E" w:rsidRDefault="005D3822" w:rsidP="005D3822">
      <w:pPr>
        <w:pStyle w:val="Akapitzlist"/>
        <w:numPr>
          <w:ilvl w:val="0"/>
          <w:numId w:val="14"/>
        </w:numPr>
        <w:tabs>
          <w:tab w:val="left" w:pos="540"/>
          <w:tab w:val="left" w:pos="993"/>
        </w:tabs>
        <w:spacing w:line="260" w:lineRule="exact"/>
        <w:ind w:left="993" w:hanging="851"/>
        <w:jc w:val="both"/>
        <w:rPr>
          <w:rFonts w:ascii="Arial" w:hAnsi="Arial" w:cs="Arial"/>
          <w:sz w:val="18"/>
          <w:szCs w:val="18"/>
        </w:rPr>
      </w:pPr>
      <w:r w:rsidRPr="00F31D8E">
        <w:rPr>
          <w:rFonts w:ascii="Arial" w:hAnsi="Arial" w:cs="Arial"/>
          <w:sz w:val="18"/>
          <w:szCs w:val="18"/>
        </w:rPr>
        <w:t>działalność obiektów sportowych,</w:t>
      </w:r>
    </w:p>
    <w:p w:rsidR="005D3822" w:rsidRPr="00F31D8E" w:rsidRDefault="005D3822" w:rsidP="005D3822">
      <w:pPr>
        <w:pStyle w:val="Akapitzlist"/>
        <w:numPr>
          <w:ilvl w:val="0"/>
          <w:numId w:val="14"/>
        </w:numPr>
        <w:tabs>
          <w:tab w:val="left" w:pos="540"/>
          <w:tab w:val="left" w:pos="993"/>
        </w:tabs>
        <w:spacing w:line="260" w:lineRule="exact"/>
        <w:ind w:left="993" w:hanging="851"/>
        <w:jc w:val="both"/>
        <w:rPr>
          <w:rFonts w:ascii="Arial" w:hAnsi="Arial" w:cs="Arial"/>
          <w:sz w:val="18"/>
          <w:szCs w:val="18"/>
        </w:rPr>
      </w:pPr>
      <w:r w:rsidRPr="00F31D8E">
        <w:rPr>
          <w:rFonts w:ascii="Arial" w:hAnsi="Arial" w:cs="Arial"/>
          <w:sz w:val="18"/>
          <w:szCs w:val="18"/>
        </w:rPr>
        <w:t>działalność obiektów służących poprawie kondycji fizycznej,</w:t>
      </w:r>
    </w:p>
    <w:p w:rsidR="005D3822" w:rsidRPr="00F31D8E" w:rsidRDefault="005D3822" w:rsidP="005D3822">
      <w:pPr>
        <w:pStyle w:val="Akapitzlist"/>
        <w:numPr>
          <w:ilvl w:val="0"/>
          <w:numId w:val="14"/>
        </w:numPr>
        <w:tabs>
          <w:tab w:val="left" w:pos="540"/>
          <w:tab w:val="left" w:pos="993"/>
        </w:tabs>
        <w:spacing w:line="260" w:lineRule="exact"/>
        <w:ind w:left="993" w:hanging="851"/>
        <w:jc w:val="both"/>
        <w:rPr>
          <w:rFonts w:ascii="Arial" w:hAnsi="Arial" w:cs="Arial"/>
          <w:sz w:val="18"/>
          <w:szCs w:val="18"/>
        </w:rPr>
      </w:pPr>
      <w:r w:rsidRPr="00F31D8E">
        <w:rPr>
          <w:rFonts w:ascii="Arial" w:hAnsi="Arial" w:cs="Arial"/>
          <w:sz w:val="18"/>
          <w:szCs w:val="18"/>
        </w:rPr>
        <w:t>fryzjerstwo i pozostałe zabiegi kosmetyczne,</w:t>
      </w:r>
    </w:p>
    <w:p w:rsidR="005D3822" w:rsidRPr="00F31D8E" w:rsidRDefault="005D3822" w:rsidP="005D3822">
      <w:pPr>
        <w:pStyle w:val="Akapitzlist"/>
        <w:numPr>
          <w:ilvl w:val="0"/>
          <w:numId w:val="14"/>
        </w:numPr>
        <w:tabs>
          <w:tab w:val="left" w:pos="540"/>
        </w:tabs>
        <w:spacing w:line="260" w:lineRule="exact"/>
        <w:ind w:left="567" w:hanging="425"/>
        <w:jc w:val="both"/>
        <w:rPr>
          <w:rFonts w:ascii="Arial" w:hAnsi="Arial" w:cs="Arial"/>
          <w:sz w:val="18"/>
          <w:szCs w:val="18"/>
        </w:rPr>
      </w:pPr>
      <w:r w:rsidRPr="00F31D8E">
        <w:rPr>
          <w:rFonts w:ascii="Arial" w:hAnsi="Arial" w:cs="Arial"/>
          <w:sz w:val="18"/>
          <w:szCs w:val="18"/>
        </w:rPr>
        <w:t>dzierżawa własności intelektualnej i podobnych produktów, z wyłączeniem prac chronionych prawem autorskim.</w:t>
      </w:r>
    </w:p>
    <w:p w:rsidR="005D3822" w:rsidRPr="00F31D8E" w:rsidRDefault="005D3822" w:rsidP="005D3822">
      <w:pPr>
        <w:tabs>
          <w:tab w:val="left" w:pos="540"/>
        </w:tabs>
        <w:spacing w:line="260" w:lineRule="exact"/>
        <w:jc w:val="both"/>
        <w:rPr>
          <w:rFonts w:ascii="Arial" w:hAnsi="Arial" w:cs="Arial"/>
          <w:sz w:val="18"/>
          <w:szCs w:val="18"/>
        </w:rPr>
      </w:pPr>
    </w:p>
    <w:p w:rsidR="005D3822" w:rsidRPr="00661ED4" w:rsidRDefault="005D3822" w:rsidP="005D3822">
      <w:pPr>
        <w:tabs>
          <w:tab w:val="left" w:pos="540"/>
        </w:tabs>
        <w:spacing w:line="260" w:lineRule="exact"/>
        <w:jc w:val="both"/>
        <w:rPr>
          <w:rFonts w:ascii="Arial" w:hAnsi="Arial" w:cs="Arial"/>
          <w:sz w:val="18"/>
          <w:szCs w:val="18"/>
        </w:rPr>
      </w:pPr>
      <w:r w:rsidRPr="00661ED4">
        <w:rPr>
          <w:rFonts w:ascii="Arial" w:hAnsi="Arial" w:cs="Arial"/>
          <w:sz w:val="18"/>
          <w:szCs w:val="18"/>
        </w:rPr>
        <w:t>Akcje spółki znajdują się w obrocie na rynku regulowanym na Giełdzie Papierów Wartościowych w Warszawie.</w:t>
      </w:r>
    </w:p>
    <w:p w:rsidR="005D3822" w:rsidRPr="00661ED4" w:rsidRDefault="005D3822" w:rsidP="005D3822">
      <w:pPr>
        <w:tabs>
          <w:tab w:val="left" w:pos="540"/>
        </w:tabs>
        <w:spacing w:line="260" w:lineRule="exact"/>
        <w:jc w:val="both"/>
        <w:rPr>
          <w:rFonts w:ascii="Arial" w:hAnsi="Arial" w:cs="Arial"/>
          <w:sz w:val="18"/>
          <w:szCs w:val="18"/>
        </w:rPr>
      </w:pPr>
    </w:p>
    <w:p w:rsidR="0052770A" w:rsidRPr="00491116" w:rsidRDefault="0052770A" w:rsidP="0052770A">
      <w:pPr>
        <w:tabs>
          <w:tab w:val="left" w:pos="540"/>
        </w:tabs>
        <w:spacing w:line="260" w:lineRule="exact"/>
        <w:jc w:val="both"/>
        <w:rPr>
          <w:rFonts w:ascii="Arial" w:hAnsi="Arial" w:cs="Arial"/>
          <w:sz w:val="18"/>
          <w:szCs w:val="18"/>
        </w:rPr>
      </w:pPr>
      <w:r w:rsidRPr="00491116">
        <w:rPr>
          <w:rFonts w:ascii="Arial" w:hAnsi="Arial" w:cs="Arial"/>
          <w:sz w:val="18"/>
          <w:szCs w:val="18"/>
        </w:rPr>
        <w:t>Podmiotem dominującym wobec Spółki jest Fundusz Hotele 01 Spółka z o.o. spółka komandytowo-akcyjna, który posiada 67,71% akcji Spółki. Pośrednio poprzez spółki zależne, KGHM I Fundusz Inwestycyjny Zamknięty Aktywów Niepublicznych posiada łącznie 69,</w:t>
      </w:r>
      <w:r w:rsidR="00491116" w:rsidRPr="00491116">
        <w:rPr>
          <w:rFonts w:ascii="Arial" w:hAnsi="Arial" w:cs="Arial"/>
          <w:sz w:val="18"/>
          <w:szCs w:val="18"/>
        </w:rPr>
        <w:t>71</w:t>
      </w:r>
      <w:r w:rsidRPr="00491116">
        <w:rPr>
          <w:rFonts w:ascii="Arial" w:hAnsi="Arial" w:cs="Arial"/>
          <w:sz w:val="18"/>
          <w:szCs w:val="18"/>
        </w:rPr>
        <w:t>% akcji Spółki (Szczegóły w nocie XXI).</w:t>
      </w:r>
    </w:p>
    <w:p w:rsidR="005D3822" w:rsidRDefault="0052770A" w:rsidP="0052770A">
      <w:pPr>
        <w:tabs>
          <w:tab w:val="left" w:pos="540"/>
        </w:tabs>
        <w:spacing w:line="260" w:lineRule="exact"/>
        <w:jc w:val="both"/>
        <w:rPr>
          <w:rFonts w:ascii="Arial" w:hAnsi="Arial" w:cs="Arial"/>
          <w:sz w:val="18"/>
          <w:szCs w:val="18"/>
        </w:rPr>
      </w:pPr>
      <w:r w:rsidRPr="002D538C">
        <w:rPr>
          <w:rFonts w:ascii="Arial" w:hAnsi="Arial" w:cs="Arial"/>
          <w:sz w:val="18"/>
          <w:szCs w:val="18"/>
        </w:rPr>
        <w:t>Jednostką dominującą wyższego szczebla jest spółka KGHM Polska Miedź S.A, w której 31,79 % akcji posiada Skarb Państwa.</w:t>
      </w:r>
    </w:p>
    <w:p w:rsidR="0052770A" w:rsidRDefault="0052770A" w:rsidP="0052770A">
      <w:pPr>
        <w:tabs>
          <w:tab w:val="left" w:pos="540"/>
        </w:tabs>
        <w:spacing w:line="260" w:lineRule="exact"/>
        <w:jc w:val="both"/>
        <w:rPr>
          <w:rFonts w:ascii="Arial" w:hAnsi="Arial" w:cs="Arial"/>
          <w:sz w:val="18"/>
          <w:szCs w:val="18"/>
        </w:rPr>
      </w:pPr>
    </w:p>
    <w:p w:rsidR="005D3822" w:rsidRPr="00661ED4" w:rsidRDefault="005D3822" w:rsidP="005D3822">
      <w:pPr>
        <w:tabs>
          <w:tab w:val="left" w:pos="540"/>
        </w:tabs>
        <w:spacing w:line="260" w:lineRule="exact"/>
        <w:jc w:val="both"/>
        <w:rPr>
          <w:rFonts w:ascii="Arial" w:hAnsi="Arial" w:cs="Arial"/>
          <w:sz w:val="8"/>
          <w:szCs w:val="8"/>
        </w:rPr>
      </w:pPr>
      <w:r w:rsidRPr="00661ED4">
        <w:rPr>
          <w:rFonts w:ascii="Arial" w:hAnsi="Arial" w:cs="Arial"/>
          <w:sz w:val="18"/>
          <w:szCs w:val="18"/>
        </w:rPr>
        <w:t xml:space="preserve">W skład Zarządu na dzień 30 </w:t>
      </w:r>
      <w:r>
        <w:rPr>
          <w:rFonts w:ascii="Arial" w:hAnsi="Arial" w:cs="Arial"/>
          <w:sz w:val="18"/>
          <w:szCs w:val="18"/>
        </w:rPr>
        <w:t>września</w:t>
      </w:r>
      <w:r w:rsidRPr="00661ED4">
        <w:rPr>
          <w:rFonts w:ascii="Arial" w:hAnsi="Arial" w:cs="Arial"/>
          <w:sz w:val="18"/>
          <w:szCs w:val="18"/>
        </w:rPr>
        <w:t xml:space="preserve"> </w:t>
      </w:r>
      <w:r>
        <w:rPr>
          <w:rFonts w:ascii="Arial" w:hAnsi="Arial" w:cs="Arial"/>
          <w:sz w:val="18"/>
          <w:szCs w:val="18"/>
        </w:rPr>
        <w:t>202</w:t>
      </w:r>
      <w:r w:rsidR="006915D0">
        <w:rPr>
          <w:rFonts w:ascii="Arial" w:hAnsi="Arial" w:cs="Arial"/>
          <w:sz w:val="18"/>
          <w:szCs w:val="18"/>
        </w:rPr>
        <w:t>1</w:t>
      </w:r>
      <w:r w:rsidRPr="00661ED4">
        <w:rPr>
          <w:rFonts w:ascii="Arial" w:hAnsi="Arial" w:cs="Arial"/>
          <w:sz w:val="18"/>
          <w:szCs w:val="18"/>
        </w:rPr>
        <w:t xml:space="preserve"> r. wchodzili:</w:t>
      </w:r>
    </w:p>
    <w:p w:rsidR="005D3822" w:rsidRPr="00661ED4" w:rsidRDefault="005D3822" w:rsidP="005D3822">
      <w:pPr>
        <w:tabs>
          <w:tab w:val="left" w:pos="540"/>
        </w:tabs>
        <w:spacing w:line="260" w:lineRule="exact"/>
        <w:jc w:val="both"/>
        <w:rPr>
          <w:rFonts w:ascii="Arial" w:hAnsi="Arial" w:cs="Arial"/>
          <w:sz w:val="18"/>
          <w:szCs w:val="18"/>
        </w:rPr>
      </w:pPr>
      <w:r w:rsidRPr="00661ED4">
        <w:rPr>
          <w:rFonts w:ascii="Arial" w:hAnsi="Arial" w:cs="Arial"/>
          <w:sz w:val="18"/>
          <w:szCs w:val="18"/>
        </w:rPr>
        <w:t xml:space="preserve">- </w:t>
      </w:r>
      <w:r>
        <w:rPr>
          <w:rFonts w:ascii="Arial" w:hAnsi="Arial" w:cs="Arial"/>
          <w:sz w:val="18"/>
          <w:szCs w:val="18"/>
        </w:rPr>
        <w:t>Łukasz Ciołek</w:t>
      </w:r>
      <w:r w:rsidRPr="00661ED4">
        <w:rPr>
          <w:rFonts w:ascii="Arial" w:hAnsi="Arial" w:cs="Arial"/>
          <w:sz w:val="18"/>
          <w:szCs w:val="18"/>
        </w:rPr>
        <w:t xml:space="preserve"> – Prezes Zarządu</w:t>
      </w:r>
    </w:p>
    <w:p w:rsidR="005D3822" w:rsidRPr="00661ED4" w:rsidRDefault="005D3822" w:rsidP="005D3822">
      <w:pPr>
        <w:tabs>
          <w:tab w:val="left" w:pos="540"/>
        </w:tabs>
        <w:spacing w:line="260" w:lineRule="exact"/>
        <w:jc w:val="both"/>
        <w:rPr>
          <w:rFonts w:ascii="Arial" w:hAnsi="Arial" w:cs="Arial"/>
          <w:sz w:val="18"/>
          <w:szCs w:val="18"/>
        </w:rPr>
      </w:pPr>
      <w:r w:rsidRPr="00661ED4">
        <w:rPr>
          <w:rFonts w:ascii="Arial" w:hAnsi="Arial" w:cs="Arial"/>
          <w:sz w:val="18"/>
          <w:szCs w:val="18"/>
        </w:rPr>
        <w:t xml:space="preserve">- </w:t>
      </w:r>
      <w:r>
        <w:rPr>
          <w:rFonts w:ascii="Arial" w:hAnsi="Arial" w:cs="Arial"/>
          <w:sz w:val="18"/>
          <w:szCs w:val="18"/>
        </w:rPr>
        <w:t>Urszula Bąkowska-Morawska</w:t>
      </w:r>
      <w:r w:rsidRPr="00661ED4">
        <w:rPr>
          <w:rFonts w:ascii="Arial" w:hAnsi="Arial" w:cs="Arial"/>
          <w:sz w:val="18"/>
          <w:szCs w:val="18"/>
        </w:rPr>
        <w:t xml:space="preserve"> – Wiceprezes Zarządu.</w:t>
      </w:r>
    </w:p>
    <w:p w:rsidR="005D3822" w:rsidRPr="00661ED4" w:rsidRDefault="005D3822" w:rsidP="005D3822">
      <w:pPr>
        <w:tabs>
          <w:tab w:val="left" w:pos="540"/>
        </w:tabs>
        <w:spacing w:line="260" w:lineRule="exact"/>
        <w:jc w:val="both"/>
        <w:rPr>
          <w:rFonts w:ascii="Arial" w:hAnsi="Arial" w:cs="Arial"/>
          <w:sz w:val="18"/>
          <w:szCs w:val="18"/>
        </w:rPr>
      </w:pPr>
    </w:p>
    <w:p w:rsidR="005D3822" w:rsidRDefault="005D3822" w:rsidP="005D3822">
      <w:pPr>
        <w:tabs>
          <w:tab w:val="left" w:pos="540"/>
        </w:tabs>
        <w:spacing w:line="260" w:lineRule="exact"/>
        <w:jc w:val="both"/>
        <w:rPr>
          <w:rFonts w:ascii="Arial" w:hAnsi="Arial" w:cs="Arial"/>
          <w:sz w:val="18"/>
          <w:szCs w:val="18"/>
        </w:rPr>
      </w:pPr>
      <w:r>
        <w:rPr>
          <w:rFonts w:ascii="Arial" w:hAnsi="Arial" w:cs="Arial"/>
          <w:sz w:val="18"/>
          <w:szCs w:val="18"/>
        </w:rPr>
        <w:t>W trakcie 9 m-cy 202</w:t>
      </w:r>
      <w:r w:rsidR="006915D0">
        <w:rPr>
          <w:rFonts w:ascii="Arial" w:hAnsi="Arial" w:cs="Arial"/>
          <w:sz w:val="18"/>
          <w:szCs w:val="18"/>
        </w:rPr>
        <w:t>1</w:t>
      </w:r>
      <w:r w:rsidRPr="00B441B3">
        <w:rPr>
          <w:rFonts w:ascii="Arial" w:hAnsi="Arial" w:cs="Arial"/>
          <w:sz w:val="18"/>
          <w:szCs w:val="18"/>
        </w:rPr>
        <w:t xml:space="preserve"> roku</w:t>
      </w:r>
      <w:r>
        <w:rPr>
          <w:rFonts w:ascii="Arial" w:hAnsi="Arial" w:cs="Arial"/>
          <w:sz w:val="18"/>
          <w:szCs w:val="18"/>
        </w:rPr>
        <w:t xml:space="preserve"> nie </w:t>
      </w:r>
      <w:r w:rsidRPr="00B441B3">
        <w:rPr>
          <w:rFonts w:ascii="Arial" w:hAnsi="Arial" w:cs="Arial"/>
          <w:sz w:val="18"/>
          <w:szCs w:val="18"/>
        </w:rPr>
        <w:t>wystąpiły zmiany w składzie Zarządu.</w:t>
      </w:r>
      <w:r>
        <w:rPr>
          <w:rFonts w:ascii="Arial" w:hAnsi="Arial" w:cs="Arial"/>
          <w:sz w:val="18"/>
          <w:szCs w:val="18"/>
        </w:rPr>
        <w:t xml:space="preserve"> </w:t>
      </w:r>
    </w:p>
    <w:p w:rsidR="005D3822" w:rsidRDefault="005D3822" w:rsidP="005D3822">
      <w:pPr>
        <w:tabs>
          <w:tab w:val="left" w:pos="540"/>
        </w:tabs>
        <w:spacing w:line="260" w:lineRule="exact"/>
        <w:jc w:val="both"/>
        <w:rPr>
          <w:rFonts w:ascii="Arial" w:hAnsi="Arial" w:cs="Arial"/>
          <w:sz w:val="18"/>
          <w:szCs w:val="18"/>
        </w:rPr>
      </w:pPr>
    </w:p>
    <w:p w:rsidR="005D3822" w:rsidRPr="00F31D8E" w:rsidRDefault="005D3822" w:rsidP="005D3822">
      <w:pPr>
        <w:tabs>
          <w:tab w:val="left" w:pos="360"/>
          <w:tab w:val="left" w:pos="540"/>
        </w:tabs>
        <w:spacing w:line="260" w:lineRule="exact"/>
        <w:jc w:val="both"/>
        <w:rPr>
          <w:rFonts w:ascii="Arial" w:hAnsi="Arial" w:cs="Arial"/>
          <w:sz w:val="18"/>
          <w:szCs w:val="18"/>
        </w:rPr>
      </w:pPr>
      <w:r w:rsidRPr="00045C58">
        <w:rPr>
          <w:rFonts w:ascii="Arial" w:hAnsi="Arial" w:cs="Arial"/>
          <w:sz w:val="18"/>
          <w:szCs w:val="18"/>
        </w:rPr>
        <w:t>Do przeliczenia wybranych danych finansowych na walutę EUR przyjęto następujące kursy:</w:t>
      </w:r>
    </w:p>
    <w:p w:rsidR="005D3822" w:rsidRPr="00F31D8E" w:rsidRDefault="005D3822" w:rsidP="005D3822">
      <w:pPr>
        <w:tabs>
          <w:tab w:val="left" w:pos="360"/>
          <w:tab w:val="left" w:pos="540"/>
        </w:tabs>
        <w:spacing w:line="260" w:lineRule="exact"/>
        <w:jc w:val="both"/>
        <w:rPr>
          <w:rFonts w:ascii="Arial" w:hAnsi="Arial" w:cs="Arial"/>
          <w:sz w:val="18"/>
          <w:szCs w:val="18"/>
        </w:rPr>
      </w:pPr>
    </w:p>
    <w:p w:rsidR="005D3822" w:rsidRPr="00491116" w:rsidRDefault="005D3822" w:rsidP="005D3822">
      <w:pPr>
        <w:pStyle w:val="Akapitzlist"/>
        <w:numPr>
          <w:ilvl w:val="0"/>
          <w:numId w:val="28"/>
        </w:numPr>
        <w:tabs>
          <w:tab w:val="left" w:pos="540"/>
        </w:tabs>
        <w:spacing w:line="260" w:lineRule="exact"/>
        <w:ind w:left="567" w:hanging="567"/>
        <w:jc w:val="both"/>
        <w:rPr>
          <w:rFonts w:ascii="Arial" w:hAnsi="Arial" w:cs="Arial"/>
          <w:sz w:val="18"/>
          <w:szCs w:val="18"/>
        </w:rPr>
      </w:pPr>
      <w:r w:rsidRPr="00491116">
        <w:rPr>
          <w:rFonts w:ascii="Arial" w:hAnsi="Arial" w:cs="Arial"/>
          <w:sz w:val="18"/>
          <w:szCs w:val="18"/>
        </w:rPr>
        <w:t>przeliczenie obrotów, wyników finansowych oraz przepływów pieniężnych za okres bieżący, według kursu 4,</w:t>
      </w:r>
      <w:r w:rsidR="00491116" w:rsidRPr="00491116">
        <w:rPr>
          <w:rFonts w:ascii="Arial" w:hAnsi="Arial" w:cs="Arial"/>
          <w:sz w:val="18"/>
          <w:szCs w:val="18"/>
        </w:rPr>
        <w:t>5664</w:t>
      </w:r>
      <w:r w:rsidRPr="00491116">
        <w:rPr>
          <w:rFonts w:ascii="Arial" w:hAnsi="Arial" w:cs="Arial"/>
          <w:sz w:val="18"/>
          <w:szCs w:val="18"/>
        </w:rPr>
        <w:t xml:space="preserve"> PLN/EUR,</w:t>
      </w:r>
    </w:p>
    <w:p w:rsidR="005D3822" w:rsidRPr="00491116" w:rsidRDefault="005D3822" w:rsidP="005D3822">
      <w:pPr>
        <w:pStyle w:val="Akapitzlist"/>
        <w:numPr>
          <w:ilvl w:val="0"/>
          <w:numId w:val="28"/>
        </w:numPr>
        <w:tabs>
          <w:tab w:val="left" w:pos="540"/>
        </w:tabs>
        <w:spacing w:line="260" w:lineRule="exact"/>
        <w:ind w:left="567" w:hanging="567"/>
        <w:jc w:val="both"/>
        <w:rPr>
          <w:rFonts w:ascii="Arial" w:hAnsi="Arial" w:cs="Arial"/>
          <w:sz w:val="18"/>
          <w:szCs w:val="18"/>
        </w:rPr>
      </w:pPr>
      <w:r w:rsidRPr="00491116">
        <w:rPr>
          <w:rFonts w:ascii="Arial" w:hAnsi="Arial" w:cs="Arial"/>
          <w:sz w:val="18"/>
          <w:szCs w:val="18"/>
        </w:rPr>
        <w:t>przeliczenie aktywów, kapitału i zobowiązań na 30 września 202</w:t>
      </w:r>
      <w:r w:rsidR="00491116" w:rsidRPr="00491116">
        <w:rPr>
          <w:rFonts w:ascii="Arial" w:hAnsi="Arial" w:cs="Arial"/>
          <w:sz w:val="18"/>
          <w:szCs w:val="18"/>
        </w:rPr>
        <w:t>1</w:t>
      </w:r>
      <w:r w:rsidRPr="00491116">
        <w:rPr>
          <w:rFonts w:ascii="Arial" w:hAnsi="Arial" w:cs="Arial"/>
          <w:sz w:val="18"/>
          <w:szCs w:val="18"/>
        </w:rPr>
        <w:t xml:space="preserve"> r. według kursu 4,</w:t>
      </w:r>
      <w:r w:rsidR="00491116" w:rsidRPr="00491116">
        <w:rPr>
          <w:rFonts w:ascii="Arial" w:hAnsi="Arial" w:cs="Arial"/>
          <w:sz w:val="18"/>
          <w:szCs w:val="18"/>
        </w:rPr>
        <w:t>6329</w:t>
      </w:r>
      <w:r w:rsidRPr="00491116">
        <w:rPr>
          <w:rFonts w:ascii="Arial" w:hAnsi="Arial" w:cs="Arial"/>
          <w:sz w:val="18"/>
          <w:szCs w:val="18"/>
        </w:rPr>
        <w:t xml:space="preserve"> PLN/EUR</w:t>
      </w:r>
    </w:p>
    <w:p w:rsidR="005D3822" w:rsidRPr="00491116" w:rsidRDefault="005D3822" w:rsidP="005D3822">
      <w:pPr>
        <w:pStyle w:val="Akapitzlist"/>
        <w:numPr>
          <w:ilvl w:val="0"/>
          <w:numId w:val="28"/>
        </w:numPr>
        <w:tabs>
          <w:tab w:val="left" w:pos="540"/>
        </w:tabs>
        <w:spacing w:line="260" w:lineRule="exact"/>
        <w:ind w:left="567" w:hanging="567"/>
        <w:jc w:val="both"/>
        <w:rPr>
          <w:rFonts w:ascii="Arial" w:hAnsi="Arial" w:cs="Arial"/>
          <w:sz w:val="18"/>
          <w:szCs w:val="18"/>
        </w:rPr>
      </w:pPr>
      <w:r w:rsidRPr="00491116">
        <w:rPr>
          <w:rFonts w:ascii="Arial" w:hAnsi="Arial" w:cs="Arial"/>
          <w:sz w:val="18"/>
          <w:szCs w:val="18"/>
        </w:rPr>
        <w:t>przeliczenie obrotów, wyników finansowych oraz przepływów pieniężnych za okre</w:t>
      </w:r>
      <w:r w:rsidR="00491116" w:rsidRPr="00491116">
        <w:rPr>
          <w:rFonts w:ascii="Arial" w:hAnsi="Arial" w:cs="Arial"/>
          <w:sz w:val="18"/>
          <w:szCs w:val="18"/>
        </w:rPr>
        <w:t>s porównywalny, według kursu 4,4420</w:t>
      </w:r>
      <w:r w:rsidRPr="00491116">
        <w:rPr>
          <w:rFonts w:ascii="Arial" w:hAnsi="Arial" w:cs="Arial"/>
          <w:sz w:val="18"/>
          <w:szCs w:val="18"/>
        </w:rPr>
        <w:t xml:space="preserve"> PLN/EUR,</w:t>
      </w:r>
    </w:p>
    <w:p w:rsidR="005D3822" w:rsidRPr="00491116" w:rsidRDefault="005D3822" w:rsidP="005D3822">
      <w:pPr>
        <w:pStyle w:val="Akapitzlist"/>
        <w:numPr>
          <w:ilvl w:val="0"/>
          <w:numId w:val="28"/>
        </w:numPr>
        <w:tabs>
          <w:tab w:val="left" w:pos="540"/>
        </w:tabs>
        <w:spacing w:line="260" w:lineRule="exact"/>
        <w:ind w:hanging="720"/>
        <w:jc w:val="both"/>
        <w:rPr>
          <w:rFonts w:ascii="Arial" w:hAnsi="Arial" w:cs="Arial"/>
          <w:sz w:val="18"/>
          <w:szCs w:val="18"/>
        </w:rPr>
      </w:pPr>
      <w:r w:rsidRPr="00491116">
        <w:rPr>
          <w:rFonts w:ascii="Arial" w:hAnsi="Arial" w:cs="Arial"/>
          <w:sz w:val="18"/>
          <w:szCs w:val="18"/>
        </w:rPr>
        <w:t>przeliczenie aktywów, kapitału i zobowiązań na 31 grudnia 20</w:t>
      </w:r>
      <w:r w:rsidR="00491116" w:rsidRPr="00491116">
        <w:rPr>
          <w:rFonts w:ascii="Arial" w:hAnsi="Arial" w:cs="Arial"/>
          <w:sz w:val="18"/>
          <w:szCs w:val="18"/>
        </w:rPr>
        <w:t>20</w:t>
      </w:r>
      <w:r w:rsidRPr="00491116">
        <w:rPr>
          <w:rFonts w:ascii="Arial" w:hAnsi="Arial" w:cs="Arial"/>
          <w:sz w:val="18"/>
          <w:szCs w:val="18"/>
        </w:rPr>
        <w:t xml:space="preserve"> r. według kursu 4,</w:t>
      </w:r>
      <w:r w:rsidR="00491116" w:rsidRPr="00491116">
        <w:rPr>
          <w:rFonts w:ascii="Arial" w:hAnsi="Arial" w:cs="Arial"/>
          <w:sz w:val="18"/>
          <w:szCs w:val="18"/>
        </w:rPr>
        <w:t>6148</w:t>
      </w:r>
      <w:r w:rsidRPr="00491116">
        <w:rPr>
          <w:rFonts w:ascii="Arial" w:hAnsi="Arial" w:cs="Arial"/>
          <w:sz w:val="18"/>
          <w:szCs w:val="18"/>
        </w:rPr>
        <w:t xml:space="preserve"> PLN/EUR.</w:t>
      </w:r>
    </w:p>
    <w:p w:rsidR="005D3822" w:rsidRDefault="005D3822" w:rsidP="005D3822">
      <w:pPr>
        <w:tabs>
          <w:tab w:val="left" w:pos="540"/>
        </w:tabs>
        <w:spacing w:line="260" w:lineRule="exact"/>
        <w:jc w:val="both"/>
        <w:rPr>
          <w:rFonts w:ascii="Arial" w:hAnsi="Arial" w:cs="Arial"/>
          <w:i/>
          <w:sz w:val="18"/>
          <w:szCs w:val="18"/>
        </w:rPr>
      </w:pPr>
    </w:p>
    <w:p w:rsidR="005D3822" w:rsidRPr="00F31D8E" w:rsidRDefault="005D3822" w:rsidP="005D3822">
      <w:pPr>
        <w:tabs>
          <w:tab w:val="left" w:pos="540"/>
        </w:tabs>
        <w:spacing w:line="260" w:lineRule="exact"/>
        <w:jc w:val="both"/>
        <w:rPr>
          <w:rFonts w:ascii="Arial" w:hAnsi="Arial" w:cs="Arial"/>
          <w:i/>
          <w:sz w:val="18"/>
          <w:szCs w:val="18"/>
        </w:rPr>
      </w:pPr>
    </w:p>
    <w:p w:rsidR="005D3822" w:rsidRPr="00F31D8E" w:rsidRDefault="005D3822" w:rsidP="005D3822">
      <w:pPr>
        <w:tabs>
          <w:tab w:val="left" w:pos="540"/>
        </w:tabs>
        <w:spacing w:line="260" w:lineRule="exact"/>
        <w:jc w:val="both"/>
        <w:rPr>
          <w:rFonts w:ascii="Arial" w:hAnsi="Arial" w:cs="Arial"/>
          <w:i/>
          <w:sz w:val="18"/>
          <w:szCs w:val="18"/>
        </w:rPr>
      </w:pPr>
      <w:r w:rsidRPr="00F31D8E">
        <w:rPr>
          <w:rFonts w:ascii="Arial" w:hAnsi="Arial" w:cs="Arial"/>
          <w:b/>
          <w:bCs/>
          <w:i/>
          <w:sz w:val="18"/>
          <w:szCs w:val="18"/>
        </w:rPr>
        <w:t>2.  Zasady rachunkowości.</w:t>
      </w:r>
    </w:p>
    <w:p w:rsidR="005D3822" w:rsidRPr="00F31D8E" w:rsidRDefault="005D3822" w:rsidP="005D3822">
      <w:pPr>
        <w:tabs>
          <w:tab w:val="left" w:pos="540"/>
        </w:tabs>
        <w:spacing w:line="260" w:lineRule="exact"/>
        <w:jc w:val="both"/>
        <w:rPr>
          <w:rFonts w:ascii="Arial" w:hAnsi="Arial" w:cs="Arial"/>
          <w:b/>
          <w:bCs/>
          <w:i/>
          <w:sz w:val="18"/>
          <w:szCs w:val="18"/>
        </w:rPr>
      </w:pPr>
      <w:r w:rsidRPr="00F31D8E">
        <w:rPr>
          <w:rFonts w:ascii="Arial" w:hAnsi="Arial" w:cs="Arial"/>
          <w:b/>
          <w:bCs/>
          <w:i/>
          <w:sz w:val="18"/>
          <w:szCs w:val="18"/>
        </w:rPr>
        <w:t>2.1 Podstawa sporządzenia.</w:t>
      </w:r>
    </w:p>
    <w:p w:rsidR="005D3822" w:rsidRPr="00F31D8E" w:rsidRDefault="005D3822" w:rsidP="005D3822">
      <w:pPr>
        <w:tabs>
          <w:tab w:val="left" w:pos="540"/>
        </w:tabs>
        <w:spacing w:line="260" w:lineRule="exact"/>
        <w:jc w:val="both"/>
        <w:rPr>
          <w:rFonts w:ascii="Arial" w:hAnsi="Arial" w:cs="Arial"/>
          <w:sz w:val="18"/>
          <w:szCs w:val="18"/>
        </w:rPr>
      </w:pPr>
    </w:p>
    <w:p w:rsidR="005D3822" w:rsidRPr="00A26FC9" w:rsidRDefault="005D3822" w:rsidP="005D3822">
      <w:pPr>
        <w:spacing w:before="60" w:line="240" w:lineRule="atLeast"/>
        <w:jc w:val="both"/>
        <w:rPr>
          <w:rFonts w:ascii="Arial" w:hAnsi="Arial" w:cs="Arial"/>
          <w:i/>
          <w:sz w:val="18"/>
          <w:szCs w:val="18"/>
        </w:rPr>
      </w:pPr>
      <w:r w:rsidRPr="003A6B13">
        <w:rPr>
          <w:rFonts w:ascii="Arial" w:hAnsi="Arial" w:cs="Arial"/>
          <w:sz w:val="18"/>
          <w:szCs w:val="18"/>
        </w:rPr>
        <w:t>N</w:t>
      </w:r>
      <w:r w:rsidRPr="00A26FC9">
        <w:rPr>
          <w:rFonts w:ascii="Arial" w:hAnsi="Arial" w:cs="Arial"/>
          <w:sz w:val="18"/>
          <w:szCs w:val="18"/>
        </w:rPr>
        <w:t>iniejsze śródroczne skrócone sprawozdanie finansowe zostało sporządzone zgodnie z Międzynarodowymi Standardami Sprawozdawczości Finansowej („MSSF”), w szczególności zgodnie z Międzynarodowym Standardem Rachunkowości nr 34 oraz MSSF zatwierdzonymi przez UE.</w:t>
      </w:r>
    </w:p>
    <w:p w:rsidR="005D3822" w:rsidRPr="00A26FC9" w:rsidRDefault="005D3822" w:rsidP="005D3822">
      <w:pPr>
        <w:tabs>
          <w:tab w:val="left" w:pos="540"/>
        </w:tabs>
        <w:spacing w:line="260" w:lineRule="exact"/>
        <w:jc w:val="both"/>
        <w:rPr>
          <w:rFonts w:ascii="Arial" w:hAnsi="Arial" w:cs="Arial"/>
          <w:sz w:val="18"/>
          <w:szCs w:val="18"/>
        </w:rPr>
      </w:pPr>
      <w:r w:rsidRPr="00A26FC9">
        <w:rPr>
          <w:rFonts w:ascii="Arial" w:hAnsi="Arial" w:cs="Arial"/>
          <w:sz w:val="18"/>
          <w:szCs w:val="18"/>
        </w:rPr>
        <w:t>MSSF obejmują standardy i interpretacje zaakceptowane przez Radę Międzynarodowych Standardów Rachunkowości („RMSR”) oraz Komitet ds. Interpretacji Międzynarodowej Sprawozdawczości Finansowej („KIMSF”).</w:t>
      </w:r>
    </w:p>
    <w:p w:rsidR="005D3822" w:rsidRPr="00A26FC9" w:rsidRDefault="005D3822" w:rsidP="005D3822">
      <w:pPr>
        <w:tabs>
          <w:tab w:val="left" w:pos="540"/>
        </w:tabs>
        <w:spacing w:line="260" w:lineRule="exact"/>
        <w:jc w:val="both"/>
        <w:rPr>
          <w:rFonts w:ascii="Arial" w:hAnsi="Arial" w:cs="Arial"/>
          <w:sz w:val="18"/>
          <w:szCs w:val="18"/>
        </w:rPr>
      </w:pPr>
    </w:p>
    <w:p w:rsidR="005D3822" w:rsidRPr="00A26FC9" w:rsidRDefault="005D3822" w:rsidP="005D3822">
      <w:pPr>
        <w:tabs>
          <w:tab w:val="left" w:pos="540"/>
        </w:tabs>
        <w:spacing w:line="260" w:lineRule="exact"/>
        <w:jc w:val="both"/>
        <w:rPr>
          <w:rFonts w:ascii="Arial" w:hAnsi="Arial" w:cs="Arial"/>
          <w:sz w:val="18"/>
          <w:szCs w:val="18"/>
        </w:rPr>
      </w:pPr>
      <w:r w:rsidRPr="00A26FC9">
        <w:rPr>
          <w:rFonts w:ascii="Arial" w:hAnsi="Arial" w:cs="Arial"/>
          <w:sz w:val="18"/>
          <w:szCs w:val="18"/>
        </w:rPr>
        <w:t xml:space="preserve">Niniejsze śródroczne skrócone sprawozdanie finansowe jest przedstawione w tysiącach złotych („tys. zł.”), </w:t>
      </w:r>
      <w:r w:rsidRPr="00A26FC9">
        <w:rPr>
          <w:rFonts w:ascii="Arial" w:hAnsi="Arial" w:cs="Arial"/>
          <w:sz w:val="18"/>
          <w:szCs w:val="18"/>
        </w:rPr>
        <w:br/>
        <w:t>o ile nie wskazano inaczej.</w:t>
      </w:r>
    </w:p>
    <w:p w:rsidR="005D3822" w:rsidRPr="00A26FC9" w:rsidRDefault="005D3822" w:rsidP="005D3822">
      <w:pPr>
        <w:tabs>
          <w:tab w:val="left" w:pos="540"/>
        </w:tabs>
        <w:spacing w:line="260" w:lineRule="exact"/>
        <w:jc w:val="both"/>
        <w:rPr>
          <w:rFonts w:ascii="Arial" w:hAnsi="Arial" w:cs="Arial"/>
          <w:sz w:val="18"/>
          <w:szCs w:val="18"/>
        </w:rPr>
      </w:pPr>
      <w:r w:rsidRPr="00A26FC9">
        <w:rPr>
          <w:rFonts w:ascii="Arial" w:hAnsi="Arial" w:cs="Arial"/>
          <w:sz w:val="18"/>
          <w:szCs w:val="18"/>
        </w:rPr>
        <w:t>Śródroczny wynik finansowy może nie odzwierciedlać w pełni możliwego do zrealizowania wyniku finansowego za rok obrotowy.</w:t>
      </w:r>
    </w:p>
    <w:p w:rsidR="005D3822" w:rsidRPr="00A26FC9" w:rsidRDefault="005D3822" w:rsidP="005D3822">
      <w:pPr>
        <w:tabs>
          <w:tab w:val="left" w:pos="540"/>
        </w:tabs>
        <w:spacing w:line="260" w:lineRule="exact"/>
        <w:jc w:val="both"/>
        <w:rPr>
          <w:rFonts w:ascii="Arial" w:hAnsi="Arial" w:cs="Arial"/>
          <w:sz w:val="18"/>
          <w:szCs w:val="18"/>
        </w:rPr>
      </w:pPr>
      <w:r w:rsidRPr="00A26FC9">
        <w:rPr>
          <w:rFonts w:ascii="Arial" w:hAnsi="Arial" w:cs="Arial"/>
          <w:sz w:val="18"/>
          <w:szCs w:val="18"/>
        </w:rPr>
        <w:t xml:space="preserve">Niniejsze sprawozdanie finansowe zostało sporządzone przy założeniu kontynuacji działalności gospodarczej przez Spółkę w niezmienionej formie i zakresie przez okres co najmniej 12 miesięcy od dnia kończącego okres sprawozdawczy i nie istnieją przesłanki zamierzonego lub przymusowego zaniechania bądź istotnego ograniczenia przez nią dotychczasowej działalności. Zarząd Spółki nie stwierdza na dzień podpisania </w:t>
      </w:r>
      <w:r w:rsidRPr="00A26FC9">
        <w:rPr>
          <w:rFonts w:ascii="Arial" w:hAnsi="Arial" w:cs="Arial"/>
          <w:sz w:val="18"/>
          <w:szCs w:val="18"/>
        </w:rPr>
        <w:lastRenderedPageBreak/>
        <w:t>sprawozdania finansowego faktów i okoliczności wskazujących na zagrożenie kontynuacji działalności w dającej się przewidzieć przyszłości.</w:t>
      </w:r>
    </w:p>
    <w:p w:rsidR="005D3822" w:rsidRPr="00A26FC9" w:rsidRDefault="005D3822" w:rsidP="005D3822">
      <w:pPr>
        <w:tabs>
          <w:tab w:val="left" w:pos="540"/>
        </w:tabs>
        <w:spacing w:line="260" w:lineRule="exact"/>
        <w:jc w:val="both"/>
        <w:rPr>
          <w:rFonts w:ascii="Arial" w:hAnsi="Arial" w:cs="Arial"/>
          <w:sz w:val="18"/>
          <w:szCs w:val="18"/>
        </w:rPr>
      </w:pPr>
    </w:p>
    <w:p w:rsidR="005D3822" w:rsidRPr="0052770A" w:rsidRDefault="005D3822" w:rsidP="005D3822">
      <w:pPr>
        <w:tabs>
          <w:tab w:val="left" w:pos="540"/>
        </w:tabs>
        <w:spacing w:line="260" w:lineRule="exact"/>
        <w:jc w:val="both"/>
        <w:rPr>
          <w:rFonts w:ascii="Arial" w:hAnsi="Arial" w:cs="Arial"/>
          <w:sz w:val="18"/>
          <w:szCs w:val="18"/>
        </w:rPr>
      </w:pPr>
      <w:r w:rsidRPr="002057E7">
        <w:rPr>
          <w:rFonts w:ascii="Arial" w:hAnsi="Arial" w:cs="Arial"/>
          <w:sz w:val="18"/>
          <w:szCs w:val="18"/>
        </w:rPr>
        <w:t xml:space="preserve">Śródroczne skrócone sprawozdanie finansowe nie obejmuje wszystkich informacji oraz ujawnień wymaganych </w:t>
      </w:r>
      <w:r w:rsidRPr="002057E7">
        <w:rPr>
          <w:rFonts w:ascii="Arial" w:hAnsi="Arial" w:cs="Arial"/>
          <w:sz w:val="18"/>
          <w:szCs w:val="18"/>
        </w:rPr>
        <w:br/>
        <w:t xml:space="preserve">w rocznym sprawozdaniu finansowym i </w:t>
      </w:r>
      <w:r w:rsidRPr="0052770A">
        <w:rPr>
          <w:rFonts w:ascii="Arial" w:hAnsi="Arial" w:cs="Arial"/>
          <w:sz w:val="18"/>
          <w:szCs w:val="18"/>
        </w:rPr>
        <w:t>należy je czytać łącznie ze sprawozdaniem finansowym Spółki za rok zakończony 31 grudnia 20</w:t>
      </w:r>
      <w:r w:rsidR="006915D0" w:rsidRPr="0052770A">
        <w:rPr>
          <w:rFonts w:ascii="Arial" w:hAnsi="Arial" w:cs="Arial"/>
          <w:sz w:val="18"/>
          <w:szCs w:val="18"/>
        </w:rPr>
        <w:t>20</w:t>
      </w:r>
      <w:r w:rsidRPr="0052770A">
        <w:rPr>
          <w:rFonts w:ascii="Arial" w:hAnsi="Arial" w:cs="Arial"/>
          <w:sz w:val="18"/>
          <w:szCs w:val="18"/>
        </w:rPr>
        <w:t xml:space="preserve"> r. opublikowanym w dniu 12.03.202</w:t>
      </w:r>
      <w:r w:rsidR="006915D0" w:rsidRPr="0052770A">
        <w:rPr>
          <w:rFonts w:ascii="Arial" w:hAnsi="Arial" w:cs="Arial"/>
          <w:sz w:val="18"/>
          <w:szCs w:val="18"/>
        </w:rPr>
        <w:t>1</w:t>
      </w:r>
      <w:r w:rsidRPr="0052770A">
        <w:rPr>
          <w:rFonts w:ascii="Arial" w:hAnsi="Arial" w:cs="Arial"/>
          <w:sz w:val="18"/>
          <w:szCs w:val="18"/>
        </w:rPr>
        <w:t xml:space="preserve"> r.</w:t>
      </w:r>
    </w:p>
    <w:p w:rsidR="005D3822" w:rsidRPr="0052770A" w:rsidRDefault="005D3822" w:rsidP="005D3822">
      <w:pPr>
        <w:tabs>
          <w:tab w:val="left" w:pos="540"/>
        </w:tabs>
        <w:jc w:val="both"/>
        <w:rPr>
          <w:rFonts w:ascii="Arial" w:hAnsi="Arial" w:cs="Arial"/>
          <w:b/>
          <w:bCs/>
          <w:sz w:val="18"/>
          <w:szCs w:val="18"/>
        </w:rPr>
      </w:pPr>
    </w:p>
    <w:p w:rsidR="008322CC" w:rsidRDefault="008322CC" w:rsidP="005D3822">
      <w:pPr>
        <w:tabs>
          <w:tab w:val="left" w:pos="540"/>
        </w:tabs>
        <w:jc w:val="both"/>
        <w:rPr>
          <w:rFonts w:ascii="Arial" w:hAnsi="Arial" w:cs="Arial"/>
          <w:b/>
          <w:bCs/>
          <w:sz w:val="18"/>
          <w:szCs w:val="18"/>
        </w:rPr>
      </w:pPr>
    </w:p>
    <w:p w:rsidR="005D3822" w:rsidRPr="0052770A" w:rsidRDefault="005D3822" w:rsidP="005D3822">
      <w:pPr>
        <w:tabs>
          <w:tab w:val="left" w:pos="540"/>
        </w:tabs>
        <w:jc w:val="both"/>
        <w:rPr>
          <w:rFonts w:ascii="Arial" w:hAnsi="Arial" w:cs="Arial"/>
          <w:b/>
          <w:bCs/>
          <w:sz w:val="18"/>
          <w:szCs w:val="18"/>
        </w:rPr>
      </w:pPr>
      <w:r w:rsidRPr="0052770A">
        <w:rPr>
          <w:rFonts w:ascii="Arial" w:hAnsi="Arial" w:cs="Arial"/>
          <w:b/>
          <w:bCs/>
          <w:sz w:val="18"/>
          <w:szCs w:val="18"/>
        </w:rPr>
        <w:t>2.2 Polityka rachunkowości.</w:t>
      </w:r>
    </w:p>
    <w:p w:rsidR="005D3822" w:rsidRPr="0052770A" w:rsidRDefault="005D3822" w:rsidP="005D3822">
      <w:pPr>
        <w:tabs>
          <w:tab w:val="left" w:pos="540"/>
        </w:tabs>
        <w:spacing w:line="260" w:lineRule="exact"/>
        <w:jc w:val="both"/>
        <w:rPr>
          <w:rFonts w:ascii="Arial" w:hAnsi="Arial" w:cs="Arial"/>
          <w:sz w:val="18"/>
          <w:szCs w:val="18"/>
        </w:rPr>
      </w:pPr>
    </w:p>
    <w:p w:rsidR="005D3822" w:rsidRPr="00661ED4" w:rsidRDefault="005D3822" w:rsidP="005D3822">
      <w:pPr>
        <w:tabs>
          <w:tab w:val="left" w:pos="540"/>
        </w:tabs>
        <w:spacing w:before="60" w:line="240" w:lineRule="atLeast"/>
        <w:jc w:val="both"/>
        <w:rPr>
          <w:rFonts w:ascii="Arial" w:hAnsi="Arial" w:cs="Arial"/>
          <w:sz w:val="18"/>
          <w:szCs w:val="18"/>
        </w:rPr>
      </w:pPr>
      <w:r w:rsidRPr="0052770A">
        <w:rPr>
          <w:rFonts w:ascii="Arial" w:hAnsi="Arial" w:cs="Arial"/>
          <w:sz w:val="18"/>
          <w:szCs w:val="18"/>
        </w:rPr>
        <w:t xml:space="preserve">Polityka rachunkowości została przedstawiona w dokumencie: </w:t>
      </w:r>
      <w:r w:rsidRPr="0052770A">
        <w:rPr>
          <w:rFonts w:ascii="Arial" w:hAnsi="Arial" w:cs="Arial"/>
          <w:i/>
          <w:sz w:val="18"/>
          <w:szCs w:val="18"/>
        </w:rPr>
        <w:t>„Sprawozdanie finansowe za 20</w:t>
      </w:r>
      <w:r w:rsidR="006915D0" w:rsidRPr="0052770A">
        <w:rPr>
          <w:rFonts w:ascii="Arial" w:hAnsi="Arial" w:cs="Arial"/>
          <w:i/>
          <w:sz w:val="18"/>
          <w:szCs w:val="18"/>
        </w:rPr>
        <w:t>20</w:t>
      </w:r>
      <w:r w:rsidRPr="0052770A">
        <w:rPr>
          <w:rFonts w:ascii="Arial" w:hAnsi="Arial" w:cs="Arial"/>
          <w:i/>
          <w:sz w:val="18"/>
          <w:szCs w:val="18"/>
        </w:rPr>
        <w:t xml:space="preserve"> rok sporządzone zgodnie z MSSF zatwierdzonym przez UE</w:t>
      </w:r>
      <w:r w:rsidRPr="0052770A">
        <w:rPr>
          <w:rFonts w:ascii="Arial" w:hAnsi="Arial" w:cs="Arial"/>
          <w:sz w:val="18"/>
          <w:szCs w:val="18"/>
        </w:rPr>
        <w:t>” opublikowanym w dniu 12.03.202</w:t>
      </w:r>
      <w:r w:rsidR="006915D0" w:rsidRPr="0052770A">
        <w:rPr>
          <w:rFonts w:ascii="Arial" w:hAnsi="Arial" w:cs="Arial"/>
          <w:sz w:val="18"/>
          <w:szCs w:val="18"/>
        </w:rPr>
        <w:t>1</w:t>
      </w:r>
      <w:r w:rsidRPr="0052770A">
        <w:rPr>
          <w:rFonts w:ascii="Arial" w:hAnsi="Arial" w:cs="Arial"/>
          <w:sz w:val="18"/>
          <w:szCs w:val="18"/>
        </w:rPr>
        <w:t xml:space="preserve"> r.</w:t>
      </w:r>
      <w:r w:rsidRPr="00661ED4">
        <w:rPr>
          <w:rFonts w:ascii="Arial" w:hAnsi="Arial" w:cs="Arial"/>
          <w:sz w:val="18"/>
          <w:szCs w:val="18"/>
        </w:rPr>
        <w:t xml:space="preserve"> </w:t>
      </w:r>
    </w:p>
    <w:p w:rsidR="005D3822" w:rsidRPr="00B225CC" w:rsidRDefault="005D3822" w:rsidP="005D3822">
      <w:pPr>
        <w:tabs>
          <w:tab w:val="left" w:pos="540"/>
        </w:tabs>
        <w:spacing w:line="260" w:lineRule="exact"/>
        <w:jc w:val="both"/>
        <w:rPr>
          <w:rFonts w:ascii="Arial" w:hAnsi="Arial" w:cs="Arial"/>
          <w:sz w:val="18"/>
          <w:szCs w:val="18"/>
        </w:rPr>
      </w:pPr>
    </w:p>
    <w:p w:rsidR="001643FD" w:rsidRDefault="005D3822" w:rsidP="005D3822">
      <w:pPr>
        <w:tabs>
          <w:tab w:val="left" w:pos="540"/>
        </w:tabs>
        <w:spacing w:line="260" w:lineRule="exact"/>
        <w:jc w:val="both"/>
        <w:rPr>
          <w:rFonts w:ascii="Arial" w:hAnsi="Arial" w:cs="Arial"/>
          <w:sz w:val="18"/>
          <w:szCs w:val="18"/>
        </w:rPr>
      </w:pPr>
      <w:r w:rsidRPr="00AC3BCD">
        <w:rPr>
          <w:rFonts w:ascii="Arial" w:hAnsi="Arial" w:cs="Arial"/>
          <w:sz w:val="18"/>
          <w:szCs w:val="18"/>
        </w:rPr>
        <w:t>W bieżącym okresie Spółka nie wprowadziła zmian do zasad rachunkowości.</w:t>
      </w:r>
      <w:r w:rsidR="007531CF">
        <w:rPr>
          <w:rFonts w:ascii="Arial" w:hAnsi="Arial" w:cs="Arial"/>
          <w:sz w:val="18"/>
          <w:szCs w:val="18"/>
        </w:rPr>
        <w:t xml:space="preserve"> </w:t>
      </w:r>
    </w:p>
    <w:p w:rsidR="005D3822" w:rsidRPr="00B225CC" w:rsidRDefault="007531CF" w:rsidP="005D3822">
      <w:pPr>
        <w:tabs>
          <w:tab w:val="left" w:pos="540"/>
        </w:tabs>
        <w:spacing w:line="260" w:lineRule="exact"/>
        <w:jc w:val="both"/>
        <w:rPr>
          <w:rFonts w:ascii="Arial" w:hAnsi="Arial" w:cs="Arial"/>
          <w:sz w:val="18"/>
          <w:szCs w:val="18"/>
        </w:rPr>
      </w:pPr>
      <w:r>
        <w:rPr>
          <w:rFonts w:ascii="Arial" w:hAnsi="Arial" w:cs="Arial"/>
          <w:sz w:val="18"/>
          <w:szCs w:val="18"/>
        </w:rPr>
        <w:t xml:space="preserve">Od dnia 1 stycznia 2021 roku </w:t>
      </w:r>
      <w:r w:rsidR="001643FD">
        <w:rPr>
          <w:rFonts w:ascii="Arial" w:hAnsi="Arial" w:cs="Arial"/>
          <w:sz w:val="18"/>
          <w:szCs w:val="18"/>
        </w:rPr>
        <w:t xml:space="preserve">w INTERFERIE S.A. obowiązuje </w:t>
      </w:r>
      <w:r>
        <w:rPr>
          <w:rFonts w:ascii="Arial" w:hAnsi="Arial" w:cs="Arial"/>
          <w:sz w:val="18"/>
          <w:szCs w:val="18"/>
        </w:rPr>
        <w:t xml:space="preserve">nowy plan kont, wdrożony </w:t>
      </w:r>
      <w:r w:rsidR="001643FD">
        <w:rPr>
          <w:rFonts w:ascii="Arial" w:hAnsi="Arial" w:cs="Arial"/>
          <w:sz w:val="18"/>
          <w:szCs w:val="18"/>
        </w:rPr>
        <w:t xml:space="preserve">w związku ze świadczeniem przez  Spółkę </w:t>
      </w:r>
      <w:r w:rsidR="001643FD" w:rsidRPr="001643FD">
        <w:rPr>
          <w:rFonts w:ascii="Arial" w:hAnsi="Arial" w:cs="Arial"/>
          <w:sz w:val="18"/>
          <w:szCs w:val="18"/>
        </w:rPr>
        <w:t>usług, o których mowa w art. 31lc ust. 6 ustawy o świadczeniach opieki zdrowotnej finansowanych ze środków publicznych .</w:t>
      </w:r>
    </w:p>
    <w:p w:rsidR="005D3822" w:rsidRDefault="005D3822" w:rsidP="005D3822">
      <w:pPr>
        <w:rPr>
          <w:rFonts w:ascii="Arial" w:hAnsi="Arial" w:cs="Arial"/>
          <w:b/>
          <w:sz w:val="18"/>
          <w:szCs w:val="18"/>
        </w:rPr>
      </w:pPr>
    </w:p>
    <w:p w:rsidR="005D3822" w:rsidRPr="00F31D8E" w:rsidRDefault="005D3822" w:rsidP="005D3822">
      <w:pPr>
        <w:rPr>
          <w:rFonts w:ascii="Arial" w:hAnsi="Arial" w:cs="Arial"/>
          <w:b/>
          <w:sz w:val="18"/>
          <w:szCs w:val="18"/>
        </w:rPr>
      </w:pPr>
    </w:p>
    <w:p w:rsidR="005D3822" w:rsidRPr="00F31D8E" w:rsidRDefault="005D3822" w:rsidP="005D3822">
      <w:pPr>
        <w:tabs>
          <w:tab w:val="left" w:pos="540"/>
        </w:tabs>
        <w:rPr>
          <w:rFonts w:ascii="Arial" w:hAnsi="Arial" w:cs="Arial"/>
          <w:sz w:val="18"/>
          <w:szCs w:val="18"/>
        </w:rPr>
      </w:pPr>
      <w:r w:rsidRPr="00F31D8E">
        <w:rPr>
          <w:rFonts w:ascii="Arial" w:hAnsi="Arial" w:cs="Arial"/>
          <w:b/>
          <w:sz w:val="18"/>
          <w:szCs w:val="18"/>
        </w:rPr>
        <w:t>II.</w:t>
      </w:r>
      <w:r w:rsidRPr="00F31D8E">
        <w:rPr>
          <w:rFonts w:ascii="Arial" w:hAnsi="Arial" w:cs="Arial"/>
          <w:b/>
          <w:bCs/>
          <w:sz w:val="18"/>
          <w:szCs w:val="18"/>
        </w:rPr>
        <w:t xml:space="preserve"> Cykliczność, sezonowość działalności</w:t>
      </w:r>
      <w:r w:rsidRPr="00F31D8E">
        <w:rPr>
          <w:rFonts w:ascii="Arial" w:hAnsi="Arial" w:cs="Arial"/>
          <w:sz w:val="18"/>
          <w:szCs w:val="18"/>
        </w:rPr>
        <w:t>.</w:t>
      </w:r>
    </w:p>
    <w:p w:rsidR="005D3822" w:rsidRPr="00F31D8E" w:rsidRDefault="005D3822" w:rsidP="005D3822">
      <w:pPr>
        <w:tabs>
          <w:tab w:val="left" w:pos="540"/>
        </w:tabs>
        <w:spacing w:line="260" w:lineRule="exact"/>
        <w:jc w:val="both"/>
        <w:rPr>
          <w:rFonts w:ascii="Arial" w:hAnsi="Arial" w:cs="Arial"/>
          <w:sz w:val="18"/>
          <w:szCs w:val="18"/>
        </w:rPr>
      </w:pPr>
    </w:p>
    <w:p w:rsidR="005D3822" w:rsidRPr="00661ED4" w:rsidRDefault="005D3822" w:rsidP="005D3822">
      <w:pPr>
        <w:tabs>
          <w:tab w:val="left" w:pos="540"/>
        </w:tabs>
        <w:spacing w:before="60" w:line="240" w:lineRule="atLeast"/>
        <w:jc w:val="both"/>
        <w:rPr>
          <w:rFonts w:ascii="Arial" w:hAnsi="Arial" w:cs="Arial"/>
          <w:sz w:val="18"/>
          <w:szCs w:val="18"/>
        </w:rPr>
      </w:pPr>
      <w:r w:rsidRPr="00661ED4">
        <w:rPr>
          <w:rFonts w:ascii="Arial" w:hAnsi="Arial" w:cs="Arial"/>
          <w:sz w:val="18"/>
          <w:szCs w:val="18"/>
        </w:rPr>
        <w:t>Charakterystyczną cechą profilu działalności spółek branży turystycznej jest sezonowość. Obiekty INTERFERIE S.A. znajdują się zarówno w górach jak i nad morzem i wszystkie są przystosowane do całorocznej działalności. Dodatkowo świadczone w nich pakiety w zakresie „sport i zdrowie” sprzyjają wygładzaniu trendu.</w:t>
      </w:r>
      <w:r>
        <w:rPr>
          <w:rFonts w:ascii="Arial" w:hAnsi="Arial" w:cs="Arial"/>
          <w:sz w:val="18"/>
          <w:szCs w:val="18"/>
        </w:rPr>
        <w:t xml:space="preserve"> </w:t>
      </w:r>
      <w:r>
        <w:rPr>
          <w:rFonts w:ascii="Arial" w:hAnsi="Arial" w:cs="Arial"/>
          <w:sz w:val="18"/>
          <w:szCs w:val="18"/>
        </w:rPr>
        <w:br/>
      </w:r>
      <w:r w:rsidRPr="00661ED4">
        <w:rPr>
          <w:rFonts w:ascii="Arial" w:hAnsi="Arial" w:cs="Arial"/>
          <w:sz w:val="18"/>
          <w:szCs w:val="18"/>
        </w:rPr>
        <w:t>W związku z powyższym Zarząd Spółki ocenia, że działalnoś</w:t>
      </w:r>
      <w:r w:rsidR="0057787C">
        <w:rPr>
          <w:rFonts w:ascii="Arial" w:hAnsi="Arial" w:cs="Arial"/>
          <w:sz w:val="18"/>
          <w:szCs w:val="18"/>
        </w:rPr>
        <w:t>ć</w:t>
      </w:r>
      <w:r w:rsidRPr="00661ED4">
        <w:rPr>
          <w:rFonts w:ascii="Arial" w:hAnsi="Arial" w:cs="Arial"/>
          <w:sz w:val="18"/>
          <w:szCs w:val="18"/>
        </w:rPr>
        <w:t xml:space="preserve"> jednostki nie cechuje wyraźna sezonowość.</w:t>
      </w:r>
    </w:p>
    <w:p w:rsidR="005D3822" w:rsidRDefault="005D3822" w:rsidP="005D3822">
      <w:pPr>
        <w:rPr>
          <w:rFonts w:ascii="Arial" w:hAnsi="Arial" w:cs="Arial"/>
          <w:b/>
          <w:bCs/>
          <w:sz w:val="18"/>
          <w:szCs w:val="18"/>
        </w:rPr>
      </w:pPr>
    </w:p>
    <w:p w:rsidR="008322CC" w:rsidRPr="00F31D8E" w:rsidRDefault="008322CC" w:rsidP="005D3822">
      <w:pPr>
        <w:rPr>
          <w:rFonts w:ascii="Arial" w:hAnsi="Arial" w:cs="Arial"/>
          <w:b/>
          <w:bCs/>
          <w:sz w:val="18"/>
          <w:szCs w:val="18"/>
        </w:rPr>
      </w:pPr>
    </w:p>
    <w:p w:rsidR="005D3822" w:rsidRPr="00F31D8E" w:rsidRDefault="005D3822" w:rsidP="005D3822">
      <w:pPr>
        <w:tabs>
          <w:tab w:val="left" w:pos="540"/>
        </w:tabs>
        <w:spacing w:line="260" w:lineRule="exact"/>
        <w:jc w:val="both"/>
        <w:rPr>
          <w:rFonts w:ascii="Arial" w:hAnsi="Arial" w:cs="Arial"/>
          <w:b/>
          <w:bCs/>
          <w:sz w:val="18"/>
          <w:szCs w:val="18"/>
        </w:rPr>
      </w:pPr>
      <w:r w:rsidRPr="00F31D8E">
        <w:rPr>
          <w:rFonts w:ascii="Arial" w:hAnsi="Arial" w:cs="Arial"/>
          <w:b/>
          <w:bCs/>
          <w:sz w:val="18"/>
          <w:szCs w:val="18"/>
        </w:rPr>
        <w:t>III. Pozycje wpływające na aktywa, pasywa, kapitał, wynik finansowy netto lub przepływy środków pieniężnych, które są nietypowe ze względu na ich wielkość .</w:t>
      </w:r>
    </w:p>
    <w:p w:rsidR="005D3822" w:rsidRPr="00F31D8E" w:rsidRDefault="005D3822" w:rsidP="005D3822">
      <w:pPr>
        <w:tabs>
          <w:tab w:val="left" w:pos="540"/>
        </w:tabs>
        <w:spacing w:line="260" w:lineRule="exact"/>
        <w:jc w:val="both"/>
        <w:rPr>
          <w:rFonts w:ascii="Arial" w:hAnsi="Arial" w:cs="Arial"/>
          <w:b/>
          <w:bCs/>
          <w:i/>
          <w:sz w:val="18"/>
          <w:szCs w:val="18"/>
        </w:rPr>
      </w:pPr>
    </w:p>
    <w:p w:rsidR="005D3822" w:rsidRPr="008B55FB" w:rsidRDefault="005D3822" w:rsidP="008B55FB">
      <w:pPr>
        <w:pStyle w:val="Akapitzlist"/>
        <w:numPr>
          <w:ilvl w:val="0"/>
          <w:numId w:val="50"/>
        </w:numPr>
        <w:tabs>
          <w:tab w:val="left" w:pos="540"/>
        </w:tabs>
        <w:spacing w:line="260" w:lineRule="exact"/>
        <w:ind w:left="426" w:hanging="426"/>
        <w:jc w:val="both"/>
        <w:rPr>
          <w:rFonts w:ascii="Arial" w:hAnsi="Arial" w:cs="Arial"/>
          <w:b/>
          <w:bCs/>
          <w:i/>
          <w:sz w:val="18"/>
          <w:szCs w:val="18"/>
        </w:rPr>
      </w:pPr>
      <w:r w:rsidRPr="003132B0">
        <w:rPr>
          <w:rFonts w:ascii="Arial" w:hAnsi="Arial" w:cs="Arial"/>
          <w:b/>
          <w:bCs/>
          <w:sz w:val="18"/>
          <w:szCs w:val="18"/>
        </w:rPr>
        <w:t xml:space="preserve"> </w:t>
      </w:r>
      <w:r w:rsidRPr="008B55FB">
        <w:rPr>
          <w:rFonts w:ascii="Arial" w:hAnsi="Arial" w:cs="Arial"/>
          <w:b/>
          <w:bCs/>
          <w:i/>
          <w:sz w:val="18"/>
          <w:szCs w:val="18"/>
        </w:rPr>
        <w:t>Sytuacja i wyniki finansowe znaczącej Spółki stowarzyszonej</w:t>
      </w:r>
    </w:p>
    <w:p w:rsidR="008322CC" w:rsidRPr="00F31D8E" w:rsidRDefault="008322CC" w:rsidP="008322CC">
      <w:pPr>
        <w:pStyle w:val="Akapitzlist"/>
        <w:tabs>
          <w:tab w:val="left" w:pos="540"/>
        </w:tabs>
        <w:spacing w:line="260" w:lineRule="exact"/>
        <w:ind w:left="426"/>
        <w:jc w:val="both"/>
        <w:rPr>
          <w:rFonts w:ascii="Arial" w:hAnsi="Arial" w:cs="Arial"/>
          <w:b/>
          <w:bCs/>
          <w:i/>
          <w:sz w:val="18"/>
          <w:szCs w:val="18"/>
        </w:rPr>
      </w:pPr>
    </w:p>
    <w:p w:rsidR="005D3822" w:rsidRPr="00491116" w:rsidRDefault="005D3822" w:rsidP="003132B0">
      <w:pPr>
        <w:tabs>
          <w:tab w:val="left" w:pos="540"/>
        </w:tabs>
        <w:spacing w:before="60" w:line="240" w:lineRule="atLeast"/>
        <w:jc w:val="both"/>
        <w:rPr>
          <w:rFonts w:ascii="Arial" w:hAnsi="Arial" w:cs="Arial"/>
          <w:sz w:val="18"/>
          <w:szCs w:val="18"/>
        </w:rPr>
      </w:pPr>
      <w:r w:rsidRPr="00491116">
        <w:rPr>
          <w:rFonts w:ascii="Arial" w:hAnsi="Arial" w:cs="Arial"/>
          <w:sz w:val="18"/>
          <w:szCs w:val="18"/>
        </w:rPr>
        <w:t xml:space="preserve">INTERFERIE S.A. posiada jedną spółkę stowarzyszoną, jest nią Interferie Medical SPA Sp. z. o.o. i udziały w niej wynoszą 32,63%. Spółka ta została zawiązana dnia 1.02.2010 r. celem budowy kompleksu wypoczynkowo – rehabilitacyjnego w Świnoujściu. </w:t>
      </w:r>
    </w:p>
    <w:p w:rsidR="005D3822" w:rsidRPr="00491116" w:rsidRDefault="005D3822" w:rsidP="003132B0">
      <w:pPr>
        <w:tabs>
          <w:tab w:val="left" w:pos="540"/>
        </w:tabs>
        <w:spacing w:before="60" w:line="240" w:lineRule="atLeast"/>
        <w:jc w:val="both"/>
        <w:rPr>
          <w:rFonts w:ascii="Arial" w:hAnsi="Arial" w:cs="Arial"/>
          <w:sz w:val="18"/>
          <w:szCs w:val="18"/>
        </w:rPr>
      </w:pPr>
      <w:r w:rsidRPr="00491116">
        <w:rPr>
          <w:rFonts w:ascii="Arial" w:hAnsi="Arial" w:cs="Arial"/>
          <w:sz w:val="18"/>
          <w:szCs w:val="18"/>
        </w:rPr>
        <w:t>Na dzień 30 września 202</w:t>
      </w:r>
      <w:r w:rsidR="00491116" w:rsidRPr="00491116">
        <w:rPr>
          <w:rFonts w:ascii="Arial" w:hAnsi="Arial" w:cs="Arial"/>
          <w:sz w:val="18"/>
          <w:szCs w:val="18"/>
        </w:rPr>
        <w:t>1</w:t>
      </w:r>
      <w:r w:rsidRPr="00491116">
        <w:rPr>
          <w:rFonts w:ascii="Arial" w:hAnsi="Arial" w:cs="Arial"/>
          <w:sz w:val="18"/>
          <w:szCs w:val="18"/>
        </w:rPr>
        <w:t xml:space="preserve"> r. aktywa Spółki Interferie Medical SPA wyniosły 104 </w:t>
      </w:r>
      <w:r w:rsidR="00491116" w:rsidRPr="00491116">
        <w:rPr>
          <w:rFonts w:ascii="Arial" w:hAnsi="Arial" w:cs="Arial"/>
          <w:sz w:val="18"/>
          <w:szCs w:val="18"/>
        </w:rPr>
        <w:t>645</w:t>
      </w:r>
      <w:r w:rsidRPr="00491116">
        <w:rPr>
          <w:rFonts w:ascii="Arial" w:hAnsi="Arial" w:cs="Arial"/>
          <w:sz w:val="18"/>
          <w:szCs w:val="18"/>
        </w:rPr>
        <w:t xml:space="preserve"> tys. zł, w stosunku do stanu na 31.12.20</w:t>
      </w:r>
      <w:r w:rsidR="00491116" w:rsidRPr="00491116">
        <w:rPr>
          <w:rFonts w:ascii="Arial" w:hAnsi="Arial" w:cs="Arial"/>
          <w:sz w:val="18"/>
          <w:szCs w:val="18"/>
        </w:rPr>
        <w:t>20</w:t>
      </w:r>
      <w:r w:rsidRPr="00491116">
        <w:rPr>
          <w:rFonts w:ascii="Arial" w:hAnsi="Arial" w:cs="Arial"/>
          <w:sz w:val="18"/>
          <w:szCs w:val="18"/>
        </w:rPr>
        <w:t xml:space="preserve"> r. nastąpił wzrost wartości aktywów Spółki o </w:t>
      </w:r>
      <w:r w:rsidR="00491116" w:rsidRPr="00491116">
        <w:rPr>
          <w:rFonts w:ascii="Arial" w:hAnsi="Arial" w:cs="Arial"/>
          <w:sz w:val="18"/>
          <w:szCs w:val="18"/>
        </w:rPr>
        <w:t>4 373</w:t>
      </w:r>
      <w:r w:rsidRPr="00491116">
        <w:rPr>
          <w:rFonts w:ascii="Arial" w:hAnsi="Arial" w:cs="Arial"/>
          <w:sz w:val="18"/>
          <w:szCs w:val="18"/>
        </w:rPr>
        <w:t xml:space="preserve"> tys. zł. Zobowiązania na dzień 30 września 202</w:t>
      </w:r>
      <w:r w:rsidR="00491116" w:rsidRPr="00491116">
        <w:rPr>
          <w:rFonts w:ascii="Arial" w:hAnsi="Arial" w:cs="Arial"/>
          <w:sz w:val="18"/>
          <w:szCs w:val="18"/>
        </w:rPr>
        <w:t>1</w:t>
      </w:r>
      <w:r w:rsidRPr="00491116">
        <w:rPr>
          <w:rFonts w:ascii="Arial" w:hAnsi="Arial" w:cs="Arial"/>
          <w:sz w:val="18"/>
          <w:szCs w:val="18"/>
        </w:rPr>
        <w:t xml:space="preserve"> r. wyniosły 36 </w:t>
      </w:r>
      <w:r w:rsidR="00491116" w:rsidRPr="00491116">
        <w:rPr>
          <w:rFonts w:ascii="Arial" w:hAnsi="Arial" w:cs="Arial"/>
          <w:sz w:val="18"/>
          <w:szCs w:val="18"/>
        </w:rPr>
        <w:t>902</w:t>
      </w:r>
      <w:r w:rsidRPr="00491116">
        <w:rPr>
          <w:rFonts w:ascii="Arial" w:hAnsi="Arial" w:cs="Arial"/>
          <w:sz w:val="18"/>
          <w:szCs w:val="18"/>
        </w:rPr>
        <w:t xml:space="preserve"> tys. zł i wzrosły w stosunku do stanu z 31.12.20</w:t>
      </w:r>
      <w:r w:rsidR="00491116" w:rsidRPr="00491116">
        <w:rPr>
          <w:rFonts w:ascii="Arial" w:hAnsi="Arial" w:cs="Arial"/>
          <w:sz w:val="18"/>
          <w:szCs w:val="18"/>
        </w:rPr>
        <w:t>20</w:t>
      </w:r>
      <w:r w:rsidRPr="00491116">
        <w:rPr>
          <w:rFonts w:ascii="Arial" w:hAnsi="Arial" w:cs="Arial"/>
          <w:sz w:val="18"/>
          <w:szCs w:val="18"/>
        </w:rPr>
        <w:t xml:space="preserve"> r. o </w:t>
      </w:r>
      <w:r w:rsidR="00491116" w:rsidRPr="00491116">
        <w:rPr>
          <w:rFonts w:ascii="Arial" w:hAnsi="Arial" w:cs="Arial"/>
          <w:sz w:val="18"/>
          <w:szCs w:val="18"/>
        </w:rPr>
        <w:t>3 606</w:t>
      </w:r>
      <w:r w:rsidRPr="00491116">
        <w:rPr>
          <w:rFonts w:ascii="Arial" w:hAnsi="Arial" w:cs="Arial"/>
          <w:sz w:val="18"/>
          <w:szCs w:val="18"/>
        </w:rPr>
        <w:t xml:space="preserve"> tys. zł.</w:t>
      </w:r>
    </w:p>
    <w:p w:rsidR="005D3822" w:rsidRPr="00D94CB2" w:rsidRDefault="005D3822" w:rsidP="003132B0">
      <w:pPr>
        <w:tabs>
          <w:tab w:val="left" w:pos="540"/>
        </w:tabs>
        <w:spacing w:before="60" w:line="240" w:lineRule="atLeast"/>
        <w:jc w:val="both"/>
        <w:rPr>
          <w:rFonts w:ascii="Arial" w:hAnsi="Arial" w:cs="Arial"/>
          <w:sz w:val="18"/>
          <w:szCs w:val="18"/>
        </w:rPr>
      </w:pPr>
      <w:r w:rsidRPr="00491116">
        <w:rPr>
          <w:rFonts w:ascii="Arial" w:hAnsi="Arial" w:cs="Arial"/>
          <w:sz w:val="18"/>
          <w:szCs w:val="18"/>
        </w:rPr>
        <w:t>Za 9 m-cy 202</w:t>
      </w:r>
      <w:r w:rsidR="00491116" w:rsidRPr="00491116">
        <w:rPr>
          <w:rFonts w:ascii="Arial" w:hAnsi="Arial" w:cs="Arial"/>
          <w:sz w:val="18"/>
          <w:szCs w:val="18"/>
        </w:rPr>
        <w:t>1</w:t>
      </w:r>
      <w:r w:rsidRPr="00491116">
        <w:rPr>
          <w:rFonts w:ascii="Arial" w:hAnsi="Arial" w:cs="Arial"/>
          <w:sz w:val="18"/>
          <w:szCs w:val="18"/>
        </w:rPr>
        <w:t xml:space="preserve"> r. Spółka Interferie Medical SPA osiągnęła zysk netto w wysokości </w:t>
      </w:r>
      <w:r w:rsidR="00491116" w:rsidRPr="00491116">
        <w:rPr>
          <w:rFonts w:ascii="Arial" w:hAnsi="Arial" w:cs="Arial"/>
          <w:sz w:val="18"/>
          <w:szCs w:val="18"/>
        </w:rPr>
        <w:t>766</w:t>
      </w:r>
      <w:r w:rsidRPr="00491116">
        <w:rPr>
          <w:rFonts w:ascii="Arial" w:hAnsi="Arial" w:cs="Arial"/>
          <w:sz w:val="18"/>
          <w:szCs w:val="18"/>
        </w:rPr>
        <w:t xml:space="preserve"> tys. zł (</w:t>
      </w:r>
      <w:r w:rsidR="00491116" w:rsidRPr="00491116">
        <w:rPr>
          <w:rFonts w:ascii="Arial" w:hAnsi="Arial" w:cs="Arial"/>
          <w:sz w:val="18"/>
          <w:szCs w:val="18"/>
        </w:rPr>
        <w:t>158</w:t>
      </w:r>
      <w:r w:rsidRPr="00491116">
        <w:rPr>
          <w:rFonts w:ascii="Arial" w:hAnsi="Arial" w:cs="Arial"/>
          <w:sz w:val="18"/>
          <w:szCs w:val="18"/>
        </w:rPr>
        <w:t xml:space="preserve"> tys. zł </w:t>
      </w:r>
      <w:r w:rsidR="003132B0">
        <w:rPr>
          <w:rFonts w:ascii="Arial" w:hAnsi="Arial" w:cs="Arial"/>
          <w:sz w:val="18"/>
          <w:szCs w:val="18"/>
        </w:rPr>
        <w:br/>
      </w:r>
      <w:r w:rsidRPr="00491116">
        <w:rPr>
          <w:rFonts w:ascii="Arial" w:hAnsi="Arial" w:cs="Arial"/>
          <w:sz w:val="18"/>
          <w:szCs w:val="18"/>
        </w:rPr>
        <w:t>w analogicznym okresie roku ubiegłego).</w:t>
      </w:r>
    </w:p>
    <w:p w:rsidR="005D3822" w:rsidRPr="00F31D8E" w:rsidRDefault="005D3822" w:rsidP="005D3822">
      <w:pPr>
        <w:tabs>
          <w:tab w:val="left" w:pos="540"/>
        </w:tabs>
        <w:spacing w:line="260" w:lineRule="exact"/>
        <w:jc w:val="both"/>
        <w:rPr>
          <w:rFonts w:ascii="Arial" w:hAnsi="Arial" w:cs="Arial"/>
          <w:sz w:val="18"/>
          <w:szCs w:val="18"/>
        </w:rPr>
      </w:pPr>
    </w:p>
    <w:p w:rsidR="005D3822" w:rsidRPr="008B55FB" w:rsidRDefault="005D3822" w:rsidP="008B55FB">
      <w:pPr>
        <w:pStyle w:val="Akapitzlist"/>
        <w:numPr>
          <w:ilvl w:val="0"/>
          <w:numId w:val="50"/>
        </w:numPr>
        <w:tabs>
          <w:tab w:val="left" w:pos="540"/>
        </w:tabs>
        <w:spacing w:before="60"/>
        <w:ind w:left="426" w:hanging="426"/>
        <w:jc w:val="both"/>
        <w:rPr>
          <w:rFonts w:ascii="Arial" w:hAnsi="Arial" w:cs="Arial"/>
          <w:b/>
          <w:bCs/>
          <w:i/>
          <w:sz w:val="18"/>
          <w:szCs w:val="18"/>
        </w:rPr>
      </w:pPr>
      <w:r w:rsidRPr="008B55FB">
        <w:rPr>
          <w:rFonts w:ascii="Arial" w:hAnsi="Arial" w:cs="Arial"/>
          <w:b/>
          <w:bCs/>
          <w:i/>
          <w:sz w:val="18"/>
          <w:szCs w:val="18"/>
        </w:rPr>
        <w:t xml:space="preserve"> Wycena aktywów trwałych</w:t>
      </w:r>
    </w:p>
    <w:p w:rsidR="008322CC" w:rsidRPr="00AA4DEA" w:rsidRDefault="008322CC" w:rsidP="008322CC">
      <w:pPr>
        <w:pStyle w:val="Akapitzlist"/>
        <w:tabs>
          <w:tab w:val="left" w:pos="540"/>
        </w:tabs>
        <w:spacing w:before="60"/>
        <w:ind w:left="502"/>
        <w:jc w:val="both"/>
        <w:rPr>
          <w:rFonts w:ascii="Arial" w:hAnsi="Arial" w:cs="Arial"/>
          <w:b/>
          <w:bCs/>
          <w:i/>
          <w:sz w:val="18"/>
          <w:szCs w:val="18"/>
        </w:rPr>
      </w:pPr>
    </w:p>
    <w:p w:rsidR="005D3822" w:rsidRDefault="005D3822" w:rsidP="003132B0">
      <w:pPr>
        <w:tabs>
          <w:tab w:val="left" w:pos="540"/>
        </w:tabs>
        <w:spacing w:before="60" w:line="240" w:lineRule="atLeast"/>
        <w:jc w:val="both"/>
        <w:rPr>
          <w:rFonts w:ascii="Arial" w:hAnsi="Arial" w:cs="Arial"/>
          <w:sz w:val="18"/>
          <w:szCs w:val="18"/>
        </w:rPr>
      </w:pPr>
      <w:r w:rsidRPr="003132B0">
        <w:rPr>
          <w:rFonts w:ascii="Arial" w:hAnsi="Arial" w:cs="Arial"/>
          <w:sz w:val="18"/>
          <w:szCs w:val="18"/>
        </w:rPr>
        <w:t>W okresie 9 miesięcy 202</w:t>
      </w:r>
      <w:r w:rsidR="006915D0" w:rsidRPr="003132B0">
        <w:rPr>
          <w:rFonts w:ascii="Arial" w:hAnsi="Arial" w:cs="Arial"/>
          <w:sz w:val="18"/>
          <w:szCs w:val="18"/>
        </w:rPr>
        <w:t>1</w:t>
      </w:r>
      <w:r w:rsidRPr="003132B0">
        <w:rPr>
          <w:rFonts w:ascii="Arial" w:hAnsi="Arial" w:cs="Arial"/>
          <w:sz w:val="18"/>
          <w:szCs w:val="18"/>
        </w:rPr>
        <w:t xml:space="preserve"> r. naliczono amortyzację rzeczowego majątku trwałego i wartości niematerialnych w wysokości </w:t>
      </w:r>
      <w:r w:rsidR="00AA6275" w:rsidRPr="003132B0">
        <w:rPr>
          <w:rFonts w:ascii="Arial" w:hAnsi="Arial" w:cs="Arial"/>
          <w:sz w:val="18"/>
          <w:szCs w:val="18"/>
        </w:rPr>
        <w:t>3 561</w:t>
      </w:r>
      <w:r w:rsidRPr="003132B0">
        <w:rPr>
          <w:rFonts w:ascii="Arial" w:hAnsi="Arial" w:cs="Arial"/>
          <w:sz w:val="18"/>
          <w:szCs w:val="18"/>
        </w:rPr>
        <w:t xml:space="preserve"> tys. zł </w:t>
      </w:r>
      <w:r w:rsidRPr="00740BB8">
        <w:rPr>
          <w:rFonts w:ascii="Arial" w:hAnsi="Arial" w:cs="Arial"/>
          <w:sz w:val="18"/>
          <w:szCs w:val="18"/>
        </w:rPr>
        <w:t>(</w:t>
      </w:r>
      <w:r w:rsidR="00AA6275" w:rsidRPr="003132B0">
        <w:rPr>
          <w:rFonts w:ascii="Arial" w:hAnsi="Arial" w:cs="Arial"/>
          <w:sz w:val="18"/>
          <w:szCs w:val="18"/>
        </w:rPr>
        <w:t>1 885</w:t>
      </w:r>
      <w:r w:rsidRPr="003132B0">
        <w:rPr>
          <w:rFonts w:ascii="Arial" w:hAnsi="Arial" w:cs="Arial"/>
          <w:sz w:val="18"/>
          <w:szCs w:val="18"/>
        </w:rPr>
        <w:t xml:space="preserve"> t</w:t>
      </w:r>
      <w:r w:rsidRPr="00740BB8">
        <w:rPr>
          <w:rFonts w:ascii="Arial" w:hAnsi="Arial" w:cs="Arial"/>
          <w:sz w:val="18"/>
          <w:szCs w:val="18"/>
        </w:rPr>
        <w:t>ys.</w:t>
      </w:r>
      <w:r w:rsidRPr="00665262">
        <w:rPr>
          <w:rFonts w:ascii="Arial" w:hAnsi="Arial" w:cs="Arial"/>
          <w:sz w:val="18"/>
          <w:szCs w:val="18"/>
        </w:rPr>
        <w:t xml:space="preserve"> zł w analogicznym okresie roku ubiegłego).</w:t>
      </w:r>
    </w:p>
    <w:p w:rsidR="008322CC" w:rsidRDefault="008322CC">
      <w:pPr>
        <w:rPr>
          <w:rFonts w:ascii="Arial" w:hAnsi="Arial" w:cs="Arial"/>
          <w:sz w:val="18"/>
          <w:szCs w:val="18"/>
        </w:rPr>
      </w:pPr>
      <w:r>
        <w:rPr>
          <w:rFonts w:ascii="Arial" w:hAnsi="Arial" w:cs="Arial"/>
          <w:sz w:val="18"/>
          <w:szCs w:val="18"/>
        </w:rPr>
        <w:br w:type="page"/>
      </w:r>
    </w:p>
    <w:p w:rsidR="005D3822" w:rsidRPr="008B55FB" w:rsidRDefault="005D3822" w:rsidP="008B55FB">
      <w:pPr>
        <w:pStyle w:val="Akapitzlist"/>
        <w:numPr>
          <w:ilvl w:val="0"/>
          <w:numId w:val="50"/>
        </w:numPr>
        <w:tabs>
          <w:tab w:val="left" w:pos="540"/>
        </w:tabs>
        <w:spacing w:before="60"/>
        <w:ind w:left="426" w:hanging="426"/>
        <w:jc w:val="both"/>
        <w:rPr>
          <w:rFonts w:ascii="Arial" w:hAnsi="Arial" w:cs="Arial"/>
          <w:b/>
          <w:bCs/>
          <w:i/>
          <w:sz w:val="18"/>
          <w:szCs w:val="18"/>
        </w:rPr>
      </w:pPr>
      <w:r w:rsidRPr="008B55FB">
        <w:rPr>
          <w:rFonts w:ascii="Arial" w:hAnsi="Arial" w:cs="Arial"/>
          <w:b/>
          <w:bCs/>
          <w:i/>
          <w:sz w:val="18"/>
          <w:szCs w:val="18"/>
        </w:rPr>
        <w:lastRenderedPageBreak/>
        <w:t>Kredyty, pożyczki i inne zewnętrzne źródła finansowania</w:t>
      </w:r>
    </w:p>
    <w:p w:rsidR="005D3822" w:rsidRDefault="005D3822" w:rsidP="005D3822">
      <w:pPr>
        <w:tabs>
          <w:tab w:val="left" w:pos="540"/>
        </w:tabs>
        <w:spacing w:line="260" w:lineRule="exact"/>
        <w:jc w:val="both"/>
        <w:rPr>
          <w:rFonts w:ascii="Arial" w:hAnsi="Arial" w:cs="Arial"/>
          <w:b/>
          <w:sz w:val="18"/>
          <w:szCs w:val="18"/>
        </w:rPr>
      </w:pPr>
    </w:p>
    <w:tbl>
      <w:tblPr>
        <w:tblW w:w="0" w:type="auto"/>
        <w:tblInd w:w="56" w:type="dxa"/>
        <w:tblLayout w:type="fixed"/>
        <w:tblCellMar>
          <w:left w:w="70" w:type="dxa"/>
          <w:right w:w="70" w:type="dxa"/>
        </w:tblCellMar>
        <w:tblLook w:val="0000" w:firstRow="0" w:lastRow="0" w:firstColumn="0" w:lastColumn="0" w:noHBand="0" w:noVBand="0"/>
      </w:tblPr>
      <w:tblGrid>
        <w:gridCol w:w="4376"/>
        <w:gridCol w:w="160"/>
        <w:gridCol w:w="2268"/>
        <w:gridCol w:w="2268"/>
      </w:tblGrid>
      <w:tr w:rsidR="000D373B" w:rsidRPr="00F06708" w:rsidTr="000D373B">
        <w:trPr>
          <w:gridAfter w:val="1"/>
          <w:wAfter w:w="2268" w:type="dxa"/>
          <w:trHeight w:val="227"/>
        </w:trPr>
        <w:tc>
          <w:tcPr>
            <w:tcW w:w="4376" w:type="dxa"/>
            <w:tcBorders>
              <w:top w:val="nil"/>
              <w:left w:val="nil"/>
              <w:bottom w:val="nil"/>
              <w:right w:val="nil"/>
            </w:tcBorders>
            <w:noWrap/>
            <w:vAlign w:val="bottom"/>
          </w:tcPr>
          <w:p w:rsidR="005D3822" w:rsidRPr="00F06708" w:rsidRDefault="005D3822" w:rsidP="00FB7083">
            <w:pPr>
              <w:rPr>
                <w:rFonts w:ascii="Arial" w:hAnsi="Arial" w:cs="Arial"/>
                <w:sz w:val="16"/>
                <w:szCs w:val="16"/>
              </w:rPr>
            </w:pPr>
          </w:p>
        </w:tc>
        <w:tc>
          <w:tcPr>
            <w:tcW w:w="160" w:type="dxa"/>
            <w:tcBorders>
              <w:top w:val="nil"/>
              <w:left w:val="nil"/>
              <w:bottom w:val="nil"/>
              <w:right w:val="nil"/>
            </w:tcBorders>
            <w:noWrap/>
            <w:vAlign w:val="bottom"/>
          </w:tcPr>
          <w:p w:rsidR="005D3822" w:rsidRPr="00F06708" w:rsidRDefault="005D3822" w:rsidP="00FB7083">
            <w:pPr>
              <w:rPr>
                <w:rFonts w:ascii="Arial" w:hAnsi="Arial" w:cs="Arial"/>
                <w:b/>
                <w:bCs/>
                <w:sz w:val="16"/>
                <w:szCs w:val="16"/>
              </w:rPr>
            </w:pPr>
          </w:p>
        </w:tc>
        <w:tc>
          <w:tcPr>
            <w:tcW w:w="2268" w:type="dxa"/>
            <w:tcBorders>
              <w:top w:val="nil"/>
              <w:left w:val="nil"/>
              <w:bottom w:val="nil"/>
              <w:right w:val="nil"/>
            </w:tcBorders>
            <w:noWrap/>
            <w:vAlign w:val="bottom"/>
          </w:tcPr>
          <w:p w:rsidR="005D3822" w:rsidRPr="00F06708" w:rsidRDefault="005D3822" w:rsidP="00FB7083">
            <w:pPr>
              <w:tabs>
                <w:tab w:val="left" w:pos="781"/>
              </w:tabs>
              <w:jc w:val="center"/>
              <w:rPr>
                <w:rFonts w:ascii="Arial" w:hAnsi="Arial" w:cs="Arial"/>
                <w:b/>
                <w:bCs/>
                <w:sz w:val="16"/>
                <w:szCs w:val="16"/>
              </w:rPr>
            </w:pPr>
            <w:r w:rsidRPr="00F06708">
              <w:rPr>
                <w:rFonts w:ascii="Arial" w:hAnsi="Arial" w:cs="Arial"/>
                <w:b/>
                <w:bCs/>
                <w:sz w:val="16"/>
                <w:szCs w:val="16"/>
              </w:rPr>
              <w:t>Stan na dzień</w:t>
            </w:r>
          </w:p>
        </w:tc>
      </w:tr>
      <w:tr w:rsidR="000D373B" w:rsidRPr="00F06708" w:rsidTr="000D373B">
        <w:trPr>
          <w:trHeight w:val="227"/>
        </w:trPr>
        <w:tc>
          <w:tcPr>
            <w:tcW w:w="4376" w:type="dxa"/>
            <w:tcBorders>
              <w:top w:val="nil"/>
              <w:left w:val="nil"/>
              <w:bottom w:val="nil"/>
              <w:right w:val="nil"/>
            </w:tcBorders>
            <w:noWrap/>
            <w:vAlign w:val="bottom"/>
          </w:tcPr>
          <w:p w:rsidR="005D3822" w:rsidRPr="00F06708" w:rsidRDefault="005D3822" w:rsidP="00FB7083">
            <w:pPr>
              <w:rPr>
                <w:rFonts w:ascii="Arial" w:hAnsi="Arial" w:cs="Arial"/>
                <w:sz w:val="16"/>
                <w:szCs w:val="16"/>
              </w:rPr>
            </w:pPr>
          </w:p>
        </w:tc>
        <w:tc>
          <w:tcPr>
            <w:tcW w:w="160" w:type="dxa"/>
            <w:tcBorders>
              <w:top w:val="nil"/>
              <w:left w:val="nil"/>
              <w:bottom w:val="nil"/>
              <w:right w:val="nil"/>
            </w:tcBorders>
            <w:noWrap/>
            <w:vAlign w:val="bottom"/>
          </w:tcPr>
          <w:p w:rsidR="005D3822" w:rsidRPr="00F06708" w:rsidRDefault="005D3822" w:rsidP="00FB7083">
            <w:pPr>
              <w:rPr>
                <w:rFonts w:ascii="Arial" w:hAnsi="Arial" w:cs="Arial"/>
                <w:b/>
                <w:bCs/>
                <w:sz w:val="16"/>
                <w:szCs w:val="16"/>
              </w:rPr>
            </w:pPr>
          </w:p>
        </w:tc>
        <w:tc>
          <w:tcPr>
            <w:tcW w:w="2268" w:type="dxa"/>
            <w:tcBorders>
              <w:top w:val="nil"/>
              <w:left w:val="nil"/>
              <w:bottom w:val="nil"/>
              <w:right w:val="nil"/>
            </w:tcBorders>
            <w:noWrap/>
            <w:vAlign w:val="bottom"/>
          </w:tcPr>
          <w:p w:rsidR="005D3822" w:rsidRPr="00F06708" w:rsidRDefault="000422AF" w:rsidP="000D373B">
            <w:pPr>
              <w:jc w:val="right"/>
              <w:rPr>
                <w:rFonts w:ascii="Arial" w:hAnsi="Arial" w:cs="Arial"/>
                <w:b/>
                <w:bCs/>
                <w:sz w:val="16"/>
                <w:szCs w:val="16"/>
              </w:rPr>
            </w:pPr>
            <w:r w:rsidRPr="00F06708">
              <w:rPr>
                <w:rFonts w:ascii="Arial" w:hAnsi="Arial" w:cs="Arial"/>
                <w:b/>
                <w:bCs/>
                <w:sz w:val="16"/>
                <w:szCs w:val="16"/>
              </w:rPr>
              <w:t>30.09.2021</w:t>
            </w:r>
          </w:p>
          <w:p w:rsidR="005D3822" w:rsidRPr="00F06708" w:rsidRDefault="005D3822" w:rsidP="000D373B">
            <w:pPr>
              <w:jc w:val="right"/>
              <w:rPr>
                <w:rFonts w:ascii="Arial" w:hAnsi="Arial" w:cs="Arial"/>
                <w:b/>
                <w:bCs/>
                <w:sz w:val="16"/>
                <w:szCs w:val="16"/>
              </w:rPr>
            </w:pPr>
            <w:r w:rsidRPr="00F06708">
              <w:rPr>
                <w:rFonts w:ascii="Arial" w:hAnsi="Arial" w:cs="Arial"/>
                <w:sz w:val="16"/>
                <w:szCs w:val="16"/>
              </w:rPr>
              <w:t>(niebadane)</w:t>
            </w:r>
          </w:p>
        </w:tc>
        <w:tc>
          <w:tcPr>
            <w:tcW w:w="2268" w:type="dxa"/>
            <w:tcBorders>
              <w:top w:val="nil"/>
              <w:left w:val="nil"/>
              <w:bottom w:val="nil"/>
              <w:right w:val="nil"/>
            </w:tcBorders>
            <w:vAlign w:val="bottom"/>
          </w:tcPr>
          <w:p w:rsidR="005D3822" w:rsidRPr="00F06708" w:rsidRDefault="005D3822" w:rsidP="00AA6275">
            <w:pPr>
              <w:jc w:val="right"/>
              <w:rPr>
                <w:rFonts w:ascii="Arial" w:hAnsi="Arial" w:cs="Arial"/>
                <w:b/>
                <w:bCs/>
                <w:sz w:val="16"/>
                <w:szCs w:val="16"/>
              </w:rPr>
            </w:pPr>
            <w:r w:rsidRPr="00F06708">
              <w:rPr>
                <w:rFonts w:ascii="Arial" w:hAnsi="Arial" w:cs="Arial"/>
                <w:b/>
                <w:bCs/>
                <w:sz w:val="16"/>
                <w:szCs w:val="16"/>
              </w:rPr>
              <w:t>31.12.20</w:t>
            </w:r>
            <w:r w:rsidR="00AA6275" w:rsidRPr="00F06708">
              <w:rPr>
                <w:rFonts w:ascii="Arial" w:hAnsi="Arial" w:cs="Arial"/>
                <w:b/>
                <w:bCs/>
                <w:sz w:val="16"/>
                <w:szCs w:val="16"/>
              </w:rPr>
              <w:t>20</w:t>
            </w:r>
          </w:p>
        </w:tc>
      </w:tr>
      <w:tr w:rsidR="000D373B" w:rsidRPr="00F06708" w:rsidTr="000D373B">
        <w:trPr>
          <w:trHeight w:val="227"/>
        </w:trPr>
        <w:tc>
          <w:tcPr>
            <w:tcW w:w="4376" w:type="dxa"/>
            <w:tcBorders>
              <w:top w:val="nil"/>
              <w:left w:val="nil"/>
              <w:bottom w:val="nil"/>
              <w:right w:val="nil"/>
            </w:tcBorders>
            <w:noWrap/>
            <w:vAlign w:val="bottom"/>
          </w:tcPr>
          <w:p w:rsidR="005D3822" w:rsidRPr="00F06708" w:rsidRDefault="005D3822" w:rsidP="00FB7083">
            <w:pPr>
              <w:rPr>
                <w:rFonts w:ascii="Arial" w:hAnsi="Arial" w:cs="Arial"/>
                <w:b/>
                <w:bCs/>
                <w:sz w:val="16"/>
                <w:szCs w:val="16"/>
              </w:rPr>
            </w:pPr>
            <w:r w:rsidRPr="00F06708">
              <w:rPr>
                <w:rFonts w:ascii="Arial" w:hAnsi="Arial" w:cs="Arial"/>
                <w:b/>
                <w:bCs/>
                <w:sz w:val="16"/>
                <w:szCs w:val="16"/>
              </w:rPr>
              <w:t>Długoterminowe kredyty i pożyczki</w:t>
            </w:r>
          </w:p>
        </w:tc>
        <w:tc>
          <w:tcPr>
            <w:tcW w:w="160" w:type="dxa"/>
            <w:tcBorders>
              <w:top w:val="nil"/>
              <w:left w:val="nil"/>
              <w:bottom w:val="nil"/>
              <w:right w:val="nil"/>
            </w:tcBorders>
            <w:noWrap/>
            <w:vAlign w:val="bottom"/>
          </w:tcPr>
          <w:p w:rsidR="005D3822" w:rsidRPr="00F06708" w:rsidRDefault="005D3822" w:rsidP="00FB7083">
            <w:pPr>
              <w:rPr>
                <w:rFonts w:ascii="Arial" w:hAnsi="Arial" w:cs="Arial"/>
                <w:sz w:val="16"/>
                <w:szCs w:val="16"/>
              </w:rPr>
            </w:pPr>
          </w:p>
        </w:tc>
        <w:tc>
          <w:tcPr>
            <w:tcW w:w="2268" w:type="dxa"/>
            <w:tcBorders>
              <w:top w:val="single" w:sz="8" w:space="0" w:color="auto"/>
              <w:left w:val="nil"/>
              <w:bottom w:val="nil"/>
              <w:right w:val="nil"/>
            </w:tcBorders>
            <w:noWrap/>
            <w:vAlign w:val="bottom"/>
          </w:tcPr>
          <w:p w:rsidR="005D3822" w:rsidRPr="00F06708" w:rsidRDefault="005D3822" w:rsidP="00FB7083">
            <w:pPr>
              <w:rPr>
                <w:rFonts w:ascii="Arial" w:hAnsi="Arial" w:cs="Arial"/>
                <w:sz w:val="16"/>
                <w:szCs w:val="16"/>
              </w:rPr>
            </w:pPr>
            <w:r w:rsidRPr="00F06708">
              <w:rPr>
                <w:rFonts w:ascii="Arial" w:hAnsi="Arial" w:cs="Arial"/>
                <w:sz w:val="16"/>
                <w:szCs w:val="16"/>
              </w:rPr>
              <w:t> </w:t>
            </w:r>
          </w:p>
        </w:tc>
        <w:tc>
          <w:tcPr>
            <w:tcW w:w="2268" w:type="dxa"/>
            <w:tcBorders>
              <w:top w:val="single" w:sz="8" w:space="0" w:color="auto"/>
              <w:left w:val="nil"/>
              <w:bottom w:val="nil"/>
              <w:right w:val="nil"/>
            </w:tcBorders>
            <w:vAlign w:val="bottom"/>
          </w:tcPr>
          <w:p w:rsidR="005D3822" w:rsidRPr="00F06708" w:rsidRDefault="005D3822" w:rsidP="00FB7083">
            <w:pPr>
              <w:rPr>
                <w:rFonts w:ascii="Arial" w:hAnsi="Arial" w:cs="Arial"/>
                <w:sz w:val="16"/>
                <w:szCs w:val="16"/>
              </w:rPr>
            </w:pPr>
            <w:r w:rsidRPr="00F06708">
              <w:rPr>
                <w:rFonts w:ascii="Arial" w:hAnsi="Arial" w:cs="Arial"/>
                <w:sz w:val="16"/>
                <w:szCs w:val="16"/>
              </w:rPr>
              <w:t> </w:t>
            </w:r>
          </w:p>
        </w:tc>
      </w:tr>
      <w:tr w:rsidR="000D373B" w:rsidRPr="00F06708" w:rsidTr="000D373B">
        <w:trPr>
          <w:trHeight w:val="227"/>
        </w:trPr>
        <w:tc>
          <w:tcPr>
            <w:tcW w:w="4376" w:type="dxa"/>
            <w:tcBorders>
              <w:top w:val="nil"/>
              <w:left w:val="nil"/>
              <w:bottom w:val="nil"/>
              <w:right w:val="nil"/>
            </w:tcBorders>
            <w:noWrap/>
            <w:vAlign w:val="bottom"/>
          </w:tcPr>
          <w:p w:rsidR="00AA6275" w:rsidRPr="00F06708" w:rsidRDefault="00AA6275" w:rsidP="00FB7083">
            <w:pPr>
              <w:rPr>
                <w:rFonts w:ascii="Arial" w:hAnsi="Arial" w:cs="Arial"/>
                <w:sz w:val="16"/>
                <w:szCs w:val="16"/>
              </w:rPr>
            </w:pPr>
            <w:r w:rsidRPr="00F06708">
              <w:rPr>
                <w:rFonts w:ascii="Arial" w:hAnsi="Arial" w:cs="Arial"/>
                <w:sz w:val="16"/>
                <w:szCs w:val="16"/>
              </w:rPr>
              <w:t>Kredyty</w:t>
            </w:r>
          </w:p>
        </w:tc>
        <w:tc>
          <w:tcPr>
            <w:tcW w:w="160" w:type="dxa"/>
            <w:tcBorders>
              <w:top w:val="nil"/>
              <w:left w:val="nil"/>
              <w:bottom w:val="nil"/>
              <w:right w:val="nil"/>
            </w:tcBorders>
            <w:noWrap/>
            <w:vAlign w:val="bottom"/>
          </w:tcPr>
          <w:p w:rsidR="00AA6275" w:rsidRPr="00F06708" w:rsidRDefault="00AA6275" w:rsidP="00FB7083">
            <w:pPr>
              <w:rPr>
                <w:rFonts w:ascii="Arial" w:hAnsi="Arial" w:cs="Arial"/>
                <w:sz w:val="16"/>
                <w:szCs w:val="16"/>
              </w:rPr>
            </w:pPr>
          </w:p>
        </w:tc>
        <w:tc>
          <w:tcPr>
            <w:tcW w:w="2268" w:type="dxa"/>
            <w:tcBorders>
              <w:top w:val="nil"/>
              <w:left w:val="nil"/>
              <w:bottom w:val="nil"/>
              <w:right w:val="nil"/>
            </w:tcBorders>
            <w:noWrap/>
            <w:vAlign w:val="center"/>
          </w:tcPr>
          <w:p w:rsidR="00AA6275" w:rsidRPr="00F06708" w:rsidRDefault="000422AF" w:rsidP="000422AF">
            <w:pPr>
              <w:jc w:val="right"/>
              <w:rPr>
                <w:rFonts w:ascii="Arial" w:hAnsi="Arial" w:cs="Arial"/>
                <w:sz w:val="16"/>
                <w:szCs w:val="16"/>
              </w:rPr>
            </w:pPr>
            <w:r w:rsidRPr="00F06708">
              <w:rPr>
                <w:rFonts w:ascii="Arial" w:hAnsi="Arial" w:cs="Arial"/>
                <w:sz w:val="16"/>
                <w:szCs w:val="16"/>
              </w:rPr>
              <w:t>38 088</w:t>
            </w:r>
          </w:p>
        </w:tc>
        <w:tc>
          <w:tcPr>
            <w:tcW w:w="2268" w:type="dxa"/>
            <w:tcBorders>
              <w:top w:val="nil"/>
              <w:left w:val="nil"/>
              <w:bottom w:val="nil"/>
              <w:right w:val="nil"/>
            </w:tcBorders>
            <w:vAlign w:val="center"/>
          </w:tcPr>
          <w:p w:rsidR="00AA6275" w:rsidRPr="00F06708" w:rsidRDefault="00AA6275" w:rsidP="003C41BA">
            <w:pPr>
              <w:jc w:val="right"/>
              <w:rPr>
                <w:rFonts w:ascii="Arial" w:hAnsi="Arial" w:cs="Arial"/>
                <w:sz w:val="16"/>
                <w:szCs w:val="16"/>
              </w:rPr>
            </w:pPr>
            <w:r w:rsidRPr="00F06708">
              <w:rPr>
                <w:rFonts w:ascii="Arial" w:hAnsi="Arial" w:cs="Arial"/>
                <w:sz w:val="16"/>
                <w:szCs w:val="16"/>
              </w:rPr>
              <w:t>23 849</w:t>
            </w:r>
          </w:p>
        </w:tc>
      </w:tr>
      <w:tr w:rsidR="000D373B" w:rsidRPr="00F06708" w:rsidTr="000D373B">
        <w:trPr>
          <w:trHeight w:val="227"/>
        </w:trPr>
        <w:tc>
          <w:tcPr>
            <w:tcW w:w="4376" w:type="dxa"/>
            <w:tcBorders>
              <w:top w:val="nil"/>
              <w:left w:val="nil"/>
              <w:bottom w:val="nil"/>
              <w:right w:val="nil"/>
            </w:tcBorders>
            <w:noWrap/>
            <w:vAlign w:val="bottom"/>
          </w:tcPr>
          <w:p w:rsidR="000422AF" w:rsidRPr="00F06708" w:rsidRDefault="000422AF" w:rsidP="00FB7083">
            <w:pPr>
              <w:rPr>
                <w:rFonts w:ascii="Arial" w:hAnsi="Arial" w:cs="Arial"/>
                <w:sz w:val="16"/>
                <w:szCs w:val="16"/>
              </w:rPr>
            </w:pPr>
            <w:r w:rsidRPr="00F06708">
              <w:rPr>
                <w:rFonts w:ascii="Arial" w:hAnsi="Arial" w:cs="Arial"/>
                <w:sz w:val="16"/>
                <w:szCs w:val="16"/>
              </w:rPr>
              <w:t>Pożyczki</w:t>
            </w:r>
          </w:p>
        </w:tc>
        <w:tc>
          <w:tcPr>
            <w:tcW w:w="160" w:type="dxa"/>
            <w:tcBorders>
              <w:top w:val="nil"/>
              <w:left w:val="nil"/>
              <w:bottom w:val="nil"/>
              <w:right w:val="nil"/>
            </w:tcBorders>
            <w:noWrap/>
            <w:vAlign w:val="bottom"/>
          </w:tcPr>
          <w:p w:rsidR="000422AF" w:rsidRPr="00F06708" w:rsidRDefault="000422AF" w:rsidP="00FB7083">
            <w:pPr>
              <w:rPr>
                <w:rFonts w:ascii="Arial" w:hAnsi="Arial" w:cs="Arial"/>
                <w:sz w:val="16"/>
                <w:szCs w:val="16"/>
              </w:rPr>
            </w:pPr>
          </w:p>
        </w:tc>
        <w:tc>
          <w:tcPr>
            <w:tcW w:w="2268" w:type="dxa"/>
            <w:tcBorders>
              <w:top w:val="nil"/>
              <w:left w:val="nil"/>
              <w:bottom w:val="nil"/>
              <w:right w:val="nil"/>
            </w:tcBorders>
            <w:noWrap/>
            <w:vAlign w:val="center"/>
          </w:tcPr>
          <w:p w:rsidR="000422AF" w:rsidRPr="00F06708" w:rsidRDefault="000422AF" w:rsidP="000422AF">
            <w:pPr>
              <w:jc w:val="right"/>
              <w:rPr>
                <w:rFonts w:ascii="Arial" w:hAnsi="Arial" w:cs="Arial"/>
                <w:sz w:val="16"/>
                <w:szCs w:val="16"/>
              </w:rPr>
            </w:pPr>
            <w:r w:rsidRPr="00F06708">
              <w:rPr>
                <w:rFonts w:ascii="Arial" w:hAnsi="Arial" w:cs="Arial"/>
                <w:sz w:val="16"/>
                <w:szCs w:val="16"/>
              </w:rPr>
              <w:t>344</w:t>
            </w:r>
          </w:p>
        </w:tc>
        <w:tc>
          <w:tcPr>
            <w:tcW w:w="2268" w:type="dxa"/>
            <w:tcBorders>
              <w:top w:val="nil"/>
              <w:left w:val="nil"/>
              <w:bottom w:val="nil"/>
              <w:right w:val="nil"/>
            </w:tcBorders>
            <w:vAlign w:val="center"/>
          </w:tcPr>
          <w:p w:rsidR="000422AF" w:rsidRPr="00F06708" w:rsidRDefault="000422AF" w:rsidP="003C41BA">
            <w:pPr>
              <w:jc w:val="right"/>
              <w:rPr>
                <w:rFonts w:ascii="Arial" w:hAnsi="Arial" w:cs="Arial"/>
                <w:sz w:val="16"/>
                <w:szCs w:val="16"/>
              </w:rPr>
            </w:pPr>
            <w:r w:rsidRPr="00F06708">
              <w:rPr>
                <w:rFonts w:ascii="Arial" w:hAnsi="Arial" w:cs="Arial"/>
                <w:sz w:val="16"/>
                <w:szCs w:val="16"/>
              </w:rPr>
              <w:t>-</w:t>
            </w:r>
          </w:p>
        </w:tc>
      </w:tr>
      <w:tr w:rsidR="000D373B" w:rsidRPr="00F06708" w:rsidTr="000D373B">
        <w:trPr>
          <w:trHeight w:val="227"/>
        </w:trPr>
        <w:tc>
          <w:tcPr>
            <w:tcW w:w="4376" w:type="dxa"/>
            <w:tcBorders>
              <w:top w:val="nil"/>
              <w:left w:val="nil"/>
              <w:bottom w:val="nil"/>
              <w:right w:val="nil"/>
            </w:tcBorders>
            <w:noWrap/>
            <w:vAlign w:val="bottom"/>
          </w:tcPr>
          <w:p w:rsidR="00AA6275" w:rsidRPr="00F06708" w:rsidRDefault="00AA6275" w:rsidP="00FB7083">
            <w:pPr>
              <w:rPr>
                <w:rFonts w:ascii="Arial" w:hAnsi="Arial" w:cs="Arial"/>
                <w:sz w:val="16"/>
                <w:szCs w:val="16"/>
              </w:rPr>
            </w:pPr>
            <w:r w:rsidRPr="00F06708">
              <w:rPr>
                <w:rFonts w:ascii="Arial" w:hAnsi="Arial" w:cs="Arial"/>
                <w:sz w:val="16"/>
                <w:szCs w:val="16"/>
              </w:rPr>
              <w:t>Zobowiązania z tytułu leasingu finansowego</w:t>
            </w:r>
          </w:p>
        </w:tc>
        <w:tc>
          <w:tcPr>
            <w:tcW w:w="160" w:type="dxa"/>
            <w:tcBorders>
              <w:top w:val="nil"/>
              <w:left w:val="nil"/>
              <w:bottom w:val="nil"/>
              <w:right w:val="nil"/>
            </w:tcBorders>
            <w:noWrap/>
            <w:vAlign w:val="bottom"/>
          </w:tcPr>
          <w:p w:rsidR="00AA6275" w:rsidRPr="00F06708" w:rsidRDefault="00AA6275" w:rsidP="00FB7083">
            <w:pPr>
              <w:rPr>
                <w:rFonts w:ascii="Arial" w:hAnsi="Arial" w:cs="Arial"/>
                <w:sz w:val="16"/>
                <w:szCs w:val="16"/>
              </w:rPr>
            </w:pPr>
          </w:p>
        </w:tc>
        <w:tc>
          <w:tcPr>
            <w:tcW w:w="2268" w:type="dxa"/>
            <w:tcBorders>
              <w:top w:val="nil"/>
              <w:left w:val="nil"/>
              <w:bottom w:val="nil"/>
              <w:right w:val="nil"/>
            </w:tcBorders>
            <w:noWrap/>
            <w:vAlign w:val="center"/>
          </w:tcPr>
          <w:p w:rsidR="00AA6275" w:rsidRPr="00F06708" w:rsidRDefault="000422AF" w:rsidP="000422AF">
            <w:pPr>
              <w:jc w:val="right"/>
              <w:rPr>
                <w:rFonts w:ascii="Arial" w:hAnsi="Arial" w:cs="Arial"/>
                <w:sz w:val="16"/>
                <w:szCs w:val="16"/>
              </w:rPr>
            </w:pPr>
            <w:r w:rsidRPr="00F06708">
              <w:rPr>
                <w:rFonts w:ascii="Arial" w:hAnsi="Arial" w:cs="Arial"/>
                <w:sz w:val="16"/>
                <w:szCs w:val="16"/>
              </w:rPr>
              <w:t>4 624</w:t>
            </w:r>
          </w:p>
        </w:tc>
        <w:tc>
          <w:tcPr>
            <w:tcW w:w="2268" w:type="dxa"/>
            <w:tcBorders>
              <w:top w:val="nil"/>
              <w:left w:val="nil"/>
              <w:bottom w:val="nil"/>
              <w:right w:val="nil"/>
            </w:tcBorders>
            <w:vAlign w:val="center"/>
          </w:tcPr>
          <w:p w:rsidR="00AA6275" w:rsidRPr="00F06708" w:rsidRDefault="00AA6275" w:rsidP="003C41BA">
            <w:pPr>
              <w:jc w:val="right"/>
              <w:rPr>
                <w:rFonts w:ascii="Arial" w:hAnsi="Arial" w:cs="Arial"/>
                <w:sz w:val="16"/>
                <w:szCs w:val="16"/>
              </w:rPr>
            </w:pPr>
            <w:r w:rsidRPr="00F06708">
              <w:rPr>
                <w:rFonts w:ascii="Arial" w:hAnsi="Arial" w:cs="Arial"/>
                <w:sz w:val="16"/>
                <w:szCs w:val="16"/>
              </w:rPr>
              <w:t>4 994</w:t>
            </w:r>
          </w:p>
        </w:tc>
      </w:tr>
      <w:tr w:rsidR="000D373B" w:rsidRPr="00F06708" w:rsidTr="000D373B">
        <w:trPr>
          <w:trHeight w:val="227"/>
        </w:trPr>
        <w:tc>
          <w:tcPr>
            <w:tcW w:w="4376" w:type="dxa"/>
            <w:tcBorders>
              <w:top w:val="nil"/>
              <w:left w:val="nil"/>
              <w:bottom w:val="nil"/>
              <w:right w:val="nil"/>
            </w:tcBorders>
            <w:noWrap/>
            <w:vAlign w:val="bottom"/>
          </w:tcPr>
          <w:p w:rsidR="005D3822" w:rsidRPr="00F06708" w:rsidRDefault="005D3822" w:rsidP="00FB7083">
            <w:pPr>
              <w:rPr>
                <w:rFonts w:ascii="Arial" w:hAnsi="Arial" w:cs="Arial"/>
                <w:b/>
                <w:bCs/>
                <w:sz w:val="16"/>
                <w:szCs w:val="16"/>
              </w:rPr>
            </w:pPr>
            <w:r w:rsidRPr="00F06708">
              <w:rPr>
                <w:rFonts w:ascii="Arial" w:hAnsi="Arial" w:cs="Arial"/>
                <w:b/>
                <w:bCs/>
                <w:sz w:val="16"/>
                <w:szCs w:val="16"/>
              </w:rPr>
              <w:t xml:space="preserve">Długoterminowe kredyty, pożyczki i inne zewnętrzne źródła finansowania, razem  </w:t>
            </w:r>
          </w:p>
        </w:tc>
        <w:tc>
          <w:tcPr>
            <w:tcW w:w="160" w:type="dxa"/>
            <w:tcBorders>
              <w:top w:val="nil"/>
              <w:left w:val="nil"/>
              <w:bottom w:val="nil"/>
              <w:right w:val="nil"/>
            </w:tcBorders>
            <w:noWrap/>
            <w:vAlign w:val="bottom"/>
          </w:tcPr>
          <w:p w:rsidR="005D3822" w:rsidRPr="00F06708" w:rsidRDefault="005D3822" w:rsidP="00FB7083">
            <w:pPr>
              <w:rPr>
                <w:rFonts w:ascii="Arial" w:hAnsi="Arial" w:cs="Arial"/>
                <w:sz w:val="16"/>
                <w:szCs w:val="16"/>
              </w:rPr>
            </w:pPr>
          </w:p>
        </w:tc>
        <w:tc>
          <w:tcPr>
            <w:tcW w:w="2268" w:type="dxa"/>
            <w:tcBorders>
              <w:top w:val="nil"/>
              <w:left w:val="nil"/>
              <w:bottom w:val="nil"/>
              <w:right w:val="nil"/>
            </w:tcBorders>
            <w:noWrap/>
            <w:vAlign w:val="center"/>
          </w:tcPr>
          <w:p w:rsidR="005D3822" w:rsidRPr="00F06708" w:rsidRDefault="000422AF" w:rsidP="00FB7083">
            <w:pPr>
              <w:jc w:val="right"/>
              <w:rPr>
                <w:rFonts w:ascii="Arial" w:hAnsi="Arial" w:cs="Arial"/>
                <w:b/>
                <w:sz w:val="16"/>
                <w:szCs w:val="16"/>
              </w:rPr>
            </w:pPr>
            <w:r w:rsidRPr="00F06708">
              <w:rPr>
                <w:rFonts w:ascii="Arial" w:hAnsi="Arial" w:cs="Arial"/>
                <w:b/>
                <w:sz w:val="16"/>
                <w:szCs w:val="16"/>
              </w:rPr>
              <w:t>43 056</w:t>
            </w:r>
          </w:p>
        </w:tc>
        <w:tc>
          <w:tcPr>
            <w:tcW w:w="2268" w:type="dxa"/>
            <w:tcBorders>
              <w:top w:val="nil"/>
              <w:left w:val="nil"/>
              <w:bottom w:val="nil"/>
              <w:right w:val="nil"/>
            </w:tcBorders>
            <w:vAlign w:val="center"/>
          </w:tcPr>
          <w:p w:rsidR="005D3822" w:rsidRPr="00F06708" w:rsidRDefault="00AA6275" w:rsidP="00FB7083">
            <w:pPr>
              <w:jc w:val="right"/>
              <w:rPr>
                <w:rFonts w:ascii="Arial" w:hAnsi="Arial" w:cs="Arial"/>
                <w:b/>
                <w:bCs/>
                <w:sz w:val="16"/>
                <w:szCs w:val="16"/>
              </w:rPr>
            </w:pPr>
            <w:r w:rsidRPr="00F06708">
              <w:rPr>
                <w:rFonts w:ascii="Arial" w:hAnsi="Arial" w:cs="Arial"/>
                <w:b/>
                <w:bCs/>
                <w:sz w:val="16"/>
                <w:szCs w:val="16"/>
              </w:rPr>
              <w:t>28 843</w:t>
            </w:r>
          </w:p>
        </w:tc>
      </w:tr>
      <w:tr w:rsidR="000D373B" w:rsidRPr="00F06708" w:rsidTr="000D373B">
        <w:trPr>
          <w:trHeight w:val="227"/>
        </w:trPr>
        <w:tc>
          <w:tcPr>
            <w:tcW w:w="4376" w:type="dxa"/>
            <w:tcBorders>
              <w:top w:val="nil"/>
              <w:left w:val="nil"/>
              <w:bottom w:val="nil"/>
              <w:right w:val="nil"/>
            </w:tcBorders>
            <w:noWrap/>
            <w:vAlign w:val="bottom"/>
          </w:tcPr>
          <w:p w:rsidR="005D3822" w:rsidRPr="00F06708" w:rsidRDefault="005D3822" w:rsidP="00FB7083">
            <w:pPr>
              <w:rPr>
                <w:rFonts w:ascii="Arial" w:hAnsi="Arial" w:cs="Arial"/>
                <w:b/>
                <w:bCs/>
                <w:sz w:val="16"/>
                <w:szCs w:val="16"/>
              </w:rPr>
            </w:pPr>
            <w:r w:rsidRPr="00F06708">
              <w:rPr>
                <w:rFonts w:ascii="Arial" w:hAnsi="Arial" w:cs="Arial"/>
                <w:b/>
                <w:bCs/>
                <w:sz w:val="16"/>
                <w:szCs w:val="16"/>
              </w:rPr>
              <w:t>Krótkoterminowe kredyty i pożyczki</w:t>
            </w:r>
          </w:p>
        </w:tc>
        <w:tc>
          <w:tcPr>
            <w:tcW w:w="160" w:type="dxa"/>
            <w:tcBorders>
              <w:top w:val="nil"/>
              <w:left w:val="nil"/>
              <w:bottom w:val="nil"/>
              <w:right w:val="nil"/>
            </w:tcBorders>
            <w:noWrap/>
            <w:vAlign w:val="bottom"/>
          </w:tcPr>
          <w:p w:rsidR="005D3822" w:rsidRPr="00F06708" w:rsidRDefault="005D3822" w:rsidP="00FB7083">
            <w:pPr>
              <w:rPr>
                <w:rFonts w:ascii="Arial" w:hAnsi="Arial" w:cs="Arial"/>
                <w:sz w:val="16"/>
                <w:szCs w:val="16"/>
              </w:rPr>
            </w:pPr>
          </w:p>
        </w:tc>
        <w:tc>
          <w:tcPr>
            <w:tcW w:w="2268" w:type="dxa"/>
            <w:tcBorders>
              <w:top w:val="nil"/>
              <w:left w:val="nil"/>
              <w:bottom w:val="nil"/>
              <w:right w:val="nil"/>
            </w:tcBorders>
            <w:noWrap/>
            <w:vAlign w:val="center"/>
          </w:tcPr>
          <w:p w:rsidR="005D3822" w:rsidRPr="00F06708" w:rsidRDefault="005D3822" w:rsidP="00FB7083">
            <w:pPr>
              <w:jc w:val="right"/>
              <w:rPr>
                <w:rFonts w:ascii="Arial" w:hAnsi="Arial" w:cs="Arial"/>
                <w:b/>
                <w:sz w:val="16"/>
                <w:szCs w:val="16"/>
              </w:rPr>
            </w:pPr>
          </w:p>
        </w:tc>
        <w:tc>
          <w:tcPr>
            <w:tcW w:w="2268" w:type="dxa"/>
            <w:tcBorders>
              <w:top w:val="nil"/>
              <w:left w:val="nil"/>
              <w:bottom w:val="nil"/>
              <w:right w:val="nil"/>
            </w:tcBorders>
            <w:vAlign w:val="center"/>
          </w:tcPr>
          <w:p w:rsidR="005D3822" w:rsidRPr="00F06708" w:rsidRDefault="005D3822" w:rsidP="00FB7083">
            <w:pPr>
              <w:jc w:val="right"/>
              <w:rPr>
                <w:rFonts w:ascii="Arial" w:hAnsi="Arial" w:cs="Arial"/>
                <w:sz w:val="16"/>
                <w:szCs w:val="16"/>
              </w:rPr>
            </w:pPr>
          </w:p>
        </w:tc>
      </w:tr>
      <w:tr w:rsidR="000D373B" w:rsidRPr="00F06708" w:rsidTr="000D373B">
        <w:trPr>
          <w:trHeight w:val="227"/>
        </w:trPr>
        <w:tc>
          <w:tcPr>
            <w:tcW w:w="4376" w:type="dxa"/>
            <w:tcBorders>
              <w:top w:val="nil"/>
              <w:left w:val="nil"/>
              <w:right w:val="nil"/>
            </w:tcBorders>
            <w:noWrap/>
            <w:vAlign w:val="bottom"/>
          </w:tcPr>
          <w:p w:rsidR="00AA6275" w:rsidRPr="00F06708" w:rsidRDefault="00AA6275" w:rsidP="00FB7083">
            <w:pPr>
              <w:rPr>
                <w:rFonts w:ascii="Arial" w:hAnsi="Arial" w:cs="Arial"/>
                <w:sz w:val="16"/>
                <w:szCs w:val="16"/>
              </w:rPr>
            </w:pPr>
            <w:r w:rsidRPr="00F06708">
              <w:rPr>
                <w:rFonts w:ascii="Arial" w:hAnsi="Arial" w:cs="Arial"/>
                <w:sz w:val="16"/>
                <w:szCs w:val="16"/>
              </w:rPr>
              <w:t>Kredyty</w:t>
            </w:r>
          </w:p>
        </w:tc>
        <w:tc>
          <w:tcPr>
            <w:tcW w:w="160" w:type="dxa"/>
            <w:tcBorders>
              <w:top w:val="nil"/>
              <w:left w:val="nil"/>
              <w:right w:val="nil"/>
            </w:tcBorders>
            <w:noWrap/>
            <w:vAlign w:val="bottom"/>
          </w:tcPr>
          <w:p w:rsidR="00AA6275" w:rsidRPr="00F06708" w:rsidRDefault="00AA6275" w:rsidP="00FB7083">
            <w:pPr>
              <w:rPr>
                <w:rFonts w:ascii="Arial" w:hAnsi="Arial" w:cs="Arial"/>
                <w:sz w:val="16"/>
                <w:szCs w:val="16"/>
              </w:rPr>
            </w:pPr>
          </w:p>
        </w:tc>
        <w:tc>
          <w:tcPr>
            <w:tcW w:w="2268" w:type="dxa"/>
            <w:tcBorders>
              <w:top w:val="nil"/>
              <w:left w:val="nil"/>
              <w:right w:val="nil"/>
            </w:tcBorders>
            <w:noWrap/>
            <w:vAlign w:val="center"/>
          </w:tcPr>
          <w:p w:rsidR="00AA6275" w:rsidRPr="00F06708" w:rsidRDefault="000422AF" w:rsidP="000422AF">
            <w:pPr>
              <w:jc w:val="right"/>
              <w:rPr>
                <w:rFonts w:ascii="Arial" w:hAnsi="Arial" w:cs="Arial"/>
                <w:sz w:val="16"/>
                <w:szCs w:val="16"/>
              </w:rPr>
            </w:pPr>
            <w:r w:rsidRPr="00F06708">
              <w:rPr>
                <w:rFonts w:ascii="Arial" w:hAnsi="Arial" w:cs="Arial"/>
                <w:sz w:val="16"/>
                <w:szCs w:val="16"/>
              </w:rPr>
              <w:t>2 366</w:t>
            </w:r>
          </w:p>
        </w:tc>
        <w:tc>
          <w:tcPr>
            <w:tcW w:w="2268" w:type="dxa"/>
            <w:tcBorders>
              <w:top w:val="nil"/>
              <w:left w:val="nil"/>
              <w:right w:val="nil"/>
            </w:tcBorders>
            <w:vAlign w:val="center"/>
          </w:tcPr>
          <w:p w:rsidR="00AA6275" w:rsidRPr="00F06708" w:rsidRDefault="00AA6275" w:rsidP="003C41BA">
            <w:pPr>
              <w:jc w:val="right"/>
              <w:rPr>
                <w:rFonts w:ascii="Arial" w:hAnsi="Arial" w:cs="Arial"/>
                <w:sz w:val="16"/>
                <w:szCs w:val="16"/>
              </w:rPr>
            </w:pPr>
            <w:r w:rsidRPr="00F06708">
              <w:rPr>
                <w:rFonts w:ascii="Arial" w:hAnsi="Arial" w:cs="Arial"/>
                <w:sz w:val="16"/>
                <w:szCs w:val="16"/>
              </w:rPr>
              <w:t>1 777</w:t>
            </w:r>
          </w:p>
        </w:tc>
      </w:tr>
      <w:tr w:rsidR="000D373B" w:rsidRPr="00F06708" w:rsidTr="000D373B">
        <w:trPr>
          <w:trHeight w:val="227"/>
        </w:trPr>
        <w:tc>
          <w:tcPr>
            <w:tcW w:w="4376" w:type="dxa"/>
            <w:tcBorders>
              <w:top w:val="nil"/>
              <w:left w:val="nil"/>
              <w:bottom w:val="nil"/>
              <w:right w:val="nil"/>
            </w:tcBorders>
            <w:shd w:val="clear" w:color="auto" w:fill="FFFFFF" w:themeFill="background1"/>
            <w:noWrap/>
            <w:vAlign w:val="bottom"/>
          </w:tcPr>
          <w:p w:rsidR="000422AF" w:rsidRPr="00F06708" w:rsidRDefault="000422AF" w:rsidP="00FB7083">
            <w:pPr>
              <w:rPr>
                <w:rFonts w:ascii="Arial" w:hAnsi="Arial" w:cs="Arial"/>
                <w:sz w:val="16"/>
                <w:szCs w:val="16"/>
              </w:rPr>
            </w:pPr>
            <w:r w:rsidRPr="00F06708">
              <w:rPr>
                <w:rFonts w:ascii="Arial" w:hAnsi="Arial" w:cs="Arial"/>
                <w:sz w:val="16"/>
                <w:szCs w:val="16"/>
              </w:rPr>
              <w:t>Pożyczki</w:t>
            </w:r>
          </w:p>
        </w:tc>
        <w:tc>
          <w:tcPr>
            <w:tcW w:w="160" w:type="dxa"/>
            <w:tcBorders>
              <w:top w:val="nil"/>
              <w:left w:val="nil"/>
              <w:bottom w:val="nil"/>
              <w:right w:val="nil"/>
            </w:tcBorders>
            <w:shd w:val="clear" w:color="auto" w:fill="FFFFFF" w:themeFill="background1"/>
            <w:noWrap/>
            <w:vAlign w:val="bottom"/>
          </w:tcPr>
          <w:p w:rsidR="000422AF" w:rsidRPr="00F06708" w:rsidRDefault="000422AF" w:rsidP="00FB7083">
            <w:pPr>
              <w:rPr>
                <w:rFonts w:ascii="Arial" w:hAnsi="Arial" w:cs="Arial"/>
                <w:sz w:val="16"/>
                <w:szCs w:val="16"/>
              </w:rPr>
            </w:pPr>
          </w:p>
        </w:tc>
        <w:tc>
          <w:tcPr>
            <w:tcW w:w="2268" w:type="dxa"/>
            <w:tcBorders>
              <w:top w:val="nil"/>
              <w:left w:val="nil"/>
              <w:bottom w:val="nil"/>
              <w:right w:val="nil"/>
            </w:tcBorders>
            <w:shd w:val="clear" w:color="auto" w:fill="FFFFFF" w:themeFill="background1"/>
            <w:noWrap/>
            <w:vAlign w:val="center"/>
          </w:tcPr>
          <w:p w:rsidR="000422AF" w:rsidRPr="00F06708" w:rsidRDefault="000422AF" w:rsidP="000422AF">
            <w:pPr>
              <w:jc w:val="right"/>
              <w:rPr>
                <w:rFonts w:ascii="Arial" w:hAnsi="Arial" w:cs="Arial"/>
                <w:sz w:val="16"/>
                <w:szCs w:val="16"/>
              </w:rPr>
            </w:pPr>
            <w:r w:rsidRPr="00F06708">
              <w:rPr>
                <w:rFonts w:ascii="Arial" w:hAnsi="Arial" w:cs="Arial"/>
                <w:sz w:val="16"/>
                <w:szCs w:val="16"/>
              </w:rPr>
              <w:t>217</w:t>
            </w:r>
          </w:p>
        </w:tc>
        <w:tc>
          <w:tcPr>
            <w:tcW w:w="2268" w:type="dxa"/>
            <w:tcBorders>
              <w:top w:val="nil"/>
              <w:left w:val="nil"/>
              <w:bottom w:val="nil"/>
              <w:right w:val="nil"/>
            </w:tcBorders>
            <w:shd w:val="clear" w:color="auto" w:fill="FFFFFF" w:themeFill="background1"/>
            <w:vAlign w:val="center"/>
          </w:tcPr>
          <w:p w:rsidR="000422AF" w:rsidRPr="00F06708" w:rsidRDefault="000422AF" w:rsidP="003C41BA">
            <w:pPr>
              <w:jc w:val="right"/>
              <w:rPr>
                <w:rFonts w:ascii="Arial" w:hAnsi="Arial" w:cs="Arial"/>
                <w:sz w:val="16"/>
                <w:szCs w:val="16"/>
              </w:rPr>
            </w:pPr>
            <w:r w:rsidRPr="00F06708">
              <w:rPr>
                <w:rFonts w:ascii="Arial" w:hAnsi="Arial" w:cs="Arial"/>
                <w:sz w:val="16"/>
                <w:szCs w:val="16"/>
              </w:rPr>
              <w:t>-</w:t>
            </w:r>
          </w:p>
        </w:tc>
      </w:tr>
      <w:tr w:rsidR="000D373B" w:rsidRPr="00F06708" w:rsidTr="000D373B">
        <w:trPr>
          <w:trHeight w:val="227"/>
        </w:trPr>
        <w:tc>
          <w:tcPr>
            <w:tcW w:w="4376" w:type="dxa"/>
            <w:tcBorders>
              <w:top w:val="nil"/>
              <w:left w:val="nil"/>
              <w:bottom w:val="nil"/>
              <w:right w:val="nil"/>
            </w:tcBorders>
            <w:shd w:val="clear" w:color="auto" w:fill="FFFFFF" w:themeFill="background1"/>
            <w:noWrap/>
            <w:vAlign w:val="bottom"/>
          </w:tcPr>
          <w:p w:rsidR="00AA6275" w:rsidRPr="00F06708" w:rsidRDefault="00AA6275" w:rsidP="00FB7083">
            <w:pPr>
              <w:rPr>
                <w:rFonts w:ascii="Arial" w:hAnsi="Arial" w:cs="Arial"/>
                <w:sz w:val="16"/>
                <w:szCs w:val="16"/>
              </w:rPr>
            </w:pPr>
            <w:r w:rsidRPr="00F06708">
              <w:rPr>
                <w:rFonts w:ascii="Arial" w:hAnsi="Arial" w:cs="Arial"/>
                <w:sz w:val="16"/>
                <w:szCs w:val="16"/>
              </w:rPr>
              <w:t>Zobowiązania z tytułu leasingu finansowego</w:t>
            </w:r>
          </w:p>
        </w:tc>
        <w:tc>
          <w:tcPr>
            <w:tcW w:w="160" w:type="dxa"/>
            <w:tcBorders>
              <w:top w:val="nil"/>
              <w:left w:val="nil"/>
              <w:bottom w:val="nil"/>
              <w:right w:val="nil"/>
            </w:tcBorders>
            <w:shd w:val="clear" w:color="auto" w:fill="FFFFFF" w:themeFill="background1"/>
            <w:noWrap/>
            <w:vAlign w:val="bottom"/>
          </w:tcPr>
          <w:p w:rsidR="00AA6275" w:rsidRPr="00F06708" w:rsidRDefault="00AA6275" w:rsidP="00FB7083">
            <w:pPr>
              <w:rPr>
                <w:rFonts w:ascii="Arial" w:hAnsi="Arial" w:cs="Arial"/>
                <w:sz w:val="16"/>
                <w:szCs w:val="16"/>
              </w:rPr>
            </w:pPr>
          </w:p>
        </w:tc>
        <w:tc>
          <w:tcPr>
            <w:tcW w:w="2268" w:type="dxa"/>
            <w:tcBorders>
              <w:top w:val="nil"/>
              <w:left w:val="nil"/>
              <w:bottom w:val="nil"/>
              <w:right w:val="nil"/>
            </w:tcBorders>
            <w:shd w:val="clear" w:color="auto" w:fill="FFFFFF" w:themeFill="background1"/>
            <w:noWrap/>
            <w:vAlign w:val="center"/>
          </w:tcPr>
          <w:p w:rsidR="00AA6275" w:rsidRPr="00F06708" w:rsidRDefault="000422AF" w:rsidP="000422AF">
            <w:pPr>
              <w:jc w:val="right"/>
              <w:rPr>
                <w:rFonts w:ascii="Arial" w:hAnsi="Arial" w:cs="Arial"/>
                <w:sz w:val="16"/>
                <w:szCs w:val="16"/>
              </w:rPr>
            </w:pPr>
            <w:r w:rsidRPr="00F06708">
              <w:rPr>
                <w:rFonts w:ascii="Arial" w:hAnsi="Arial" w:cs="Arial"/>
                <w:sz w:val="16"/>
                <w:szCs w:val="16"/>
              </w:rPr>
              <w:t>479</w:t>
            </w:r>
          </w:p>
        </w:tc>
        <w:tc>
          <w:tcPr>
            <w:tcW w:w="2268" w:type="dxa"/>
            <w:tcBorders>
              <w:top w:val="nil"/>
              <w:left w:val="nil"/>
              <w:bottom w:val="nil"/>
              <w:right w:val="nil"/>
            </w:tcBorders>
            <w:shd w:val="clear" w:color="auto" w:fill="FFFFFF" w:themeFill="background1"/>
            <w:vAlign w:val="center"/>
          </w:tcPr>
          <w:p w:rsidR="00AA6275" w:rsidRPr="00F06708" w:rsidRDefault="00AA6275" w:rsidP="003C41BA">
            <w:pPr>
              <w:jc w:val="right"/>
              <w:rPr>
                <w:rFonts w:ascii="Arial" w:hAnsi="Arial" w:cs="Arial"/>
                <w:sz w:val="16"/>
                <w:szCs w:val="16"/>
              </w:rPr>
            </w:pPr>
            <w:r w:rsidRPr="00F06708">
              <w:rPr>
                <w:rFonts w:ascii="Arial" w:hAnsi="Arial" w:cs="Arial"/>
                <w:sz w:val="16"/>
                <w:szCs w:val="16"/>
              </w:rPr>
              <w:t>490</w:t>
            </w:r>
          </w:p>
        </w:tc>
      </w:tr>
      <w:tr w:rsidR="000D373B" w:rsidRPr="00F06708" w:rsidTr="000D373B">
        <w:trPr>
          <w:trHeight w:val="227"/>
        </w:trPr>
        <w:tc>
          <w:tcPr>
            <w:tcW w:w="4376" w:type="dxa"/>
            <w:tcBorders>
              <w:top w:val="nil"/>
              <w:left w:val="nil"/>
              <w:right w:val="nil"/>
            </w:tcBorders>
            <w:shd w:val="clear" w:color="auto" w:fill="FFFFFF" w:themeFill="background1"/>
            <w:noWrap/>
            <w:vAlign w:val="bottom"/>
          </w:tcPr>
          <w:p w:rsidR="00AA6275" w:rsidRPr="00F06708" w:rsidRDefault="00AA6275" w:rsidP="00FB7083">
            <w:pPr>
              <w:rPr>
                <w:rFonts w:ascii="Arial" w:hAnsi="Arial" w:cs="Arial"/>
                <w:sz w:val="16"/>
                <w:szCs w:val="16"/>
              </w:rPr>
            </w:pPr>
            <w:r w:rsidRPr="00F06708">
              <w:rPr>
                <w:rFonts w:ascii="Arial" w:hAnsi="Arial" w:cs="Arial"/>
                <w:sz w:val="16"/>
                <w:szCs w:val="16"/>
              </w:rPr>
              <w:t>Kredyty w rachunku bieżącym</w:t>
            </w:r>
          </w:p>
        </w:tc>
        <w:tc>
          <w:tcPr>
            <w:tcW w:w="160" w:type="dxa"/>
            <w:tcBorders>
              <w:top w:val="nil"/>
              <w:left w:val="nil"/>
              <w:right w:val="nil"/>
            </w:tcBorders>
            <w:shd w:val="clear" w:color="auto" w:fill="FFFFFF" w:themeFill="background1"/>
            <w:noWrap/>
            <w:vAlign w:val="bottom"/>
          </w:tcPr>
          <w:p w:rsidR="00AA6275" w:rsidRPr="00F06708" w:rsidRDefault="00AA6275" w:rsidP="00FB7083">
            <w:pPr>
              <w:rPr>
                <w:rFonts w:ascii="Arial" w:hAnsi="Arial" w:cs="Arial"/>
                <w:sz w:val="16"/>
                <w:szCs w:val="16"/>
              </w:rPr>
            </w:pPr>
          </w:p>
        </w:tc>
        <w:tc>
          <w:tcPr>
            <w:tcW w:w="2268" w:type="dxa"/>
            <w:tcBorders>
              <w:top w:val="nil"/>
              <w:left w:val="nil"/>
              <w:right w:val="nil"/>
            </w:tcBorders>
            <w:shd w:val="clear" w:color="auto" w:fill="FFFFFF" w:themeFill="background1"/>
            <w:noWrap/>
            <w:vAlign w:val="center"/>
          </w:tcPr>
          <w:p w:rsidR="00AA6275" w:rsidRPr="00F06708" w:rsidRDefault="00AA6275" w:rsidP="00FB7083">
            <w:pPr>
              <w:jc w:val="right"/>
              <w:rPr>
                <w:rFonts w:ascii="Arial" w:hAnsi="Arial" w:cs="Arial"/>
                <w:sz w:val="16"/>
                <w:szCs w:val="16"/>
              </w:rPr>
            </w:pPr>
            <w:r w:rsidRPr="00F06708">
              <w:rPr>
                <w:rFonts w:ascii="Arial" w:hAnsi="Arial" w:cs="Arial"/>
                <w:sz w:val="16"/>
                <w:szCs w:val="16"/>
              </w:rPr>
              <w:t>-</w:t>
            </w:r>
          </w:p>
        </w:tc>
        <w:tc>
          <w:tcPr>
            <w:tcW w:w="2268" w:type="dxa"/>
            <w:tcBorders>
              <w:top w:val="nil"/>
              <w:left w:val="nil"/>
              <w:right w:val="nil"/>
            </w:tcBorders>
            <w:shd w:val="clear" w:color="auto" w:fill="FFFFFF" w:themeFill="background1"/>
            <w:vAlign w:val="center"/>
          </w:tcPr>
          <w:p w:rsidR="00AA6275" w:rsidRPr="00F06708" w:rsidRDefault="00AA6275" w:rsidP="003C41BA">
            <w:pPr>
              <w:jc w:val="right"/>
              <w:rPr>
                <w:rFonts w:ascii="Arial" w:hAnsi="Arial" w:cs="Arial"/>
                <w:sz w:val="16"/>
                <w:szCs w:val="16"/>
              </w:rPr>
            </w:pPr>
            <w:r w:rsidRPr="00F06708">
              <w:rPr>
                <w:rFonts w:ascii="Arial" w:hAnsi="Arial" w:cs="Arial"/>
                <w:sz w:val="16"/>
                <w:szCs w:val="16"/>
              </w:rPr>
              <w:t xml:space="preserve"> -</w:t>
            </w:r>
          </w:p>
        </w:tc>
      </w:tr>
      <w:tr w:rsidR="000D373B" w:rsidRPr="00F06708" w:rsidTr="000D373B">
        <w:trPr>
          <w:trHeight w:val="227"/>
        </w:trPr>
        <w:tc>
          <w:tcPr>
            <w:tcW w:w="4376" w:type="dxa"/>
            <w:tcBorders>
              <w:top w:val="nil"/>
              <w:left w:val="nil"/>
              <w:bottom w:val="nil"/>
              <w:right w:val="nil"/>
            </w:tcBorders>
            <w:shd w:val="clear" w:color="auto" w:fill="FFFFFF" w:themeFill="background1"/>
            <w:noWrap/>
            <w:vAlign w:val="bottom"/>
          </w:tcPr>
          <w:p w:rsidR="00AA6275" w:rsidRPr="00F06708" w:rsidRDefault="00AA6275" w:rsidP="00FB7083">
            <w:pPr>
              <w:rPr>
                <w:rFonts w:ascii="Arial" w:hAnsi="Arial" w:cs="Arial"/>
                <w:sz w:val="16"/>
                <w:szCs w:val="16"/>
              </w:rPr>
            </w:pPr>
            <w:r w:rsidRPr="00F06708">
              <w:rPr>
                <w:rFonts w:ascii="Arial" w:hAnsi="Arial" w:cs="Arial"/>
                <w:sz w:val="16"/>
                <w:szCs w:val="16"/>
              </w:rPr>
              <w:t xml:space="preserve">Kredyt dzienny w </w:t>
            </w:r>
            <w:proofErr w:type="spellStart"/>
            <w:r w:rsidRPr="00F06708">
              <w:rPr>
                <w:rFonts w:ascii="Arial" w:hAnsi="Arial" w:cs="Arial"/>
                <w:sz w:val="16"/>
                <w:szCs w:val="16"/>
              </w:rPr>
              <w:t>cashpoolingu</w:t>
            </w:r>
            <w:proofErr w:type="spellEnd"/>
          </w:p>
        </w:tc>
        <w:tc>
          <w:tcPr>
            <w:tcW w:w="160" w:type="dxa"/>
            <w:tcBorders>
              <w:top w:val="nil"/>
              <w:left w:val="nil"/>
              <w:bottom w:val="nil"/>
              <w:right w:val="nil"/>
            </w:tcBorders>
            <w:shd w:val="clear" w:color="auto" w:fill="FFFFFF" w:themeFill="background1"/>
            <w:noWrap/>
            <w:vAlign w:val="bottom"/>
          </w:tcPr>
          <w:p w:rsidR="00AA6275" w:rsidRPr="00F06708" w:rsidRDefault="00AA6275" w:rsidP="00FB7083">
            <w:pPr>
              <w:rPr>
                <w:rFonts w:ascii="Arial" w:hAnsi="Arial" w:cs="Arial"/>
                <w:sz w:val="16"/>
                <w:szCs w:val="16"/>
              </w:rPr>
            </w:pPr>
          </w:p>
        </w:tc>
        <w:tc>
          <w:tcPr>
            <w:tcW w:w="2268" w:type="dxa"/>
            <w:tcBorders>
              <w:top w:val="nil"/>
              <w:left w:val="nil"/>
              <w:bottom w:val="nil"/>
              <w:right w:val="nil"/>
            </w:tcBorders>
            <w:shd w:val="clear" w:color="auto" w:fill="FFFFFF" w:themeFill="background1"/>
            <w:noWrap/>
            <w:vAlign w:val="center"/>
          </w:tcPr>
          <w:p w:rsidR="00AA6275" w:rsidRPr="00F06708" w:rsidRDefault="000422AF" w:rsidP="00FB7083">
            <w:pPr>
              <w:jc w:val="right"/>
              <w:rPr>
                <w:rFonts w:ascii="Arial" w:hAnsi="Arial" w:cs="Arial"/>
                <w:sz w:val="16"/>
                <w:szCs w:val="16"/>
              </w:rPr>
            </w:pPr>
            <w:r w:rsidRPr="00F06708">
              <w:rPr>
                <w:rFonts w:ascii="Arial" w:hAnsi="Arial" w:cs="Arial"/>
                <w:sz w:val="16"/>
                <w:szCs w:val="16"/>
              </w:rPr>
              <w:t>-</w:t>
            </w:r>
          </w:p>
        </w:tc>
        <w:tc>
          <w:tcPr>
            <w:tcW w:w="2268" w:type="dxa"/>
            <w:tcBorders>
              <w:top w:val="nil"/>
              <w:left w:val="nil"/>
              <w:bottom w:val="nil"/>
              <w:right w:val="nil"/>
            </w:tcBorders>
            <w:shd w:val="clear" w:color="auto" w:fill="FFFFFF" w:themeFill="background1"/>
            <w:vAlign w:val="center"/>
          </w:tcPr>
          <w:p w:rsidR="00AA6275" w:rsidRPr="00F06708" w:rsidRDefault="00AA6275" w:rsidP="003C41BA">
            <w:pPr>
              <w:jc w:val="right"/>
              <w:rPr>
                <w:rFonts w:ascii="Arial" w:hAnsi="Arial" w:cs="Arial"/>
                <w:sz w:val="16"/>
                <w:szCs w:val="16"/>
              </w:rPr>
            </w:pPr>
            <w:r w:rsidRPr="00F06708">
              <w:rPr>
                <w:rFonts w:ascii="Arial" w:hAnsi="Arial" w:cs="Arial"/>
                <w:sz w:val="16"/>
                <w:szCs w:val="16"/>
              </w:rPr>
              <w:t>3 240</w:t>
            </w:r>
          </w:p>
        </w:tc>
      </w:tr>
      <w:tr w:rsidR="000D373B" w:rsidRPr="00F06708" w:rsidTr="000D373B">
        <w:trPr>
          <w:trHeight w:val="227"/>
        </w:trPr>
        <w:tc>
          <w:tcPr>
            <w:tcW w:w="4376" w:type="dxa"/>
            <w:tcBorders>
              <w:top w:val="nil"/>
              <w:left w:val="nil"/>
              <w:bottom w:val="nil"/>
              <w:right w:val="nil"/>
            </w:tcBorders>
            <w:noWrap/>
            <w:vAlign w:val="bottom"/>
          </w:tcPr>
          <w:p w:rsidR="00AA6275" w:rsidRPr="00F06708" w:rsidRDefault="00AA6275" w:rsidP="00FB7083">
            <w:pPr>
              <w:rPr>
                <w:rFonts w:ascii="Arial" w:hAnsi="Arial" w:cs="Arial"/>
                <w:b/>
                <w:bCs/>
                <w:sz w:val="16"/>
                <w:szCs w:val="16"/>
              </w:rPr>
            </w:pPr>
            <w:r w:rsidRPr="00F06708">
              <w:rPr>
                <w:rFonts w:ascii="Arial" w:hAnsi="Arial" w:cs="Arial"/>
                <w:b/>
                <w:bCs/>
                <w:sz w:val="16"/>
                <w:szCs w:val="16"/>
              </w:rPr>
              <w:t>Krótkoterminowe kredyty,  pożyczki i inne zewnętrzne źródła finansowania, razem</w:t>
            </w:r>
          </w:p>
        </w:tc>
        <w:tc>
          <w:tcPr>
            <w:tcW w:w="160" w:type="dxa"/>
            <w:tcBorders>
              <w:top w:val="nil"/>
              <w:left w:val="nil"/>
              <w:bottom w:val="nil"/>
              <w:right w:val="nil"/>
            </w:tcBorders>
            <w:noWrap/>
            <w:vAlign w:val="bottom"/>
          </w:tcPr>
          <w:p w:rsidR="00AA6275" w:rsidRPr="00F06708" w:rsidRDefault="00AA6275" w:rsidP="00FB7083">
            <w:pPr>
              <w:rPr>
                <w:rFonts w:ascii="Arial" w:hAnsi="Arial" w:cs="Arial"/>
                <w:sz w:val="16"/>
                <w:szCs w:val="16"/>
              </w:rPr>
            </w:pPr>
          </w:p>
        </w:tc>
        <w:tc>
          <w:tcPr>
            <w:tcW w:w="2268" w:type="dxa"/>
            <w:tcBorders>
              <w:top w:val="nil"/>
              <w:left w:val="nil"/>
              <w:bottom w:val="nil"/>
              <w:right w:val="nil"/>
            </w:tcBorders>
            <w:noWrap/>
            <w:vAlign w:val="center"/>
          </w:tcPr>
          <w:p w:rsidR="00AA6275" w:rsidRPr="00F06708" w:rsidRDefault="000422AF" w:rsidP="000422AF">
            <w:pPr>
              <w:jc w:val="right"/>
              <w:rPr>
                <w:rFonts w:ascii="Arial" w:hAnsi="Arial" w:cs="Arial"/>
                <w:b/>
                <w:sz w:val="16"/>
                <w:szCs w:val="16"/>
              </w:rPr>
            </w:pPr>
            <w:r w:rsidRPr="00F06708">
              <w:rPr>
                <w:rFonts w:ascii="Arial" w:hAnsi="Arial" w:cs="Arial"/>
                <w:b/>
                <w:sz w:val="16"/>
                <w:szCs w:val="16"/>
              </w:rPr>
              <w:t>3 062</w:t>
            </w:r>
          </w:p>
        </w:tc>
        <w:tc>
          <w:tcPr>
            <w:tcW w:w="2268" w:type="dxa"/>
            <w:tcBorders>
              <w:top w:val="nil"/>
              <w:left w:val="nil"/>
              <w:bottom w:val="nil"/>
              <w:right w:val="nil"/>
            </w:tcBorders>
            <w:vAlign w:val="center"/>
          </w:tcPr>
          <w:p w:rsidR="00AA6275" w:rsidRPr="00F06708" w:rsidRDefault="00AA6275" w:rsidP="003C41BA">
            <w:pPr>
              <w:jc w:val="right"/>
              <w:rPr>
                <w:rFonts w:ascii="Arial" w:hAnsi="Arial" w:cs="Arial"/>
                <w:b/>
                <w:bCs/>
                <w:sz w:val="16"/>
                <w:szCs w:val="16"/>
              </w:rPr>
            </w:pPr>
          </w:p>
          <w:p w:rsidR="00AA6275" w:rsidRPr="00F06708" w:rsidRDefault="00AA6275" w:rsidP="003C41BA">
            <w:pPr>
              <w:jc w:val="right"/>
              <w:rPr>
                <w:rFonts w:ascii="Arial" w:hAnsi="Arial" w:cs="Arial"/>
                <w:b/>
                <w:bCs/>
                <w:sz w:val="16"/>
                <w:szCs w:val="16"/>
              </w:rPr>
            </w:pPr>
            <w:r w:rsidRPr="00F06708">
              <w:rPr>
                <w:rFonts w:ascii="Arial" w:hAnsi="Arial" w:cs="Arial"/>
                <w:b/>
                <w:bCs/>
                <w:sz w:val="16"/>
                <w:szCs w:val="16"/>
              </w:rPr>
              <w:t>5 507</w:t>
            </w:r>
          </w:p>
        </w:tc>
      </w:tr>
      <w:tr w:rsidR="000D373B" w:rsidRPr="00F06708" w:rsidTr="000D373B">
        <w:trPr>
          <w:trHeight w:val="227"/>
        </w:trPr>
        <w:tc>
          <w:tcPr>
            <w:tcW w:w="4376" w:type="dxa"/>
            <w:tcBorders>
              <w:top w:val="nil"/>
              <w:left w:val="nil"/>
              <w:bottom w:val="nil"/>
              <w:right w:val="nil"/>
            </w:tcBorders>
            <w:noWrap/>
            <w:vAlign w:val="bottom"/>
          </w:tcPr>
          <w:p w:rsidR="005D3822" w:rsidRPr="00F06708" w:rsidRDefault="005D3822" w:rsidP="00FB7083">
            <w:pPr>
              <w:rPr>
                <w:rFonts w:ascii="Arial" w:hAnsi="Arial" w:cs="Arial"/>
                <w:sz w:val="16"/>
                <w:szCs w:val="16"/>
              </w:rPr>
            </w:pPr>
          </w:p>
        </w:tc>
        <w:tc>
          <w:tcPr>
            <w:tcW w:w="160" w:type="dxa"/>
            <w:tcBorders>
              <w:top w:val="nil"/>
              <w:left w:val="nil"/>
              <w:bottom w:val="nil"/>
              <w:right w:val="nil"/>
            </w:tcBorders>
            <w:noWrap/>
            <w:vAlign w:val="bottom"/>
          </w:tcPr>
          <w:p w:rsidR="005D3822" w:rsidRPr="00F06708" w:rsidRDefault="005D3822" w:rsidP="00FB7083">
            <w:pPr>
              <w:rPr>
                <w:rFonts w:ascii="Arial" w:hAnsi="Arial" w:cs="Arial"/>
                <w:sz w:val="16"/>
                <w:szCs w:val="16"/>
              </w:rPr>
            </w:pPr>
          </w:p>
        </w:tc>
        <w:tc>
          <w:tcPr>
            <w:tcW w:w="2268" w:type="dxa"/>
            <w:tcBorders>
              <w:top w:val="nil"/>
              <w:left w:val="nil"/>
              <w:bottom w:val="nil"/>
              <w:right w:val="nil"/>
            </w:tcBorders>
            <w:noWrap/>
            <w:vAlign w:val="center"/>
          </w:tcPr>
          <w:p w:rsidR="005D3822" w:rsidRPr="00F06708" w:rsidRDefault="005D3822" w:rsidP="00FB7083">
            <w:pPr>
              <w:jc w:val="right"/>
              <w:rPr>
                <w:rFonts w:ascii="Arial" w:hAnsi="Arial" w:cs="Arial"/>
                <w:sz w:val="16"/>
                <w:szCs w:val="16"/>
              </w:rPr>
            </w:pPr>
          </w:p>
        </w:tc>
        <w:tc>
          <w:tcPr>
            <w:tcW w:w="2268" w:type="dxa"/>
            <w:tcBorders>
              <w:top w:val="nil"/>
              <w:left w:val="nil"/>
              <w:bottom w:val="nil"/>
              <w:right w:val="nil"/>
            </w:tcBorders>
            <w:vAlign w:val="center"/>
          </w:tcPr>
          <w:p w:rsidR="005D3822" w:rsidRPr="00F06708" w:rsidRDefault="005D3822" w:rsidP="00FB7083">
            <w:pPr>
              <w:jc w:val="right"/>
              <w:rPr>
                <w:rFonts w:ascii="Arial" w:hAnsi="Arial" w:cs="Arial"/>
                <w:sz w:val="16"/>
                <w:szCs w:val="16"/>
              </w:rPr>
            </w:pPr>
          </w:p>
        </w:tc>
      </w:tr>
      <w:tr w:rsidR="000D373B" w:rsidRPr="00F06708" w:rsidTr="000D373B">
        <w:trPr>
          <w:trHeight w:val="227"/>
        </w:trPr>
        <w:tc>
          <w:tcPr>
            <w:tcW w:w="4376" w:type="dxa"/>
            <w:tcBorders>
              <w:top w:val="nil"/>
              <w:left w:val="nil"/>
              <w:bottom w:val="nil"/>
              <w:right w:val="nil"/>
            </w:tcBorders>
            <w:noWrap/>
            <w:vAlign w:val="bottom"/>
          </w:tcPr>
          <w:p w:rsidR="005D3822" w:rsidRPr="00F06708" w:rsidRDefault="005D3822" w:rsidP="00FB7083">
            <w:pPr>
              <w:rPr>
                <w:rFonts w:ascii="Arial" w:hAnsi="Arial" w:cs="Arial"/>
                <w:b/>
                <w:bCs/>
                <w:sz w:val="16"/>
                <w:szCs w:val="16"/>
              </w:rPr>
            </w:pPr>
            <w:r w:rsidRPr="00F06708">
              <w:rPr>
                <w:rFonts w:ascii="Arial" w:hAnsi="Arial" w:cs="Arial"/>
                <w:b/>
                <w:bCs/>
                <w:sz w:val="16"/>
                <w:szCs w:val="16"/>
              </w:rPr>
              <w:t>Kredyty i pożyczki, razem</w:t>
            </w:r>
          </w:p>
        </w:tc>
        <w:tc>
          <w:tcPr>
            <w:tcW w:w="160" w:type="dxa"/>
            <w:tcBorders>
              <w:top w:val="nil"/>
              <w:left w:val="nil"/>
              <w:bottom w:val="nil"/>
              <w:right w:val="nil"/>
            </w:tcBorders>
            <w:noWrap/>
            <w:vAlign w:val="bottom"/>
          </w:tcPr>
          <w:p w:rsidR="005D3822" w:rsidRPr="00F06708" w:rsidRDefault="005D3822" w:rsidP="00FB7083">
            <w:pPr>
              <w:rPr>
                <w:rFonts w:ascii="Arial" w:hAnsi="Arial" w:cs="Arial"/>
                <w:sz w:val="16"/>
                <w:szCs w:val="16"/>
              </w:rPr>
            </w:pPr>
          </w:p>
        </w:tc>
        <w:tc>
          <w:tcPr>
            <w:tcW w:w="2268" w:type="dxa"/>
            <w:tcBorders>
              <w:top w:val="single" w:sz="8" w:space="0" w:color="auto"/>
              <w:left w:val="nil"/>
              <w:bottom w:val="single" w:sz="8" w:space="0" w:color="auto"/>
              <w:right w:val="nil"/>
            </w:tcBorders>
            <w:noWrap/>
            <w:vAlign w:val="center"/>
          </w:tcPr>
          <w:p w:rsidR="005D3822" w:rsidRPr="00F06708" w:rsidRDefault="000422AF" w:rsidP="00FB7083">
            <w:pPr>
              <w:jc w:val="right"/>
              <w:rPr>
                <w:rFonts w:ascii="Arial" w:hAnsi="Arial" w:cs="Arial"/>
                <w:b/>
                <w:sz w:val="16"/>
                <w:szCs w:val="16"/>
              </w:rPr>
            </w:pPr>
            <w:r w:rsidRPr="00F06708">
              <w:rPr>
                <w:rFonts w:ascii="Arial" w:hAnsi="Arial" w:cs="Arial"/>
                <w:b/>
                <w:sz w:val="16"/>
                <w:szCs w:val="16"/>
              </w:rPr>
              <w:t>46 118</w:t>
            </w:r>
          </w:p>
        </w:tc>
        <w:tc>
          <w:tcPr>
            <w:tcW w:w="2268" w:type="dxa"/>
            <w:tcBorders>
              <w:top w:val="single" w:sz="8" w:space="0" w:color="auto"/>
              <w:left w:val="nil"/>
              <w:bottom w:val="single" w:sz="8" w:space="0" w:color="auto"/>
              <w:right w:val="nil"/>
            </w:tcBorders>
            <w:vAlign w:val="center"/>
          </w:tcPr>
          <w:p w:rsidR="005D3822" w:rsidRPr="00F06708" w:rsidRDefault="00AA6275" w:rsidP="00FB7083">
            <w:pPr>
              <w:jc w:val="right"/>
              <w:rPr>
                <w:rFonts w:ascii="Arial" w:hAnsi="Arial" w:cs="Arial"/>
                <w:b/>
                <w:bCs/>
                <w:sz w:val="16"/>
                <w:szCs w:val="16"/>
              </w:rPr>
            </w:pPr>
            <w:r w:rsidRPr="00F06708">
              <w:rPr>
                <w:rFonts w:ascii="Arial" w:hAnsi="Arial" w:cs="Arial"/>
                <w:b/>
                <w:bCs/>
                <w:sz w:val="16"/>
                <w:szCs w:val="16"/>
              </w:rPr>
              <w:t>34 350</w:t>
            </w:r>
          </w:p>
        </w:tc>
      </w:tr>
    </w:tbl>
    <w:p w:rsidR="005D3822" w:rsidRDefault="005D3822" w:rsidP="005D3822">
      <w:pPr>
        <w:tabs>
          <w:tab w:val="left" w:pos="540"/>
        </w:tabs>
        <w:spacing w:line="260" w:lineRule="exact"/>
        <w:jc w:val="both"/>
        <w:rPr>
          <w:rFonts w:ascii="Arial" w:hAnsi="Arial" w:cs="Arial"/>
          <w:b/>
          <w:sz w:val="18"/>
          <w:szCs w:val="18"/>
        </w:rPr>
      </w:pPr>
    </w:p>
    <w:p w:rsidR="005D3822" w:rsidRDefault="005D3822" w:rsidP="005D3822">
      <w:pPr>
        <w:tabs>
          <w:tab w:val="left" w:pos="540"/>
        </w:tabs>
        <w:spacing w:line="260" w:lineRule="exact"/>
        <w:jc w:val="both"/>
        <w:rPr>
          <w:rFonts w:ascii="Arial" w:hAnsi="Arial" w:cs="Arial"/>
          <w:b/>
          <w:sz w:val="18"/>
          <w:szCs w:val="18"/>
        </w:rPr>
      </w:pPr>
    </w:p>
    <w:p w:rsidR="005D3822" w:rsidRDefault="005D3822" w:rsidP="005D3822">
      <w:pPr>
        <w:rPr>
          <w:rFonts w:ascii="Arial" w:hAnsi="Arial" w:cs="Arial"/>
          <w:b/>
          <w:sz w:val="18"/>
          <w:szCs w:val="18"/>
        </w:rPr>
      </w:pPr>
      <w:r w:rsidRPr="002D1A56">
        <w:rPr>
          <w:rFonts w:ascii="Arial" w:hAnsi="Arial" w:cs="Arial"/>
          <w:b/>
          <w:sz w:val="18"/>
          <w:szCs w:val="18"/>
        </w:rPr>
        <w:t>Opis zawartych umów kredytowych:</w:t>
      </w:r>
    </w:p>
    <w:p w:rsidR="008322CC" w:rsidRPr="002D1A56" w:rsidRDefault="008322CC" w:rsidP="005D3822">
      <w:pPr>
        <w:rPr>
          <w:rFonts w:ascii="Arial" w:hAnsi="Arial" w:cs="Arial"/>
          <w:b/>
          <w:sz w:val="18"/>
          <w:szCs w:val="18"/>
        </w:rPr>
      </w:pPr>
    </w:p>
    <w:p w:rsidR="000422AF" w:rsidRPr="00F76F93" w:rsidRDefault="000422AF" w:rsidP="000422AF">
      <w:pPr>
        <w:jc w:val="both"/>
        <w:rPr>
          <w:rFonts w:ascii="Arial" w:hAnsi="Arial" w:cs="Arial"/>
          <w:bCs/>
          <w:sz w:val="18"/>
          <w:szCs w:val="18"/>
        </w:rPr>
      </w:pPr>
      <w:r w:rsidRPr="00F76F93">
        <w:rPr>
          <w:rFonts w:ascii="Arial" w:hAnsi="Arial" w:cs="Arial"/>
          <w:bCs/>
          <w:sz w:val="18"/>
          <w:szCs w:val="18"/>
        </w:rPr>
        <w:t xml:space="preserve">Dnia </w:t>
      </w:r>
      <w:bookmarkStart w:id="0" w:name="_GoBack"/>
      <w:r w:rsidRPr="00F76F93">
        <w:rPr>
          <w:rFonts w:ascii="Arial" w:hAnsi="Arial" w:cs="Arial"/>
          <w:bCs/>
          <w:sz w:val="18"/>
          <w:szCs w:val="18"/>
        </w:rPr>
        <w:t>08 marca 2016 roku została zawarta Umowa Kredytowa pomiędzy Bankiem Pekao S.A., Interferie Medical SPA Spółka z o.o. oraz INTERFERIE S.A. Celem Umowy Kredytowej było refinansowanie dotychczasowych zadłużeń obu Spółek oraz udzielenie INTERFERIE S.A. kredytów inwestycyjnych.</w:t>
      </w:r>
    </w:p>
    <w:p w:rsidR="000422AF" w:rsidRPr="00F76F93" w:rsidRDefault="000422AF" w:rsidP="000422AF">
      <w:pPr>
        <w:jc w:val="both"/>
        <w:rPr>
          <w:rFonts w:ascii="Arial" w:hAnsi="Arial" w:cs="Arial"/>
          <w:bCs/>
          <w:sz w:val="18"/>
          <w:szCs w:val="18"/>
        </w:rPr>
      </w:pPr>
    </w:p>
    <w:bookmarkEnd w:id="0"/>
    <w:p w:rsidR="000422AF" w:rsidRPr="00F76F93" w:rsidRDefault="000422AF" w:rsidP="000422AF">
      <w:pPr>
        <w:jc w:val="both"/>
        <w:rPr>
          <w:rFonts w:ascii="Arial" w:hAnsi="Arial" w:cs="Arial"/>
          <w:bCs/>
          <w:sz w:val="18"/>
          <w:szCs w:val="18"/>
        </w:rPr>
      </w:pPr>
      <w:r w:rsidRPr="00F76F93">
        <w:rPr>
          <w:rFonts w:ascii="Arial" w:hAnsi="Arial" w:cs="Arial"/>
          <w:bCs/>
          <w:sz w:val="18"/>
          <w:szCs w:val="18"/>
        </w:rPr>
        <w:t>Umowa Kredytowa przewiduje udostępnienie Kredytobiorcom następujących kredytów:</w:t>
      </w:r>
    </w:p>
    <w:p w:rsidR="000422AF" w:rsidRPr="00F76F93" w:rsidRDefault="000422AF" w:rsidP="000422AF">
      <w:pPr>
        <w:numPr>
          <w:ilvl w:val="0"/>
          <w:numId w:val="32"/>
        </w:numPr>
        <w:ind w:left="851" w:hanging="284"/>
        <w:jc w:val="both"/>
        <w:rPr>
          <w:rFonts w:ascii="Arial" w:hAnsi="Arial" w:cs="Arial"/>
          <w:bCs/>
          <w:sz w:val="18"/>
          <w:szCs w:val="18"/>
        </w:rPr>
      </w:pPr>
      <w:r w:rsidRPr="00F76F93">
        <w:rPr>
          <w:rFonts w:ascii="Arial" w:hAnsi="Arial" w:cs="Arial"/>
          <w:bCs/>
          <w:sz w:val="18"/>
          <w:szCs w:val="18"/>
        </w:rPr>
        <w:t>Kredyt A, w rachunku bieżącym udzielony INTERFERIE S.A. do maksymalnej wysokości 3.000.000,00 PLN z terminem spłaty do 30 czerwca 2019 roku ( Spółka nie odnowiła kredytu );</w:t>
      </w:r>
    </w:p>
    <w:p w:rsidR="000422AF" w:rsidRPr="00F76F93" w:rsidRDefault="000422AF" w:rsidP="000422AF">
      <w:pPr>
        <w:numPr>
          <w:ilvl w:val="0"/>
          <w:numId w:val="32"/>
        </w:numPr>
        <w:ind w:left="851" w:hanging="284"/>
        <w:jc w:val="both"/>
        <w:rPr>
          <w:rFonts w:ascii="Arial" w:hAnsi="Arial" w:cs="Arial"/>
          <w:bCs/>
          <w:sz w:val="18"/>
          <w:szCs w:val="18"/>
        </w:rPr>
      </w:pPr>
      <w:r w:rsidRPr="00F76F93">
        <w:rPr>
          <w:rFonts w:ascii="Arial" w:hAnsi="Arial" w:cs="Arial"/>
          <w:bCs/>
          <w:sz w:val="18"/>
          <w:szCs w:val="18"/>
        </w:rPr>
        <w:t>Kredyt B, refinansowany, udzielony:</w:t>
      </w:r>
    </w:p>
    <w:p w:rsidR="000422AF" w:rsidRPr="00F76F93" w:rsidRDefault="000422AF" w:rsidP="000422AF">
      <w:pPr>
        <w:numPr>
          <w:ilvl w:val="0"/>
          <w:numId w:val="33"/>
        </w:numPr>
        <w:ind w:left="851" w:hanging="284"/>
        <w:jc w:val="both"/>
        <w:rPr>
          <w:rFonts w:ascii="Arial" w:hAnsi="Arial" w:cs="Arial"/>
          <w:bCs/>
          <w:sz w:val="18"/>
          <w:szCs w:val="18"/>
        </w:rPr>
      </w:pPr>
      <w:r w:rsidRPr="00F76F93">
        <w:rPr>
          <w:rFonts w:ascii="Arial" w:hAnsi="Arial" w:cs="Arial"/>
          <w:bCs/>
          <w:sz w:val="18"/>
          <w:szCs w:val="18"/>
        </w:rPr>
        <w:t>Interferie Medical SPA do maksymalnej wysokości 11.089.373,41 EUR z terminem spłaty do 30 września 2026 roku ( zmiana terminu ostatecznej spłaty kredytu wynika z aneksu nr 3 z dnia 29 czerwca 2018 roku );</w:t>
      </w:r>
    </w:p>
    <w:p w:rsidR="000422AF" w:rsidRPr="00F76F93" w:rsidRDefault="000422AF" w:rsidP="000422AF">
      <w:pPr>
        <w:numPr>
          <w:ilvl w:val="0"/>
          <w:numId w:val="33"/>
        </w:numPr>
        <w:ind w:left="851" w:hanging="284"/>
        <w:jc w:val="both"/>
        <w:rPr>
          <w:rFonts w:ascii="Arial" w:hAnsi="Arial" w:cs="Arial"/>
          <w:bCs/>
          <w:sz w:val="18"/>
          <w:szCs w:val="18"/>
        </w:rPr>
      </w:pPr>
      <w:r w:rsidRPr="00F76F93">
        <w:rPr>
          <w:rFonts w:ascii="Arial" w:hAnsi="Arial" w:cs="Arial"/>
          <w:bCs/>
          <w:sz w:val="18"/>
          <w:szCs w:val="18"/>
        </w:rPr>
        <w:t>INTERFERIE S.A. do maksymalnej wysokości 40.920,00 EUR z terminem spłaty do 31 grudnia 2016 roku ( kredyt spłacony zgodnie z umową );</w:t>
      </w:r>
    </w:p>
    <w:p w:rsidR="000422AF" w:rsidRPr="00F76F93" w:rsidRDefault="000422AF" w:rsidP="000422AF">
      <w:pPr>
        <w:numPr>
          <w:ilvl w:val="0"/>
          <w:numId w:val="33"/>
        </w:numPr>
        <w:ind w:left="851" w:hanging="284"/>
        <w:jc w:val="both"/>
        <w:rPr>
          <w:rFonts w:ascii="Arial" w:hAnsi="Arial" w:cs="Arial"/>
          <w:bCs/>
          <w:sz w:val="18"/>
          <w:szCs w:val="18"/>
        </w:rPr>
      </w:pPr>
      <w:r w:rsidRPr="00F76F93">
        <w:rPr>
          <w:rFonts w:ascii="Arial" w:hAnsi="Arial" w:cs="Arial"/>
          <w:bCs/>
          <w:sz w:val="18"/>
          <w:szCs w:val="18"/>
        </w:rPr>
        <w:t>INTERFERIE S.A. do maksymalnej wysokości 2.117.557,47 EUR z terminem spłaty do 30 września 2021 roku.</w:t>
      </w:r>
      <w:r>
        <w:rPr>
          <w:rFonts w:ascii="Arial" w:hAnsi="Arial" w:cs="Arial"/>
          <w:bCs/>
          <w:sz w:val="18"/>
          <w:szCs w:val="18"/>
        </w:rPr>
        <w:t xml:space="preserve"> ( kredyt został spłacony )</w:t>
      </w:r>
    </w:p>
    <w:p w:rsidR="000422AF" w:rsidRPr="00F76F93" w:rsidRDefault="000422AF" w:rsidP="000422AF">
      <w:pPr>
        <w:numPr>
          <w:ilvl w:val="0"/>
          <w:numId w:val="32"/>
        </w:numPr>
        <w:ind w:left="851" w:hanging="284"/>
        <w:jc w:val="both"/>
        <w:rPr>
          <w:rFonts w:ascii="Arial" w:hAnsi="Arial" w:cs="Arial"/>
          <w:bCs/>
          <w:sz w:val="18"/>
          <w:szCs w:val="18"/>
        </w:rPr>
      </w:pPr>
      <w:r w:rsidRPr="00F76F93">
        <w:rPr>
          <w:rFonts w:ascii="Arial" w:hAnsi="Arial" w:cs="Arial"/>
          <w:bCs/>
          <w:sz w:val="18"/>
          <w:szCs w:val="18"/>
        </w:rPr>
        <w:t>Kredyt C, inwestycyjny przeznaczony na rozbudowę OSW Argentyt w Dąbkach, udzielony INTERFERIE S.A. do maksymalnej wysokości 28.000.000,00 PLN z terminem spłaty  do 31 grudnia 2027 roku. Wartość kredytu została zmieniona Aneksem nr 4 z dnia 12 sierpnia 2020 roku do kwoty 41.754.000,00 PLN. Na</w:t>
      </w:r>
      <w:r>
        <w:rPr>
          <w:rFonts w:ascii="Arial" w:hAnsi="Arial" w:cs="Arial"/>
          <w:bCs/>
          <w:sz w:val="18"/>
          <w:szCs w:val="18"/>
        </w:rPr>
        <w:t xml:space="preserve"> dzień bilansowy kredyt został uruchomiony w kwocie 40.454.375,81</w:t>
      </w:r>
      <w:r w:rsidRPr="00F76F93">
        <w:rPr>
          <w:rFonts w:ascii="Arial" w:hAnsi="Arial" w:cs="Arial"/>
          <w:bCs/>
          <w:sz w:val="18"/>
          <w:szCs w:val="18"/>
        </w:rPr>
        <w:t xml:space="preserve"> PLN.</w:t>
      </w:r>
    </w:p>
    <w:p w:rsidR="000422AF" w:rsidRPr="00F76F93" w:rsidRDefault="000422AF" w:rsidP="000422AF">
      <w:pPr>
        <w:numPr>
          <w:ilvl w:val="0"/>
          <w:numId w:val="32"/>
        </w:numPr>
        <w:ind w:left="851" w:hanging="284"/>
        <w:jc w:val="both"/>
        <w:rPr>
          <w:rFonts w:ascii="Arial" w:hAnsi="Arial" w:cs="Arial"/>
          <w:bCs/>
          <w:sz w:val="18"/>
          <w:szCs w:val="18"/>
        </w:rPr>
      </w:pPr>
      <w:r w:rsidRPr="00F76F93">
        <w:rPr>
          <w:rFonts w:ascii="Arial" w:hAnsi="Arial" w:cs="Arial"/>
          <w:bCs/>
          <w:sz w:val="18"/>
          <w:szCs w:val="18"/>
        </w:rPr>
        <w:t>Kredyt D, inwestycyjny przeznaczony na rozbudowę OSW Chalkozyn w Kołobrzegu, udzielony INTERFERIE S.A. do maksymalnej wysokości 7.683.000,00 EUR z terminem spłaty do 31 grudnia 2028 roku( zmiana terminu ostatecznej spłaty kredytu wynika z aneksu nr 3 z dnia 29 czerwca 2018 roku ). Kredyt D na dzień bilansowy nie jest uruchomiony.</w:t>
      </w:r>
    </w:p>
    <w:p w:rsidR="000422AF" w:rsidRPr="00F76F93" w:rsidRDefault="000422AF" w:rsidP="000422AF">
      <w:pPr>
        <w:jc w:val="both"/>
        <w:rPr>
          <w:rFonts w:ascii="Arial" w:hAnsi="Arial" w:cs="Arial"/>
          <w:bCs/>
          <w:sz w:val="18"/>
          <w:szCs w:val="18"/>
        </w:rPr>
      </w:pPr>
    </w:p>
    <w:p w:rsidR="000422AF" w:rsidRPr="00F76F93" w:rsidRDefault="000422AF" w:rsidP="000422AF">
      <w:pPr>
        <w:jc w:val="both"/>
        <w:rPr>
          <w:rFonts w:ascii="Arial" w:hAnsi="Arial" w:cs="Arial"/>
          <w:bCs/>
          <w:sz w:val="18"/>
          <w:szCs w:val="18"/>
        </w:rPr>
      </w:pPr>
      <w:r w:rsidRPr="00F76F93">
        <w:rPr>
          <w:rFonts w:ascii="Arial" w:hAnsi="Arial" w:cs="Arial"/>
          <w:bCs/>
          <w:sz w:val="18"/>
          <w:szCs w:val="18"/>
        </w:rPr>
        <w:t>Zabezpieczeniem Umowy Kredytowej jest:</w:t>
      </w:r>
    </w:p>
    <w:p w:rsidR="000422AF" w:rsidRPr="00F76F93" w:rsidRDefault="000422AF" w:rsidP="000422AF">
      <w:pPr>
        <w:numPr>
          <w:ilvl w:val="0"/>
          <w:numId w:val="34"/>
        </w:numPr>
        <w:jc w:val="both"/>
        <w:rPr>
          <w:rFonts w:ascii="Arial" w:hAnsi="Arial" w:cs="Arial"/>
          <w:bCs/>
          <w:sz w:val="18"/>
          <w:szCs w:val="18"/>
        </w:rPr>
      </w:pPr>
      <w:r w:rsidRPr="00F76F93">
        <w:rPr>
          <w:rFonts w:ascii="Arial" w:hAnsi="Arial" w:cs="Arial"/>
          <w:bCs/>
          <w:sz w:val="18"/>
          <w:szCs w:val="18"/>
        </w:rPr>
        <w:t xml:space="preserve"> Oświadczenie Kredytobiorców o ustanowieniu hipoteki umownej łącznej z najwyższym pierwszeństwem zaspokojenia na Nieruchomościach położonych w Świnoujściu, Dąbkach oraz Kołobrzegu, do maksymalnej kwoty zabezpieczenia  w wysokości 43.468.766,92 EUR.</w:t>
      </w:r>
    </w:p>
    <w:p w:rsidR="000422AF" w:rsidRPr="00F76F93" w:rsidRDefault="000422AF" w:rsidP="000422AF">
      <w:pPr>
        <w:numPr>
          <w:ilvl w:val="0"/>
          <w:numId w:val="34"/>
        </w:numPr>
        <w:jc w:val="both"/>
        <w:rPr>
          <w:rFonts w:ascii="Arial" w:hAnsi="Arial" w:cs="Arial"/>
          <w:bCs/>
          <w:sz w:val="18"/>
          <w:szCs w:val="18"/>
        </w:rPr>
      </w:pPr>
      <w:r w:rsidRPr="00F76F93">
        <w:rPr>
          <w:rFonts w:ascii="Arial" w:hAnsi="Arial" w:cs="Arial"/>
          <w:bCs/>
          <w:sz w:val="18"/>
          <w:szCs w:val="18"/>
        </w:rPr>
        <w:t xml:space="preserve"> Zastaw  na Udziałach:</w:t>
      </w:r>
    </w:p>
    <w:p w:rsidR="000422AF" w:rsidRPr="00F76F93" w:rsidRDefault="000422AF" w:rsidP="000422AF">
      <w:pPr>
        <w:ind w:left="708"/>
        <w:jc w:val="both"/>
        <w:rPr>
          <w:rFonts w:ascii="Arial" w:hAnsi="Arial" w:cs="Arial"/>
          <w:bCs/>
          <w:sz w:val="18"/>
          <w:szCs w:val="18"/>
        </w:rPr>
      </w:pPr>
      <w:r w:rsidRPr="00F76F93">
        <w:rPr>
          <w:rFonts w:ascii="Arial" w:hAnsi="Arial" w:cs="Arial"/>
          <w:bCs/>
          <w:sz w:val="18"/>
          <w:szCs w:val="18"/>
        </w:rPr>
        <w:t>Umowa zastawu rejestrowego i finansowego, na podstawie której zastawy rejestrowe z najwyższym pierwszeństwem zaspokojenia (oraz zastawy finansowe jako dodatkowe zabezpieczenia), zostały ustanowione na wszystkich udziałach w kapitale zakładowym Interferie Medical SPA Spółka z o.o. posiadanych przez INTERFERIE S.A.</w:t>
      </w:r>
    </w:p>
    <w:p w:rsidR="000422AF" w:rsidRPr="00F76F93" w:rsidRDefault="000422AF" w:rsidP="000422AF">
      <w:pPr>
        <w:ind w:left="708"/>
        <w:jc w:val="both"/>
        <w:rPr>
          <w:rFonts w:ascii="Arial" w:hAnsi="Arial" w:cs="Arial"/>
          <w:bCs/>
          <w:sz w:val="18"/>
          <w:szCs w:val="18"/>
        </w:rPr>
      </w:pPr>
      <w:r w:rsidRPr="00F76F93">
        <w:rPr>
          <w:rFonts w:ascii="Arial" w:hAnsi="Arial" w:cs="Arial"/>
          <w:bCs/>
          <w:sz w:val="18"/>
          <w:szCs w:val="18"/>
        </w:rPr>
        <w:t>Umowa zastawu rejestrowego i finansowego, na podstawie której zastawy rejestrowe z najwyższym pierwszeństwem zaspokojenia (oraz zastawy finansowe jako dodatkowe zabezpieczenia), zostały ustanowione na wszystkich udziałach w kapitale zakładowym Interferie Medical SPA Spółka z o.o. posiadanych przez Fundusz.</w:t>
      </w:r>
    </w:p>
    <w:p w:rsidR="000422AF" w:rsidRPr="00F76F93" w:rsidRDefault="000422AF" w:rsidP="000422AF">
      <w:pPr>
        <w:numPr>
          <w:ilvl w:val="0"/>
          <w:numId w:val="34"/>
        </w:numPr>
        <w:jc w:val="both"/>
        <w:rPr>
          <w:rFonts w:ascii="Arial" w:hAnsi="Arial" w:cs="Arial"/>
          <w:bCs/>
          <w:sz w:val="18"/>
          <w:szCs w:val="18"/>
        </w:rPr>
      </w:pPr>
      <w:r w:rsidRPr="00F76F93">
        <w:rPr>
          <w:rFonts w:ascii="Arial" w:hAnsi="Arial" w:cs="Arial"/>
          <w:bCs/>
          <w:sz w:val="18"/>
          <w:szCs w:val="18"/>
        </w:rPr>
        <w:t xml:space="preserve"> Zastaw na Przedsiębiorstwie:</w:t>
      </w:r>
    </w:p>
    <w:p w:rsidR="000422AF" w:rsidRPr="00F76F93" w:rsidRDefault="000422AF" w:rsidP="000422AF">
      <w:pPr>
        <w:ind w:left="708"/>
        <w:jc w:val="both"/>
        <w:rPr>
          <w:rFonts w:ascii="Arial" w:hAnsi="Arial" w:cs="Arial"/>
          <w:bCs/>
          <w:sz w:val="18"/>
          <w:szCs w:val="18"/>
        </w:rPr>
      </w:pPr>
      <w:r w:rsidRPr="00F76F93">
        <w:rPr>
          <w:rFonts w:ascii="Arial" w:hAnsi="Arial" w:cs="Arial"/>
          <w:bCs/>
          <w:sz w:val="18"/>
          <w:szCs w:val="18"/>
        </w:rPr>
        <w:lastRenderedPageBreak/>
        <w:t>Umowa zastawu rejestrowego, na podstawie której zastawy rejestrowe z najwyższym pierwszeństwem zaspokojenia zostały ustanowione na zbiorach rzeczy w Świnoujściu, Dąbkach  oraz Kołobrzegu.</w:t>
      </w:r>
    </w:p>
    <w:p w:rsidR="000422AF" w:rsidRPr="00F76F93" w:rsidRDefault="000422AF" w:rsidP="000422AF">
      <w:pPr>
        <w:numPr>
          <w:ilvl w:val="0"/>
          <w:numId w:val="34"/>
        </w:numPr>
        <w:jc w:val="both"/>
        <w:rPr>
          <w:rFonts w:ascii="Arial" w:hAnsi="Arial" w:cs="Arial"/>
          <w:bCs/>
          <w:sz w:val="18"/>
          <w:szCs w:val="18"/>
        </w:rPr>
      </w:pPr>
      <w:r w:rsidRPr="00F76F93">
        <w:rPr>
          <w:rFonts w:ascii="Arial" w:hAnsi="Arial" w:cs="Arial"/>
          <w:bCs/>
          <w:sz w:val="18"/>
          <w:szCs w:val="18"/>
        </w:rPr>
        <w:t xml:space="preserve"> Zastaw na Rachunkach:</w:t>
      </w:r>
    </w:p>
    <w:p w:rsidR="000422AF" w:rsidRPr="00F76F93" w:rsidRDefault="000422AF" w:rsidP="000422AF">
      <w:pPr>
        <w:ind w:left="708"/>
        <w:jc w:val="both"/>
        <w:rPr>
          <w:rFonts w:ascii="Arial" w:hAnsi="Arial" w:cs="Arial"/>
          <w:bCs/>
          <w:sz w:val="18"/>
          <w:szCs w:val="18"/>
        </w:rPr>
      </w:pPr>
      <w:r w:rsidRPr="00F76F93">
        <w:rPr>
          <w:rFonts w:ascii="Arial" w:hAnsi="Arial" w:cs="Arial"/>
          <w:bCs/>
          <w:sz w:val="18"/>
          <w:szCs w:val="18"/>
        </w:rPr>
        <w:t>Umowa zastawu rejestrowego, na podstawie której zastawy rejestrowe z najwyższym pierwszeństwem zaspokojenia (oraz zastawy finansowe jako dodatkowe zabezpieczenie) zostaną ustanowione na wszystkich rachunkach bankowych  Kredytobiorców.</w:t>
      </w:r>
    </w:p>
    <w:p w:rsidR="000422AF" w:rsidRPr="00F76F93" w:rsidRDefault="000422AF" w:rsidP="000422AF">
      <w:pPr>
        <w:numPr>
          <w:ilvl w:val="0"/>
          <w:numId w:val="34"/>
        </w:numPr>
        <w:jc w:val="both"/>
        <w:rPr>
          <w:rFonts w:ascii="Arial" w:hAnsi="Arial" w:cs="Arial"/>
          <w:bCs/>
          <w:sz w:val="18"/>
          <w:szCs w:val="18"/>
        </w:rPr>
      </w:pPr>
      <w:r w:rsidRPr="00F76F93">
        <w:rPr>
          <w:rFonts w:ascii="Arial" w:hAnsi="Arial" w:cs="Arial"/>
          <w:bCs/>
          <w:sz w:val="18"/>
          <w:szCs w:val="18"/>
        </w:rPr>
        <w:t xml:space="preserve"> Pełnomocnictwo  do Rachunków Bankowych:</w:t>
      </w:r>
    </w:p>
    <w:p w:rsidR="000422AF" w:rsidRPr="00F76F93" w:rsidRDefault="000422AF" w:rsidP="000422AF">
      <w:pPr>
        <w:ind w:left="708"/>
        <w:jc w:val="both"/>
        <w:rPr>
          <w:rFonts w:ascii="Arial" w:hAnsi="Arial" w:cs="Arial"/>
          <w:bCs/>
          <w:sz w:val="18"/>
          <w:szCs w:val="18"/>
        </w:rPr>
      </w:pPr>
      <w:r w:rsidRPr="00F76F93">
        <w:rPr>
          <w:rFonts w:ascii="Arial" w:hAnsi="Arial" w:cs="Arial"/>
          <w:bCs/>
          <w:sz w:val="18"/>
          <w:szCs w:val="18"/>
        </w:rPr>
        <w:t>Pełnomocnictwo każdego z Kredytobiorców do każdego z rachunków bankowych Kredytobiorców wraz instrukcją ustanowienia blokady  na Rachunku Rezerwowym i innych rachunkach w razie Naruszenia.</w:t>
      </w:r>
    </w:p>
    <w:p w:rsidR="000422AF" w:rsidRPr="00F76F93" w:rsidRDefault="000422AF" w:rsidP="000422AF">
      <w:pPr>
        <w:numPr>
          <w:ilvl w:val="0"/>
          <w:numId w:val="34"/>
        </w:numPr>
        <w:jc w:val="both"/>
        <w:rPr>
          <w:rFonts w:ascii="Arial" w:hAnsi="Arial" w:cs="Arial"/>
          <w:bCs/>
          <w:sz w:val="18"/>
          <w:szCs w:val="18"/>
        </w:rPr>
      </w:pPr>
      <w:r w:rsidRPr="00F76F93">
        <w:rPr>
          <w:rFonts w:ascii="Arial" w:hAnsi="Arial" w:cs="Arial"/>
          <w:bCs/>
          <w:sz w:val="18"/>
          <w:szCs w:val="18"/>
        </w:rPr>
        <w:t xml:space="preserve"> Umowa Cesji:</w:t>
      </w:r>
    </w:p>
    <w:p w:rsidR="000422AF" w:rsidRPr="00F76F93" w:rsidRDefault="000422AF" w:rsidP="000422AF">
      <w:pPr>
        <w:ind w:left="708"/>
        <w:jc w:val="both"/>
        <w:rPr>
          <w:rFonts w:ascii="Arial" w:hAnsi="Arial" w:cs="Arial"/>
          <w:bCs/>
          <w:sz w:val="18"/>
          <w:szCs w:val="18"/>
        </w:rPr>
      </w:pPr>
      <w:r w:rsidRPr="00F76F93">
        <w:rPr>
          <w:rFonts w:ascii="Arial" w:hAnsi="Arial" w:cs="Arial"/>
          <w:bCs/>
          <w:sz w:val="18"/>
          <w:szCs w:val="18"/>
        </w:rPr>
        <w:t>Umowa cesji, na mocy której Kredytobiorca dokonuje na rzecz Kredytodawcy, tytułem zabezpieczenia, cesji swoich praw i korzyści, w ramach przyszłych i istniejących Polis Ubezpieczeniowych, Gwarancji Wykonania i Umów Projektu.</w:t>
      </w:r>
    </w:p>
    <w:p w:rsidR="000422AF" w:rsidRPr="00F76F93" w:rsidRDefault="000422AF" w:rsidP="000422AF">
      <w:pPr>
        <w:numPr>
          <w:ilvl w:val="0"/>
          <w:numId w:val="34"/>
        </w:numPr>
        <w:jc w:val="both"/>
        <w:rPr>
          <w:rFonts w:ascii="Arial" w:hAnsi="Arial" w:cs="Arial"/>
          <w:bCs/>
          <w:sz w:val="18"/>
          <w:szCs w:val="18"/>
        </w:rPr>
      </w:pPr>
      <w:r w:rsidRPr="00F76F93">
        <w:rPr>
          <w:rFonts w:ascii="Arial" w:hAnsi="Arial" w:cs="Arial"/>
          <w:bCs/>
          <w:sz w:val="18"/>
          <w:szCs w:val="18"/>
        </w:rPr>
        <w:t xml:space="preserve"> Oświadczenie o poddaniu się egzekucji:</w:t>
      </w:r>
    </w:p>
    <w:p w:rsidR="000422AF" w:rsidRPr="00F76F93" w:rsidRDefault="000422AF" w:rsidP="000422AF">
      <w:pPr>
        <w:ind w:left="708"/>
        <w:jc w:val="both"/>
        <w:rPr>
          <w:rFonts w:ascii="Arial" w:hAnsi="Arial" w:cs="Arial"/>
          <w:bCs/>
          <w:sz w:val="18"/>
          <w:szCs w:val="18"/>
        </w:rPr>
      </w:pPr>
      <w:r w:rsidRPr="00F76F93">
        <w:rPr>
          <w:rFonts w:ascii="Arial" w:hAnsi="Arial" w:cs="Arial"/>
          <w:bCs/>
          <w:sz w:val="18"/>
          <w:szCs w:val="18"/>
        </w:rPr>
        <w:t>Oświadczenie każdego Kredytobiorcy o dobrowolnym poddaniu się egzekucji w trybie artykułu</w:t>
      </w:r>
      <w:r w:rsidRPr="00F76F93">
        <w:rPr>
          <w:rFonts w:ascii="Arial" w:hAnsi="Arial" w:cs="Arial"/>
          <w:bCs/>
          <w:sz w:val="18"/>
          <w:szCs w:val="18"/>
        </w:rPr>
        <w:br/>
        <w:t xml:space="preserve"> 777 kodeksu postępowania cywilnego.</w:t>
      </w:r>
    </w:p>
    <w:p w:rsidR="000422AF" w:rsidRPr="00F76F93" w:rsidRDefault="000422AF" w:rsidP="000422AF">
      <w:pPr>
        <w:numPr>
          <w:ilvl w:val="0"/>
          <w:numId w:val="34"/>
        </w:numPr>
        <w:jc w:val="both"/>
        <w:rPr>
          <w:rFonts w:ascii="Arial" w:hAnsi="Arial" w:cs="Arial"/>
          <w:bCs/>
          <w:sz w:val="18"/>
          <w:szCs w:val="18"/>
        </w:rPr>
      </w:pPr>
      <w:r w:rsidRPr="00F76F93">
        <w:rPr>
          <w:rFonts w:ascii="Arial" w:hAnsi="Arial" w:cs="Arial"/>
          <w:bCs/>
          <w:sz w:val="18"/>
          <w:szCs w:val="18"/>
        </w:rPr>
        <w:t xml:space="preserve"> Umowa Podporządkowania:</w:t>
      </w:r>
    </w:p>
    <w:p w:rsidR="000422AF" w:rsidRPr="00F76F93" w:rsidRDefault="000422AF" w:rsidP="000422AF">
      <w:pPr>
        <w:ind w:left="708"/>
        <w:jc w:val="both"/>
        <w:rPr>
          <w:rFonts w:ascii="Arial" w:hAnsi="Arial" w:cs="Arial"/>
          <w:bCs/>
          <w:sz w:val="18"/>
          <w:szCs w:val="18"/>
        </w:rPr>
      </w:pPr>
      <w:r w:rsidRPr="00F76F93">
        <w:rPr>
          <w:rFonts w:ascii="Arial" w:hAnsi="Arial" w:cs="Arial"/>
          <w:bCs/>
          <w:sz w:val="18"/>
          <w:szCs w:val="18"/>
        </w:rPr>
        <w:t>Umowa Podporządkowania należycie podpisana przez jej strony ( Kredytobiorców oraz wszystkie osoby będące stroną Pożyczek Podporządkowanych i Kredytodawcę).</w:t>
      </w:r>
    </w:p>
    <w:p w:rsidR="000422AF" w:rsidRPr="00F76F93" w:rsidRDefault="000422AF" w:rsidP="000422AF">
      <w:pPr>
        <w:jc w:val="both"/>
        <w:rPr>
          <w:rFonts w:ascii="Arial" w:hAnsi="Arial" w:cs="Arial"/>
          <w:sz w:val="18"/>
          <w:szCs w:val="18"/>
        </w:rPr>
      </w:pPr>
    </w:p>
    <w:p w:rsidR="000422AF" w:rsidRPr="00F76F93" w:rsidRDefault="000422AF" w:rsidP="000422AF">
      <w:pPr>
        <w:jc w:val="both"/>
        <w:rPr>
          <w:rFonts w:ascii="Arial" w:hAnsi="Arial" w:cs="Arial"/>
          <w:sz w:val="18"/>
          <w:szCs w:val="18"/>
        </w:rPr>
      </w:pPr>
      <w:r w:rsidRPr="00F76F93">
        <w:rPr>
          <w:rFonts w:ascii="Arial" w:hAnsi="Arial" w:cs="Arial"/>
          <w:sz w:val="18"/>
          <w:szCs w:val="18"/>
        </w:rPr>
        <w:t>W wyniku zawartej Umowy Kredytowej, INTERFERIE S.A. zobowiązuje się do utrzymania w całym okresie kredytowania prawidłową pozycję wskaźników, to jest  wskaźnik LTV na poziomie nie wyższym niż 60 % oraz wskaźnik DSCR na poziomie nie niższym niż 120 %.</w:t>
      </w:r>
    </w:p>
    <w:p w:rsidR="000422AF" w:rsidRPr="00F76F93" w:rsidRDefault="000422AF" w:rsidP="000422AF">
      <w:pPr>
        <w:jc w:val="both"/>
        <w:rPr>
          <w:rFonts w:ascii="Arial" w:hAnsi="Arial" w:cs="Arial"/>
          <w:sz w:val="18"/>
          <w:szCs w:val="18"/>
        </w:rPr>
      </w:pPr>
      <w:r w:rsidRPr="00F76F93">
        <w:rPr>
          <w:rFonts w:ascii="Arial" w:hAnsi="Arial" w:cs="Arial"/>
          <w:sz w:val="18"/>
          <w:szCs w:val="18"/>
        </w:rPr>
        <w:t>Zgodnie z umową, weryfikacja wskaźnika LTV następuje w okresach k</w:t>
      </w:r>
      <w:r>
        <w:rPr>
          <w:rFonts w:ascii="Arial" w:hAnsi="Arial" w:cs="Arial"/>
          <w:sz w:val="18"/>
          <w:szCs w:val="18"/>
        </w:rPr>
        <w:t>wartalnych i na dzień 30 września</w:t>
      </w:r>
      <w:r w:rsidRPr="00F76F93">
        <w:rPr>
          <w:rFonts w:ascii="Arial" w:hAnsi="Arial" w:cs="Arial"/>
          <w:sz w:val="18"/>
          <w:szCs w:val="18"/>
        </w:rPr>
        <w:t xml:space="preserve"> 2021 r. jest na poziomie </w:t>
      </w:r>
      <w:r>
        <w:rPr>
          <w:rFonts w:ascii="Arial" w:hAnsi="Arial" w:cs="Arial"/>
          <w:sz w:val="18"/>
          <w:szCs w:val="18"/>
        </w:rPr>
        <w:t xml:space="preserve">23,52 </w:t>
      </w:r>
      <w:r w:rsidRPr="00F76F93">
        <w:rPr>
          <w:rFonts w:ascii="Arial" w:hAnsi="Arial" w:cs="Arial"/>
          <w:sz w:val="18"/>
          <w:szCs w:val="18"/>
        </w:rPr>
        <w:t>%. Zgodnie z Aneksem nr 3 do Umowy Kredytowej W</w:t>
      </w:r>
      <w:r>
        <w:rPr>
          <w:rFonts w:ascii="Arial" w:hAnsi="Arial" w:cs="Arial"/>
          <w:sz w:val="18"/>
          <w:szCs w:val="18"/>
        </w:rPr>
        <w:t>skaźnik DSCR na dzień 30 września</w:t>
      </w:r>
      <w:r w:rsidRPr="00F76F93">
        <w:rPr>
          <w:rFonts w:ascii="Arial" w:hAnsi="Arial" w:cs="Arial"/>
          <w:sz w:val="18"/>
          <w:szCs w:val="18"/>
        </w:rPr>
        <w:t xml:space="preserve">  2021 r. nie jest weryfikowany. </w:t>
      </w:r>
      <w:r w:rsidRPr="00F76F93">
        <w:rPr>
          <w:rFonts w:ascii="Arial" w:hAnsi="Arial" w:cs="Arial"/>
          <w:bCs/>
          <w:sz w:val="18"/>
          <w:szCs w:val="18"/>
        </w:rPr>
        <w:t>Na dzień publikacji Raportu, Spółka nie widzi zagrożeń w postaci wypowiedzenia Umowy Kredytowej zawartej dnia 08 marca 2016 roku.</w:t>
      </w:r>
    </w:p>
    <w:p w:rsidR="000422AF" w:rsidRPr="00F76F93" w:rsidRDefault="000422AF" w:rsidP="000422AF">
      <w:pPr>
        <w:tabs>
          <w:tab w:val="left" w:pos="540"/>
        </w:tabs>
        <w:spacing w:line="260" w:lineRule="exact"/>
        <w:jc w:val="both"/>
        <w:rPr>
          <w:rFonts w:ascii="Arial" w:hAnsi="Arial" w:cs="Arial"/>
          <w:sz w:val="18"/>
          <w:szCs w:val="18"/>
        </w:rPr>
      </w:pPr>
    </w:p>
    <w:p w:rsidR="000422AF" w:rsidRPr="00F76F93" w:rsidRDefault="000422AF" w:rsidP="000422AF">
      <w:pPr>
        <w:tabs>
          <w:tab w:val="left" w:pos="540"/>
        </w:tabs>
        <w:spacing w:line="260" w:lineRule="exact"/>
        <w:jc w:val="both"/>
        <w:rPr>
          <w:rFonts w:ascii="Arial" w:hAnsi="Arial" w:cs="Arial"/>
          <w:sz w:val="18"/>
          <w:szCs w:val="18"/>
        </w:rPr>
      </w:pPr>
      <w:r w:rsidRPr="00F76F93">
        <w:rPr>
          <w:rFonts w:ascii="Arial" w:hAnsi="Arial" w:cs="Arial"/>
          <w:sz w:val="18"/>
          <w:szCs w:val="18"/>
        </w:rPr>
        <w:t>Wartość bilansowa kredytów jest równa ich wartości godziwej.</w:t>
      </w:r>
    </w:p>
    <w:p w:rsidR="000422AF" w:rsidRPr="00E8279E" w:rsidRDefault="000422AF" w:rsidP="000422AF">
      <w:pPr>
        <w:tabs>
          <w:tab w:val="left" w:pos="540"/>
        </w:tabs>
        <w:spacing w:line="260" w:lineRule="exact"/>
        <w:jc w:val="both"/>
        <w:rPr>
          <w:rFonts w:ascii="Arial" w:hAnsi="Arial" w:cs="Arial"/>
          <w:bCs/>
          <w:sz w:val="18"/>
          <w:szCs w:val="18"/>
        </w:rPr>
      </w:pPr>
      <w:r w:rsidRPr="00E8279E">
        <w:rPr>
          <w:rFonts w:ascii="Arial" w:hAnsi="Arial" w:cs="Arial"/>
          <w:bCs/>
          <w:sz w:val="18"/>
          <w:szCs w:val="18"/>
        </w:rPr>
        <w:t>Za 9 m-cy 202</w:t>
      </w:r>
      <w:r>
        <w:rPr>
          <w:rFonts w:ascii="Arial" w:hAnsi="Arial" w:cs="Arial"/>
          <w:bCs/>
          <w:sz w:val="18"/>
          <w:szCs w:val="18"/>
        </w:rPr>
        <w:t>1</w:t>
      </w:r>
      <w:r w:rsidRPr="00E8279E">
        <w:rPr>
          <w:rFonts w:ascii="Arial" w:hAnsi="Arial" w:cs="Arial"/>
          <w:bCs/>
          <w:sz w:val="18"/>
          <w:szCs w:val="18"/>
        </w:rPr>
        <w:t xml:space="preserve"> roku, Spółka zapłaciła odsetki i opłat</w:t>
      </w:r>
      <w:r>
        <w:rPr>
          <w:rFonts w:ascii="Arial" w:hAnsi="Arial" w:cs="Arial"/>
          <w:bCs/>
          <w:sz w:val="18"/>
          <w:szCs w:val="18"/>
        </w:rPr>
        <w:t>y</w:t>
      </w:r>
      <w:r w:rsidRPr="00E8279E">
        <w:rPr>
          <w:rFonts w:ascii="Arial" w:hAnsi="Arial" w:cs="Arial"/>
          <w:bCs/>
          <w:sz w:val="18"/>
          <w:szCs w:val="18"/>
        </w:rPr>
        <w:t xml:space="preserve"> od kredytów w łącznej </w:t>
      </w:r>
      <w:r w:rsidRPr="002D538C">
        <w:rPr>
          <w:rFonts w:ascii="Arial" w:hAnsi="Arial" w:cs="Arial"/>
          <w:bCs/>
          <w:sz w:val="18"/>
          <w:szCs w:val="18"/>
        </w:rPr>
        <w:t>wysokości 421 tys</w:t>
      </w:r>
      <w:r w:rsidRPr="00E8279E">
        <w:rPr>
          <w:rFonts w:ascii="Arial" w:hAnsi="Arial" w:cs="Arial"/>
          <w:bCs/>
          <w:sz w:val="18"/>
          <w:szCs w:val="18"/>
        </w:rPr>
        <w:t xml:space="preserve">. zł. </w:t>
      </w:r>
    </w:p>
    <w:p w:rsidR="000422AF" w:rsidRPr="00F447DA" w:rsidRDefault="000422AF" w:rsidP="000422AF">
      <w:pPr>
        <w:tabs>
          <w:tab w:val="left" w:pos="540"/>
        </w:tabs>
        <w:spacing w:line="260" w:lineRule="exact"/>
        <w:jc w:val="both"/>
        <w:rPr>
          <w:rFonts w:ascii="Arial" w:hAnsi="Arial" w:cs="Arial"/>
          <w:bCs/>
          <w:sz w:val="18"/>
          <w:szCs w:val="18"/>
        </w:rPr>
      </w:pPr>
      <w:r w:rsidRPr="00E8279E">
        <w:rPr>
          <w:rFonts w:ascii="Arial" w:hAnsi="Arial" w:cs="Arial"/>
          <w:bCs/>
          <w:sz w:val="18"/>
          <w:szCs w:val="18"/>
        </w:rPr>
        <w:t>Za 9 m-cy 202</w:t>
      </w:r>
      <w:r>
        <w:rPr>
          <w:rFonts w:ascii="Arial" w:hAnsi="Arial" w:cs="Arial"/>
          <w:bCs/>
          <w:sz w:val="18"/>
          <w:szCs w:val="18"/>
        </w:rPr>
        <w:t>1</w:t>
      </w:r>
      <w:r w:rsidRPr="00E8279E">
        <w:rPr>
          <w:rFonts w:ascii="Arial" w:hAnsi="Arial" w:cs="Arial"/>
          <w:bCs/>
          <w:sz w:val="18"/>
          <w:szCs w:val="18"/>
        </w:rPr>
        <w:t xml:space="preserve"> roku, efektywna stopa procentowa wyniosła </w:t>
      </w:r>
      <w:r>
        <w:rPr>
          <w:rFonts w:ascii="Arial" w:hAnsi="Arial" w:cs="Arial"/>
          <w:bCs/>
          <w:sz w:val="18"/>
          <w:szCs w:val="18"/>
        </w:rPr>
        <w:t>1,92</w:t>
      </w:r>
      <w:r w:rsidRPr="00E8279E">
        <w:rPr>
          <w:rFonts w:ascii="Arial" w:hAnsi="Arial" w:cs="Arial"/>
          <w:bCs/>
          <w:sz w:val="18"/>
          <w:szCs w:val="18"/>
        </w:rPr>
        <w:t>%.</w:t>
      </w:r>
    </w:p>
    <w:p w:rsidR="005D3822" w:rsidRPr="00F447DA" w:rsidRDefault="005D3822" w:rsidP="005D3822">
      <w:pPr>
        <w:tabs>
          <w:tab w:val="left" w:pos="540"/>
        </w:tabs>
        <w:spacing w:line="260" w:lineRule="exact"/>
        <w:jc w:val="both"/>
        <w:rPr>
          <w:rFonts w:ascii="Arial" w:hAnsi="Arial" w:cs="Arial"/>
          <w:bCs/>
          <w:sz w:val="18"/>
          <w:szCs w:val="18"/>
        </w:rPr>
      </w:pPr>
    </w:p>
    <w:p w:rsidR="005D3822" w:rsidRDefault="005D3822" w:rsidP="005D3822">
      <w:pPr>
        <w:pStyle w:val="Tekstpodstawowy3"/>
        <w:tabs>
          <w:tab w:val="left" w:pos="540"/>
        </w:tabs>
        <w:rPr>
          <w:szCs w:val="18"/>
        </w:rPr>
      </w:pPr>
      <w:r w:rsidRPr="00F31D8E">
        <w:rPr>
          <w:szCs w:val="18"/>
        </w:rPr>
        <w:t>d) Środki pieniężne i ich ekwiwalenty</w:t>
      </w:r>
    </w:p>
    <w:p w:rsidR="005D3822" w:rsidRDefault="005D3822" w:rsidP="005D3822">
      <w:pPr>
        <w:rPr>
          <w:rFonts w:ascii="Arial" w:hAnsi="Arial" w:cs="Arial"/>
          <w:b/>
          <w:bCs/>
          <w:sz w:val="18"/>
          <w:szCs w:val="18"/>
        </w:rPr>
      </w:pPr>
    </w:p>
    <w:tbl>
      <w:tblPr>
        <w:tblW w:w="8349" w:type="dxa"/>
        <w:tblInd w:w="57" w:type="dxa"/>
        <w:tblCellMar>
          <w:left w:w="70" w:type="dxa"/>
          <w:right w:w="70" w:type="dxa"/>
        </w:tblCellMar>
        <w:tblLook w:val="00A0" w:firstRow="1" w:lastRow="0" w:firstColumn="1" w:lastColumn="0" w:noHBand="0" w:noVBand="0"/>
      </w:tblPr>
      <w:tblGrid>
        <w:gridCol w:w="5116"/>
        <w:gridCol w:w="1843"/>
        <w:gridCol w:w="1390"/>
      </w:tblGrid>
      <w:tr w:rsidR="005D3822" w:rsidRPr="00F06708" w:rsidTr="000422AF">
        <w:trPr>
          <w:trHeight w:val="278"/>
        </w:trPr>
        <w:tc>
          <w:tcPr>
            <w:tcW w:w="5116" w:type="dxa"/>
            <w:tcBorders>
              <w:top w:val="nil"/>
              <w:left w:val="nil"/>
              <w:bottom w:val="nil"/>
              <w:right w:val="nil"/>
            </w:tcBorders>
            <w:noWrap/>
            <w:vAlign w:val="bottom"/>
          </w:tcPr>
          <w:p w:rsidR="005D3822" w:rsidRPr="00F06708" w:rsidRDefault="005D3822" w:rsidP="00FB7083">
            <w:pPr>
              <w:rPr>
                <w:rFonts w:ascii="Arial" w:hAnsi="Arial" w:cs="Arial"/>
                <w:sz w:val="16"/>
                <w:szCs w:val="16"/>
              </w:rPr>
            </w:pPr>
          </w:p>
        </w:tc>
        <w:tc>
          <w:tcPr>
            <w:tcW w:w="3233" w:type="dxa"/>
            <w:gridSpan w:val="2"/>
            <w:tcBorders>
              <w:top w:val="nil"/>
              <w:left w:val="nil"/>
              <w:bottom w:val="nil"/>
              <w:right w:val="nil"/>
            </w:tcBorders>
            <w:noWrap/>
            <w:vAlign w:val="bottom"/>
          </w:tcPr>
          <w:p w:rsidR="005D3822" w:rsidRPr="00F06708" w:rsidRDefault="005D3822" w:rsidP="00FB7083">
            <w:pPr>
              <w:jc w:val="center"/>
              <w:rPr>
                <w:rFonts w:ascii="Arial" w:hAnsi="Arial" w:cs="Arial"/>
                <w:b/>
                <w:bCs/>
                <w:sz w:val="16"/>
                <w:szCs w:val="16"/>
              </w:rPr>
            </w:pPr>
            <w:r w:rsidRPr="00F06708">
              <w:rPr>
                <w:rFonts w:ascii="Arial" w:hAnsi="Arial" w:cs="Arial"/>
                <w:b/>
                <w:bCs/>
                <w:sz w:val="16"/>
                <w:szCs w:val="16"/>
              </w:rPr>
              <w:t>Stan na dzień</w:t>
            </w:r>
          </w:p>
        </w:tc>
      </w:tr>
      <w:tr w:rsidR="005D3822" w:rsidRPr="00F06708" w:rsidTr="00FB7083">
        <w:trPr>
          <w:trHeight w:val="86"/>
        </w:trPr>
        <w:tc>
          <w:tcPr>
            <w:tcW w:w="5116" w:type="dxa"/>
            <w:tcBorders>
              <w:top w:val="nil"/>
              <w:left w:val="nil"/>
              <w:bottom w:val="nil"/>
              <w:right w:val="nil"/>
            </w:tcBorders>
            <w:noWrap/>
            <w:vAlign w:val="bottom"/>
          </w:tcPr>
          <w:p w:rsidR="005D3822" w:rsidRPr="00F06708" w:rsidRDefault="005D3822" w:rsidP="00FB7083">
            <w:pPr>
              <w:rPr>
                <w:rFonts w:ascii="Arial" w:hAnsi="Arial" w:cs="Arial"/>
                <w:sz w:val="16"/>
                <w:szCs w:val="16"/>
              </w:rPr>
            </w:pPr>
          </w:p>
        </w:tc>
        <w:tc>
          <w:tcPr>
            <w:tcW w:w="1843" w:type="dxa"/>
            <w:tcBorders>
              <w:top w:val="nil"/>
              <w:left w:val="nil"/>
              <w:bottom w:val="nil"/>
              <w:right w:val="nil"/>
            </w:tcBorders>
            <w:noWrap/>
            <w:vAlign w:val="bottom"/>
          </w:tcPr>
          <w:p w:rsidR="005D3822" w:rsidRPr="00F06708" w:rsidRDefault="005D3822" w:rsidP="00FB7083">
            <w:pPr>
              <w:rPr>
                <w:rFonts w:ascii="Arial" w:hAnsi="Arial" w:cs="Arial"/>
                <w:b/>
                <w:bCs/>
                <w:sz w:val="16"/>
                <w:szCs w:val="16"/>
              </w:rPr>
            </w:pPr>
            <w:r w:rsidRPr="00F06708">
              <w:rPr>
                <w:rFonts w:ascii="Arial" w:hAnsi="Arial" w:cs="Arial"/>
                <w:b/>
                <w:bCs/>
                <w:sz w:val="16"/>
                <w:szCs w:val="16"/>
              </w:rPr>
              <w:t xml:space="preserve">30 września </w:t>
            </w:r>
            <w:r w:rsidR="000422AF" w:rsidRPr="00F06708">
              <w:rPr>
                <w:rFonts w:ascii="Arial" w:hAnsi="Arial" w:cs="Arial"/>
                <w:b/>
                <w:bCs/>
                <w:sz w:val="16"/>
                <w:szCs w:val="16"/>
              </w:rPr>
              <w:t>2021</w:t>
            </w:r>
          </w:p>
          <w:p w:rsidR="005D3822" w:rsidRPr="00F06708" w:rsidRDefault="005D3822" w:rsidP="00FB7083">
            <w:pPr>
              <w:rPr>
                <w:rFonts w:ascii="Arial" w:hAnsi="Arial" w:cs="Arial"/>
                <w:b/>
                <w:bCs/>
                <w:sz w:val="16"/>
                <w:szCs w:val="16"/>
              </w:rPr>
            </w:pPr>
            <w:r w:rsidRPr="00F06708">
              <w:rPr>
                <w:rFonts w:ascii="Arial" w:hAnsi="Arial" w:cs="Arial"/>
                <w:b/>
                <w:bCs/>
                <w:sz w:val="16"/>
                <w:szCs w:val="16"/>
              </w:rPr>
              <w:t>(niebadane)</w:t>
            </w:r>
          </w:p>
        </w:tc>
        <w:tc>
          <w:tcPr>
            <w:tcW w:w="1390" w:type="dxa"/>
            <w:tcBorders>
              <w:top w:val="nil"/>
              <w:left w:val="nil"/>
              <w:bottom w:val="nil"/>
              <w:right w:val="nil"/>
            </w:tcBorders>
            <w:noWrap/>
            <w:vAlign w:val="center"/>
          </w:tcPr>
          <w:p w:rsidR="005D3822" w:rsidRPr="00F06708" w:rsidRDefault="005D3822" w:rsidP="000422AF">
            <w:pPr>
              <w:jc w:val="right"/>
              <w:rPr>
                <w:rFonts w:ascii="Arial" w:hAnsi="Arial" w:cs="Arial"/>
                <w:b/>
                <w:bCs/>
                <w:sz w:val="16"/>
                <w:szCs w:val="16"/>
              </w:rPr>
            </w:pPr>
            <w:r w:rsidRPr="00F06708">
              <w:rPr>
                <w:rFonts w:ascii="Arial" w:hAnsi="Arial" w:cs="Arial"/>
                <w:b/>
                <w:bCs/>
                <w:sz w:val="16"/>
                <w:szCs w:val="16"/>
              </w:rPr>
              <w:t>31 grudnia 20</w:t>
            </w:r>
            <w:r w:rsidR="000422AF" w:rsidRPr="00F06708">
              <w:rPr>
                <w:rFonts w:ascii="Arial" w:hAnsi="Arial" w:cs="Arial"/>
                <w:b/>
                <w:bCs/>
                <w:sz w:val="16"/>
                <w:szCs w:val="16"/>
              </w:rPr>
              <w:t>20</w:t>
            </w:r>
          </w:p>
        </w:tc>
      </w:tr>
      <w:tr w:rsidR="008E5BAD" w:rsidRPr="00F06708" w:rsidTr="00FB7083">
        <w:trPr>
          <w:trHeight w:val="255"/>
        </w:trPr>
        <w:tc>
          <w:tcPr>
            <w:tcW w:w="5116" w:type="dxa"/>
            <w:tcBorders>
              <w:top w:val="nil"/>
              <w:left w:val="nil"/>
              <w:bottom w:val="nil"/>
              <w:right w:val="nil"/>
            </w:tcBorders>
            <w:noWrap/>
            <w:vAlign w:val="bottom"/>
          </w:tcPr>
          <w:p w:rsidR="008E5BAD" w:rsidRPr="00F06708" w:rsidRDefault="008E5BAD" w:rsidP="00FB7083">
            <w:pPr>
              <w:rPr>
                <w:rFonts w:ascii="Arial" w:hAnsi="Arial" w:cs="Arial"/>
                <w:sz w:val="16"/>
                <w:szCs w:val="16"/>
              </w:rPr>
            </w:pPr>
            <w:r w:rsidRPr="00F06708">
              <w:rPr>
                <w:rFonts w:ascii="Arial" w:hAnsi="Arial" w:cs="Arial"/>
                <w:sz w:val="16"/>
                <w:szCs w:val="16"/>
              </w:rPr>
              <w:t>Środki pieniężne w kasie</w:t>
            </w:r>
          </w:p>
        </w:tc>
        <w:tc>
          <w:tcPr>
            <w:tcW w:w="1843" w:type="dxa"/>
            <w:tcBorders>
              <w:top w:val="single" w:sz="8" w:space="0" w:color="auto"/>
              <w:left w:val="nil"/>
              <w:bottom w:val="nil"/>
              <w:right w:val="nil"/>
            </w:tcBorders>
            <w:noWrap/>
            <w:vAlign w:val="center"/>
          </w:tcPr>
          <w:p w:rsidR="008E5BAD" w:rsidRPr="00F06708" w:rsidRDefault="008E5BAD" w:rsidP="000422AF">
            <w:pPr>
              <w:jc w:val="right"/>
              <w:rPr>
                <w:rFonts w:ascii="Arial" w:hAnsi="Arial" w:cs="Arial"/>
                <w:sz w:val="16"/>
                <w:szCs w:val="16"/>
              </w:rPr>
            </w:pPr>
            <w:r w:rsidRPr="00F06708">
              <w:rPr>
                <w:rFonts w:ascii="Arial" w:hAnsi="Arial" w:cs="Arial"/>
                <w:sz w:val="16"/>
                <w:szCs w:val="16"/>
              </w:rPr>
              <w:t>24</w:t>
            </w:r>
          </w:p>
        </w:tc>
        <w:tc>
          <w:tcPr>
            <w:tcW w:w="1390" w:type="dxa"/>
            <w:tcBorders>
              <w:top w:val="single" w:sz="8" w:space="0" w:color="auto"/>
              <w:left w:val="nil"/>
              <w:bottom w:val="nil"/>
              <w:right w:val="nil"/>
            </w:tcBorders>
            <w:noWrap/>
            <w:vAlign w:val="center"/>
          </w:tcPr>
          <w:p w:rsidR="008E5BAD" w:rsidRPr="00F06708" w:rsidRDefault="008E5BAD" w:rsidP="003C41BA">
            <w:pPr>
              <w:jc w:val="right"/>
              <w:rPr>
                <w:rFonts w:ascii="Arial" w:hAnsi="Arial" w:cs="Arial"/>
                <w:sz w:val="16"/>
                <w:szCs w:val="16"/>
              </w:rPr>
            </w:pPr>
            <w:r w:rsidRPr="00F06708">
              <w:rPr>
                <w:rFonts w:ascii="Arial" w:hAnsi="Arial" w:cs="Arial"/>
                <w:sz w:val="16"/>
                <w:szCs w:val="16"/>
              </w:rPr>
              <w:t>8</w:t>
            </w:r>
          </w:p>
        </w:tc>
      </w:tr>
      <w:tr w:rsidR="008E5BAD" w:rsidRPr="00F06708" w:rsidTr="00FB7083">
        <w:trPr>
          <w:trHeight w:val="255"/>
        </w:trPr>
        <w:tc>
          <w:tcPr>
            <w:tcW w:w="5116" w:type="dxa"/>
            <w:tcBorders>
              <w:top w:val="nil"/>
              <w:left w:val="nil"/>
              <w:bottom w:val="nil"/>
              <w:right w:val="nil"/>
            </w:tcBorders>
            <w:noWrap/>
            <w:vAlign w:val="bottom"/>
          </w:tcPr>
          <w:p w:rsidR="008E5BAD" w:rsidRPr="00F06708" w:rsidRDefault="008E5BAD" w:rsidP="00FB7083">
            <w:pPr>
              <w:rPr>
                <w:rFonts w:ascii="Arial" w:hAnsi="Arial" w:cs="Arial"/>
                <w:sz w:val="16"/>
                <w:szCs w:val="16"/>
              </w:rPr>
            </w:pPr>
            <w:r w:rsidRPr="00F06708">
              <w:rPr>
                <w:rFonts w:ascii="Arial" w:hAnsi="Arial" w:cs="Arial"/>
                <w:sz w:val="16"/>
                <w:szCs w:val="16"/>
              </w:rPr>
              <w:t>Środki pieniężne na rachunkach bankowych</w:t>
            </w:r>
          </w:p>
        </w:tc>
        <w:tc>
          <w:tcPr>
            <w:tcW w:w="1843" w:type="dxa"/>
            <w:tcBorders>
              <w:top w:val="nil"/>
              <w:left w:val="nil"/>
              <w:bottom w:val="nil"/>
              <w:right w:val="nil"/>
            </w:tcBorders>
            <w:noWrap/>
            <w:vAlign w:val="center"/>
          </w:tcPr>
          <w:p w:rsidR="008E5BAD" w:rsidRPr="00F06708" w:rsidRDefault="008E5BAD" w:rsidP="000422AF">
            <w:pPr>
              <w:jc w:val="right"/>
              <w:rPr>
                <w:rFonts w:ascii="Arial" w:hAnsi="Arial" w:cs="Arial"/>
                <w:sz w:val="16"/>
                <w:szCs w:val="16"/>
              </w:rPr>
            </w:pPr>
            <w:r w:rsidRPr="00F06708">
              <w:rPr>
                <w:rFonts w:ascii="Arial" w:hAnsi="Arial" w:cs="Arial"/>
                <w:sz w:val="16"/>
                <w:szCs w:val="16"/>
              </w:rPr>
              <w:t>515</w:t>
            </w:r>
          </w:p>
        </w:tc>
        <w:tc>
          <w:tcPr>
            <w:tcW w:w="1390" w:type="dxa"/>
            <w:tcBorders>
              <w:top w:val="nil"/>
              <w:left w:val="nil"/>
              <w:bottom w:val="nil"/>
              <w:right w:val="nil"/>
            </w:tcBorders>
            <w:noWrap/>
            <w:vAlign w:val="center"/>
          </w:tcPr>
          <w:p w:rsidR="008E5BAD" w:rsidRPr="00F06708" w:rsidRDefault="008E5BAD" w:rsidP="003C41BA">
            <w:pPr>
              <w:jc w:val="right"/>
              <w:rPr>
                <w:rFonts w:ascii="Arial" w:hAnsi="Arial" w:cs="Arial"/>
                <w:sz w:val="16"/>
                <w:szCs w:val="16"/>
              </w:rPr>
            </w:pPr>
            <w:r w:rsidRPr="00F06708">
              <w:rPr>
                <w:rFonts w:ascii="Arial" w:hAnsi="Arial" w:cs="Arial"/>
                <w:sz w:val="16"/>
                <w:szCs w:val="16"/>
              </w:rPr>
              <w:t>1 344</w:t>
            </w:r>
          </w:p>
        </w:tc>
      </w:tr>
      <w:tr w:rsidR="008E5BAD" w:rsidRPr="00F06708" w:rsidTr="00FB7083">
        <w:trPr>
          <w:trHeight w:val="255"/>
        </w:trPr>
        <w:tc>
          <w:tcPr>
            <w:tcW w:w="5116" w:type="dxa"/>
            <w:tcBorders>
              <w:top w:val="nil"/>
              <w:left w:val="nil"/>
              <w:bottom w:val="nil"/>
              <w:right w:val="nil"/>
            </w:tcBorders>
            <w:noWrap/>
            <w:vAlign w:val="bottom"/>
          </w:tcPr>
          <w:p w:rsidR="008E5BAD" w:rsidRPr="00F06708" w:rsidRDefault="008E5BAD" w:rsidP="00FB7083">
            <w:pPr>
              <w:rPr>
                <w:rFonts w:ascii="Arial" w:hAnsi="Arial" w:cs="Arial"/>
                <w:sz w:val="16"/>
                <w:szCs w:val="16"/>
              </w:rPr>
            </w:pPr>
            <w:r w:rsidRPr="00F06708">
              <w:rPr>
                <w:rFonts w:ascii="Arial" w:hAnsi="Arial" w:cs="Arial"/>
                <w:sz w:val="16"/>
                <w:szCs w:val="16"/>
              </w:rPr>
              <w:t>Inne środki pieniężne</w:t>
            </w:r>
          </w:p>
        </w:tc>
        <w:tc>
          <w:tcPr>
            <w:tcW w:w="1843" w:type="dxa"/>
            <w:tcBorders>
              <w:top w:val="nil"/>
              <w:left w:val="nil"/>
              <w:bottom w:val="nil"/>
              <w:right w:val="nil"/>
            </w:tcBorders>
            <w:noWrap/>
            <w:vAlign w:val="center"/>
          </w:tcPr>
          <w:p w:rsidR="008E5BAD" w:rsidRPr="00F06708" w:rsidRDefault="008E5BAD" w:rsidP="000422AF">
            <w:pPr>
              <w:jc w:val="right"/>
              <w:rPr>
                <w:rFonts w:ascii="Arial" w:hAnsi="Arial" w:cs="Arial"/>
                <w:sz w:val="16"/>
                <w:szCs w:val="16"/>
              </w:rPr>
            </w:pPr>
            <w:r w:rsidRPr="00F06708">
              <w:rPr>
                <w:rFonts w:ascii="Arial" w:hAnsi="Arial" w:cs="Arial"/>
                <w:sz w:val="16"/>
                <w:szCs w:val="16"/>
              </w:rPr>
              <w:t>16</w:t>
            </w:r>
          </w:p>
        </w:tc>
        <w:tc>
          <w:tcPr>
            <w:tcW w:w="1390" w:type="dxa"/>
            <w:tcBorders>
              <w:top w:val="nil"/>
              <w:left w:val="nil"/>
              <w:bottom w:val="nil"/>
              <w:right w:val="nil"/>
            </w:tcBorders>
            <w:noWrap/>
            <w:vAlign w:val="center"/>
          </w:tcPr>
          <w:p w:rsidR="008E5BAD" w:rsidRPr="00F06708" w:rsidRDefault="008E5BAD" w:rsidP="003C41BA">
            <w:pPr>
              <w:jc w:val="right"/>
              <w:rPr>
                <w:rFonts w:ascii="Arial" w:hAnsi="Arial" w:cs="Arial"/>
                <w:sz w:val="16"/>
                <w:szCs w:val="16"/>
              </w:rPr>
            </w:pPr>
            <w:r w:rsidRPr="00F06708">
              <w:rPr>
                <w:rFonts w:ascii="Arial" w:hAnsi="Arial" w:cs="Arial"/>
                <w:sz w:val="16"/>
                <w:szCs w:val="16"/>
              </w:rPr>
              <w:t>4</w:t>
            </w:r>
          </w:p>
        </w:tc>
      </w:tr>
      <w:tr w:rsidR="008E5BAD" w:rsidRPr="00F06708" w:rsidTr="00FB7083">
        <w:trPr>
          <w:trHeight w:val="270"/>
        </w:trPr>
        <w:tc>
          <w:tcPr>
            <w:tcW w:w="5116" w:type="dxa"/>
            <w:tcBorders>
              <w:top w:val="nil"/>
              <w:left w:val="nil"/>
              <w:bottom w:val="nil"/>
              <w:right w:val="nil"/>
            </w:tcBorders>
            <w:noWrap/>
            <w:vAlign w:val="bottom"/>
          </w:tcPr>
          <w:p w:rsidR="008E5BAD" w:rsidRPr="00F06708" w:rsidRDefault="008E5BAD" w:rsidP="00FB7083">
            <w:pPr>
              <w:rPr>
                <w:rFonts w:ascii="Arial" w:hAnsi="Arial" w:cs="Arial"/>
                <w:sz w:val="16"/>
                <w:szCs w:val="16"/>
              </w:rPr>
            </w:pPr>
            <w:r w:rsidRPr="00F06708">
              <w:rPr>
                <w:rFonts w:ascii="Arial" w:hAnsi="Arial" w:cs="Arial"/>
                <w:sz w:val="16"/>
                <w:szCs w:val="16"/>
              </w:rPr>
              <w:t>Inne aktywa finansowe o terminie płatności do 3 miesięcy od dnia nabycia</w:t>
            </w:r>
          </w:p>
        </w:tc>
        <w:tc>
          <w:tcPr>
            <w:tcW w:w="1843" w:type="dxa"/>
            <w:tcBorders>
              <w:top w:val="nil"/>
              <w:left w:val="nil"/>
              <w:bottom w:val="nil"/>
              <w:right w:val="nil"/>
            </w:tcBorders>
            <w:noWrap/>
            <w:vAlign w:val="center"/>
          </w:tcPr>
          <w:p w:rsidR="008E5BAD" w:rsidRPr="00F06708" w:rsidRDefault="008E5BAD" w:rsidP="00FB7083">
            <w:pPr>
              <w:jc w:val="right"/>
              <w:rPr>
                <w:rFonts w:ascii="Arial" w:hAnsi="Arial" w:cs="Arial"/>
                <w:sz w:val="16"/>
                <w:szCs w:val="16"/>
              </w:rPr>
            </w:pPr>
            <w:r w:rsidRPr="00F06708">
              <w:rPr>
                <w:rFonts w:ascii="Arial" w:hAnsi="Arial" w:cs="Arial"/>
                <w:sz w:val="16"/>
                <w:szCs w:val="16"/>
              </w:rPr>
              <w:t>9 147</w:t>
            </w:r>
          </w:p>
        </w:tc>
        <w:tc>
          <w:tcPr>
            <w:tcW w:w="1390" w:type="dxa"/>
            <w:tcBorders>
              <w:top w:val="nil"/>
              <w:left w:val="nil"/>
              <w:bottom w:val="nil"/>
              <w:right w:val="nil"/>
            </w:tcBorders>
            <w:noWrap/>
            <w:vAlign w:val="center"/>
          </w:tcPr>
          <w:p w:rsidR="008E5BAD" w:rsidRPr="00F06708" w:rsidRDefault="008E5BAD" w:rsidP="003C41BA">
            <w:pPr>
              <w:jc w:val="right"/>
              <w:rPr>
                <w:rFonts w:ascii="Arial" w:hAnsi="Arial" w:cs="Arial"/>
                <w:sz w:val="16"/>
                <w:szCs w:val="16"/>
              </w:rPr>
            </w:pPr>
            <w:r w:rsidRPr="00F06708">
              <w:rPr>
                <w:rFonts w:ascii="Arial" w:hAnsi="Arial" w:cs="Arial"/>
                <w:sz w:val="16"/>
                <w:szCs w:val="16"/>
              </w:rPr>
              <w:t>-</w:t>
            </w:r>
          </w:p>
        </w:tc>
      </w:tr>
      <w:tr w:rsidR="008E5BAD" w:rsidRPr="00F06708" w:rsidTr="00FB7083">
        <w:trPr>
          <w:trHeight w:val="74"/>
        </w:trPr>
        <w:tc>
          <w:tcPr>
            <w:tcW w:w="5116" w:type="dxa"/>
            <w:tcBorders>
              <w:top w:val="nil"/>
              <w:left w:val="nil"/>
              <w:bottom w:val="nil"/>
              <w:right w:val="nil"/>
            </w:tcBorders>
            <w:noWrap/>
            <w:vAlign w:val="bottom"/>
          </w:tcPr>
          <w:p w:rsidR="008E5BAD" w:rsidRPr="00F06708" w:rsidRDefault="008E5BAD" w:rsidP="00FB7083">
            <w:pPr>
              <w:rPr>
                <w:rFonts w:ascii="Arial" w:hAnsi="Arial" w:cs="Arial"/>
                <w:b/>
                <w:bCs/>
                <w:sz w:val="16"/>
                <w:szCs w:val="16"/>
              </w:rPr>
            </w:pPr>
            <w:r w:rsidRPr="00F06708">
              <w:rPr>
                <w:rFonts w:ascii="Arial" w:hAnsi="Arial" w:cs="Arial"/>
                <w:b/>
                <w:bCs/>
                <w:sz w:val="16"/>
                <w:szCs w:val="16"/>
              </w:rPr>
              <w:t>Razem środki pieniężne i ich ekwiwalenty</w:t>
            </w:r>
          </w:p>
        </w:tc>
        <w:tc>
          <w:tcPr>
            <w:tcW w:w="1843" w:type="dxa"/>
            <w:tcBorders>
              <w:top w:val="single" w:sz="8" w:space="0" w:color="auto"/>
              <w:left w:val="nil"/>
              <w:bottom w:val="single" w:sz="8" w:space="0" w:color="auto"/>
              <w:right w:val="nil"/>
            </w:tcBorders>
            <w:noWrap/>
            <w:vAlign w:val="center"/>
          </w:tcPr>
          <w:p w:rsidR="008E5BAD" w:rsidRPr="00F06708" w:rsidRDefault="008E5BAD" w:rsidP="00FB7083">
            <w:pPr>
              <w:jc w:val="right"/>
              <w:rPr>
                <w:rFonts w:ascii="Arial" w:hAnsi="Arial" w:cs="Arial"/>
                <w:b/>
                <w:bCs/>
                <w:sz w:val="16"/>
                <w:szCs w:val="16"/>
              </w:rPr>
            </w:pPr>
            <w:r w:rsidRPr="00F06708">
              <w:rPr>
                <w:rFonts w:ascii="Arial" w:hAnsi="Arial" w:cs="Arial"/>
                <w:b/>
                <w:bCs/>
                <w:sz w:val="16"/>
                <w:szCs w:val="16"/>
              </w:rPr>
              <w:t>9 702</w:t>
            </w:r>
          </w:p>
        </w:tc>
        <w:tc>
          <w:tcPr>
            <w:tcW w:w="1390" w:type="dxa"/>
            <w:tcBorders>
              <w:top w:val="single" w:sz="8" w:space="0" w:color="auto"/>
              <w:left w:val="nil"/>
              <w:bottom w:val="single" w:sz="8" w:space="0" w:color="auto"/>
              <w:right w:val="nil"/>
            </w:tcBorders>
            <w:noWrap/>
            <w:vAlign w:val="center"/>
          </w:tcPr>
          <w:p w:rsidR="008E5BAD" w:rsidRPr="00F06708" w:rsidRDefault="008E5BAD" w:rsidP="003C41BA">
            <w:pPr>
              <w:jc w:val="right"/>
              <w:rPr>
                <w:rFonts w:ascii="Arial" w:hAnsi="Arial" w:cs="Arial"/>
                <w:b/>
                <w:bCs/>
                <w:sz w:val="16"/>
                <w:szCs w:val="16"/>
              </w:rPr>
            </w:pPr>
            <w:r w:rsidRPr="00F06708">
              <w:rPr>
                <w:rFonts w:ascii="Arial" w:hAnsi="Arial" w:cs="Arial"/>
                <w:b/>
                <w:bCs/>
                <w:sz w:val="16"/>
                <w:szCs w:val="16"/>
              </w:rPr>
              <w:t>1 356</w:t>
            </w:r>
          </w:p>
        </w:tc>
      </w:tr>
    </w:tbl>
    <w:p w:rsidR="005D3822" w:rsidRDefault="005D3822" w:rsidP="005D3822">
      <w:pPr>
        <w:rPr>
          <w:rFonts w:ascii="Arial" w:hAnsi="Arial" w:cs="Arial"/>
          <w:b/>
          <w:bCs/>
          <w:sz w:val="18"/>
          <w:szCs w:val="18"/>
        </w:rPr>
      </w:pPr>
    </w:p>
    <w:p w:rsidR="000D373B" w:rsidRDefault="000D373B">
      <w:pPr>
        <w:rPr>
          <w:rFonts w:ascii="Arial" w:hAnsi="Arial" w:cs="Arial"/>
          <w:b/>
          <w:bCs/>
          <w:sz w:val="18"/>
          <w:szCs w:val="18"/>
        </w:rPr>
      </w:pPr>
    </w:p>
    <w:p w:rsidR="008322CC" w:rsidRDefault="008322CC" w:rsidP="005D3822">
      <w:pPr>
        <w:rPr>
          <w:rFonts w:ascii="Arial" w:hAnsi="Arial" w:cs="Arial"/>
          <w:b/>
          <w:bCs/>
          <w:sz w:val="18"/>
          <w:szCs w:val="18"/>
        </w:rPr>
      </w:pPr>
      <w:r>
        <w:rPr>
          <w:rFonts w:ascii="Arial" w:hAnsi="Arial" w:cs="Arial"/>
          <w:b/>
          <w:bCs/>
          <w:sz w:val="18"/>
          <w:szCs w:val="18"/>
        </w:rPr>
        <w:br/>
      </w:r>
    </w:p>
    <w:p w:rsidR="008322CC" w:rsidRDefault="008322CC">
      <w:pPr>
        <w:rPr>
          <w:rFonts w:ascii="Arial" w:hAnsi="Arial" w:cs="Arial"/>
          <w:b/>
          <w:bCs/>
          <w:sz w:val="18"/>
          <w:szCs w:val="18"/>
        </w:rPr>
      </w:pPr>
      <w:r>
        <w:rPr>
          <w:rFonts w:ascii="Arial" w:hAnsi="Arial" w:cs="Arial"/>
          <w:b/>
          <w:bCs/>
          <w:sz w:val="18"/>
          <w:szCs w:val="18"/>
        </w:rPr>
        <w:br w:type="page"/>
      </w:r>
    </w:p>
    <w:p w:rsidR="005D3822" w:rsidRPr="0050133E" w:rsidRDefault="005D3822" w:rsidP="005D3822">
      <w:pPr>
        <w:rPr>
          <w:rFonts w:ascii="Arial" w:hAnsi="Arial" w:cs="Arial"/>
          <w:b/>
          <w:bCs/>
          <w:sz w:val="18"/>
          <w:szCs w:val="18"/>
        </w:rPr>
      </w:pPr>
      <w:r w:rsidRPr="0050133E">
        <w:rPr>
          <w:rFonts w:ascii="Arial" w:hAnsi="Arial" w:cs="Arial"/>
          <w:b/>
          <w:bCs/>
          <w:sz w:val="18"/>
          <w:szCs w:val="18"/>
        </w:rPr>
        <w:lastRenderedPageBreak/>
        <w:t>IV. Instrumenty finansowe</w:t>
      </w:r>
    </w:p>
    <w:p w:rsidR="005D3822" w:rsidRPr="0050133E" w:rsidRDefault="005D3822" w:rsidP="005D3822">
      <w:pPr>
        <w:jc w:val="both"/>
        <w:rPr>
          <w:rFonts w:ascii="Arial" w:hAnsi="Arial" w:cs="Arial"/>
          <w:sz w:val="18"/>
          <w:szCs w:val="18"/>
        </w:rPr>
      </w:pPr>
    </w:p>
    <w:p w:rsidR="005D3822" w:rsidRPr="00EC2380" w:rsidRDefault="005D3822" w:rsidP="005D3822">
      <w:pPr>
        <w:tabs>
          <w:tab w:val="left" w:pos="540"/>
        </w:tabs>
        <w:spacing w:line="260" w:lineRule="exact"/>
        <w:jc w:val="both"/>
        <w:rPr>
          <w:rFonts w:ascii="Arial" w:hAnsi="Arial" w:cs="Arial"/>
          <w:b/>
          <w:bCs/>
          <w:i/>
          <w:sz w:val="18"/>
          <w:szCs w:val="18"/>
        </w:rPr>
      </w:pPr>
      <w:r w:rsidRPr="0050133E">
        <w:rPr>
          <w:rFonts w:ascii="Arial" w:hAnsi="Arial" w:cs="Arial"/>
          <w:b/>
          <w:bCs/>
          <w:i/>
          <w:sz w:val="18"/>
          <w:szCs w:val="18"/>
        </w:rPr>
        <w:t>a) ujęcie strat z tytułu utraty wartości aktywów finansowych, rzeczowych aktywów trwałych, wartości niematerialnych, aktywów wynikających z umów z klientami lub innych aktywów oraz odwracanie takich strat z tytułu utraty wartości</w:t>
      </w:r>
    </w:p>
    <w:p w:rsidR="005D3822" w:rsidRPr="00EC2380" w:rsidRDefault="005D3822" w:rsidP="005D3822">
      <w:pPr>
        <w:jc w:val="both"/>
        <w:rPr>
          <w:rFonts w:ascii="Arial" w:hAnsi="Arial" w:cs="Arial"/>
          <w:sz w:val="18"/>
          <w:szCs w:val="18"/>
        </w:rPr>
      </w:pPr>
    </w:p>
    <w:p w:rsidR="005D3822" w:rsidRPr="00EC2380" w:rsidRDefault="005D3822" w:rsidP="005D3822">
      <w:pPr>
        <w:jc w:val="both"/>
        <w:rPr>
          <w:rFonts w:ascii="Arial" w:hAnsi="Arial" w:cs="Arial"/>
          <w:sz w:val="18"/>
          <w:szCs w:val="18"/>
        </w:rPr>
      </w:pPr>
      <w:r w:rsidRPr="00EC2380">
        <w:rPr>
          <w:rFonts w:ascii="Arial" w:hAnsi="Arial" w:cs="Arial"/>
          <w:sz w:val="18"/>
          <w:szCs w:val="18"/>
        </w:rPr>
        <w:t>Kalkulacja wartości odpisu na należności wg stanu na dzień 30.09.202</w:t>
      </w:r>
      <w:r w:rsidR="008E5BAD">
        <w:rPr>
          <w:rFonts w:ascii="Arial" w:hAnsi="Arial" w:cs="Arial"/>
          <w:sz w:val="18"/>
          <w:szCs w:val="18"/>
        </w:rPr>
        <w:t>1</w:t>
      </w:r>
      <w:r w:rsidRPr="00EC2380">
        <w:rPr>
          <w:rFonts w:ascii="Arial" w:hAnsi="Arial" w:cs="Arial"/>
          <w:sz w:val="18"/>
          <w:szCs w:val="18"/>
        </w:rPr>
        <w:t xml:space="preserve"> r. przedstawia się następująco:</w:t>
      </w:r>
    </w:p>
    <w:p w:rsidR="005D3822" w:rsidRPr="00EC2380" w:rsidRDefault="005D3822" w:rsidP="005D3822">
      <w:pPr>
        <w:jc w:val="both"/>
        <w:rPr>
          <w:rFonts w:ascii="Arial" w:hAnsi="Arial" w:cs="Arial"/>
          <w:sz w:val="18"/>
          <w:szCs w:val="18"/>
        </w:rPr>
      </w:pPr>
    </w:p>
    <w:tbl>
      <w:tblPr>
        <w:tblW w:w="9360" w:type="dxa"/>
        <w:tblInd w:w="-15" w:type="dxa"/>
        <w:tblCellMar>
          <w:left w:w="0" w:type="dxa"/>
          <w:right w:w="0" w:type="dxa"/>
        </w:tblCellMar>
        <w:tblLook w:val="04A0" w:firstRow="1" w:lastRow="0" w:firstColumn="1" w:lastColumn="0" w:noHBand="0" w:noVBand="1"/>
      </w:tblPr>
      <w:tblGrid>
        <w:gridCol w:w="7732"/>
        <w:gridCol w:w="1553"/>
        <w:gridCol w:w="75"/>
      </w:tblGrid>
      <w:tr w:rsidR="005D3822" w:rsidRPr="00F06708" w:rsidTr="00FB7083">
        <w:trPr>
          <w:trHeight w:val="375"/>
        </w:trPr>
        <w:tc>
          <w:tcPr>
            <w:tcW w:w="9360" w:type="dxa"/>
            <w:gridSpan w:val="3"/>
            <w:shd w:val="clear" w:color="auto" w:fill="auto"/>
            <w:noWrap/>
            <w:tcMar>
              <w:top w:w="0" w:type="dxa"/>
              <w:left w:w="70" w:type="dxa"/>
              <w:bottom w:w="0" w:type="dxa"/>
              <w:right w:w="70" w:type="dxa"/>
            </w:tcMar>
            <w:vAlign w:val="bottom"/>
            <w:hideMark/>
          </w:tcPr>
          <w:p w:rsidR="005D3822" w:rsidRPr="00F06708" w:rsidRDefault="005D3822" w:rsidP="000A05FB">
            <w:pPr>
              <w:jc w:val="center"/>
              <w:rPr>
                <w:rFonts w:ascii="Arial" w:eastAsiaTheme="minorHAnsi" w:hAnsi="Arial" w:cs="Arial"/>
                <w:b/>
                <w:bCs/>
                <w:sz w:val="16"/>
                <w:szCs w:val="16"/>
              </w:rPr>
            </w:pPr>
            <w:r w:rsidRPr="00F06708">
              <w:rPr>
                <w:rFonts w:ascii="Arial" w:hAnsi="Arial" w:cs="Arial"/>
                <w:b/>
                <w:bCs/>
                <w:sz w:val="16"/>
                <w:szCs w:val="16"/>
              </w:rPr>
              <w:t>Kalkulacja wartości odpisu na dzień 30.09.202</w:t>
            </w:r>
            <w:r w:rsidR="000A05FB" w:rsidRPr="00F06708">
              <w:rPr>
                <w:rFonts w:ascii="Arial" w:hAnsi="Arial" w:cs="Arial"/>
                <w:b/>
                <w:bCs/>
                <w:sz w:val="16"/>
                <w:szCs w:val="16"/>
              </w:rPr>
              <w:t>1</w:t>
            </w:r>
            <w:r w:rsidRPr="00F06708">
              <w:rPr>
                <w:rFonts w:ascii="Arial" w:hAnsi="Arial" w:cs="Arial"/>
                <w:b/>
                <w:bCs/>
                <w:sz w:val="16"/>
                <w:szCs w:val="16"/>
              </w:rPr>
              <w:t>r.</w:t>
            </w:r>
          </w:p>
        </w:tc>
      </w:tr>
      <w:tr w:rsidR="005D3822" w:rsidRPr="00F06708" w:rsidTr="00FB7083">
        <w:trPr>
          <w:gridAfter w:val="1"/>
          <w:wAfter w:w="75" w:type="dxa"/>
          <w:trHeight w:val="300"/>
        </w:trPr>
        <w:tc>
          <w:tcPr>
            <w:tcW w:w="7732" w:type="dxa"/>
            <w:shd w:val="clear" w:color="auto" w:fill="auto"/>
            <w:noWrap/>
            <w:tcMar>
              <w:top w:w="0" w:type="dxa"/>
              <w:left w:w="70" w:type="dxa"/>
              <w:bottom w:w="0" w:type="dxa"/>
              <w:right w:w="70" w:type="dxa"/>
            </w:tcMar>
            <w:vAlign w:val="bottom"/>
            <w:hideMark/>
          </w:tcPr>
          <w:p w:rsidR="005D3822" w:rsidRPr="00F06708" w:rsidRDefault="005D3822" w:rsidP="00FB7083">
            <w:pPr>
              <w:rPr>
                <w:rFonts w:ascii="Arial" w:hAnsi="Arial" w:cs="Arial"/>
                <w:sz w:val="16"/>
                <w:szCs w:val="16"/>
              </w:rPr>
            </w:pPr>
          </w:p>
        </w:tc>
        <w:tc>
          <w:tcPr>
            <w:tcW w:w="1553" w:type="dxa"/>
            <w:shd w:val="clear" w:color="auto" w:fill="auto"/>
            <w:noWrap/>
            <w:tcMar>
              <w:top w:w="0" w:type="dxa"/>
              <w:left w:w="70" w:type="dxa"/>
              <w:bottom w:w="0" w:type="dxa"/>
              <w:right w:w="70" w:type="dxa"/>
            </w:tcMar>
            <w:vAlign w:val="bottom"/>
            <w:hideMark/>
          </w:tcPr>
          <w:p w:rsidR="005D3822" w:rsidRPr="00F06708" w:rsidRDefault="005D3822" w:rsidP="00FB7083">
            <w:pPr>
              <w:rPr>
                <w:rFonts w:ascii="Arial" w:hAnsi="Arial" w:cs="Arial"/>
                <w:sz w:val="16"/>
                <w:szCs w:val="16"/>
              </w:rPr>
            </w:pPr>
          </w:p>
        </w:tc>
      </w:tr>
      <w:tr w:rsidR="005D3822" w:rsidRPr="00F06708" w:rsidTr="00FB7083">
        <w:trPr>
          <w:gridAfter w:val="1"/>
          <w:wAfter w:w="75" w:type="dxa"/>
          <w:trHeight w:val="66"/>
        </w:trPr>
        <w:tc>
          <w:tcPr>
            <w:tcW w:w="7732" w:type="dxa"/>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5D3822" w:rsidRPr="00F06708" w:rsidRDefault="005D3822" w:rsidP="00FB7083">
            <w:pPr>
              <w:rPr>
                <w:rFonts w:ascii="Arial" w:eastAsiaTheme="minorHAnsi" w:hAnsi="Arial" w:cs="Arial"/>
                <w:b/>
                <w:bCs/>
                <w:color w:val="000000"/>
                <w:sz w:val="16"/>
                <w:szCs w:val="16"/>
              </w:rPr>
            </w:pPr>
            <w:r w:rsidRPr="00F06708">
              <w:rPr>
                <w:rFonts w:ascii="Arial" w:hAnsi="Arial" w:cs="Arial"/>
                <w:b/>
                <w:bCs/>
                <w:color w:val="000000"/>
                <w:sz w:val="16"/>
                <w:szCs w:val="16"/>
              </w:rPr>
              <w:t>Wartość portfela na dzień wyceny</w:t>
            </w:r>
          </w:p>
        </w:tc>
        <w:tc>
          <w:tcPr>
            <w:tcW w:w="1553" w:type="dxa"/>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5D3822" w:rsidRPr="00F06708" w:rsidRDefault="005D3822" w:rsidP="00FB7083">
            <w:pPr>
              <w:jc w:val="right"/>
              <w:rPr>
                <w:rFonts w:ascii="Arial" w:eastAsiaTheme="minorHAnsi" w:hAnsi="Arial" w:cs="Arial"/>
                <w:i/>
                <w:iCs/>
                <w:color w:val="000000"/>
                <w:sz w:val="16"/>
                <w:szCs w:val="16"/>
              </w:rPr>
            </w:pPr>
            <w:r w:rsidRPr="00F06708">
              <w:rPr>
                <w:rFonts w:ascii="Arial" w:hAnsi="Arial" w:cs="Arial"/>
                <w:i/>
                <w:iCs/>
                <w:color w:val="000000"/>
                <w:sz w:val="16"/>
                <w:szCs w:val="16"/>
              </w:rPr>
              <w:t>PLN</w:t>
            </w:r>
          </w:p>
        </w:tc>
      </w:tr>
      <w:tr w:rsidR="000A05FB" w:rsidRPr="00F06708" w:rsidTr="00FB7083">
        <w:trPr>
          <w:gridAfter w:val="1"/>
          <w:wAfter w:w="75" w:type="dxa"/>
          <w:trHeight w:val="289"/>
        </w:trPr>
        <w:tc>
          <w:tcPr>
            <w:tcW w:w="7732" w:type="dxa"/>
            <w:shd w:val="clear" w:color="auto" w:fill="auto"/>
            <w:noWrap/>
            <w:tcMar>
              <w:top w:w="0" w:type="dxa"/>
              <w:left w:w="70" w:type="dxa"/>
              <w:bottom w:w="0" w:type="dxa"/>
              <w:right w:w="70" w:type="dxa"/>
            </w:tcMar>
            <w:vAlign w:val="bottom"/>
            <w:hideMark/>
          </w:tcPr>
          <w:p w:rsidR="000A05FB" w:rsidRPr="00F06708" w:rsidRDefault="000A05FB">
            <w:pPr>
              <w:rPr>
                <w:rFonts w:ascii="Arial" w:hAnsi="Arial" w:cs="Arial"/>
                <w:color w:val="000000"/>
                <w:sz w:val="16"/>
                <w:szCs w:val="16"/>
              </w:rPr>
            </w:pPr>
            <w:r w:rsidRPr="00F06708">
              <w:rPr>
                <w:rFonts w:ascii="Arial" w:hAnsi="Arial" w:cs="Arial"/>
                <w:color w:val="000000"/>
                <w:sz w:val="16"/>
                <w:szCs w:val="16"/>
              </w:rPr>
              <w:t>Nieprzeterminowane</w:t>
            </w:r>
          </w:p>
        </w:tc>
        <w:tc>
          <w:tcPr>
            <w:tcW w:w="1553" w:type="dxa"/>
            <w:shd w:val="clear" w:color="auto" w:fill="auto"/>
            <w:noWrap/>
            <w:tcMar>
              <w:top w:w="0" w:type="dxa"/>
              <w:left w:w="70" w:type="dxa"/>
              <w:bottom w:w="0" w:type="dxa"/>
              <w:right w:w="70" w:type="dxa"/>
            </w:tcMar>
            <w:vAlign w:val="bottom"/>
            <w:hideMark/>
          </w:tcPr>
          <w:p w:rsidR="000A05FB" w:rsidRPr="00F06708" w:rsidRDefault="000A05FB">
            <w:pPr>
              <w:jc w:val="right"/>
              <w:rPr>
                <w:rFonts w:ascii="Arial" w:hAnsi="Arial" w:cs="Arial"/>
                <w:color w:val="000000"/>
                <w:sz w:val="16"/>
                <w:szCs w:val="16"/>
              </w:rPr>
            </w:pPr>
            <w:r w:rsidRPr="00F06708">
              <w:rPr>
                <w:rFonts w:ascii="Arial" w:hAnsi="Arial" w:cs="Arial"/>
                <w:color w:val="000000"/>
                <w:sz w:val="16"/>
                <w:szCs w:val="16"/>
              </w:rPr>
              <w:t>876 509</w:t>
            </w:r>
          </w:p>
        </w:tc>
      </w:tr>
      <w:tr w:rsidR="000A05FB" w:rsidRPr="00F06708" w:rsidTr="00FB7083">
        <w:trPr>
          <w:gridAfter w:val="1"/>
          <w:wAfter w:w="75" w:type="dxa"/>
          <w:trHeight w:val="289"/>
        </w:trPr>
        <w:tc>
          <w:tcPr>
            <w:tcW w:w="7732" w:type="dxa"/>
            <w:shd w:val="clear" w:color="auto" w:fill="auto"/>
            <w:noWrap/>
            <w:tcMar>
              <w:top w:w="0" w:type="dxa"/>
              <w:left w:w="70" w:type="dxa"/>
              <w:bottom w:w="0" w:type="dxa"/>
              <w:right w:w="70" w:type="dxa"/>
            </w:tcMar>
            <w:vAlign w:val="bottom"/>
            <w:hideMark/>
          </w:tcPr>
          <w:p w:rsidR="000A05FB" w:rsidRPr="00F06708" w:rsidRDefault="000A05FB">
            <w:pPr>
              <w:rPr>
                <w:rFonts w:ascii="Arial" w:hAnsi="Arial" w:cs="Arial"/>
                <w:color w:val="000000"/>
                <w:sz w:val="16"/>
                <w:szCs w:val="16"/>
              </w:rPr>
            </w:pPr>
            <w:r w:rsidRPr="00F06708">
              <w:rPr>
                <w:rFonts w:ascii="Arial" w:hAnsi="Arial" w:cs="Arial"/>
                <w:color w:val="000000"/>
                <w:sz w:val="16"/>
                <w:szCs w:val="16"/>
              </w:rPr>
              <w:t>DPD &lt;  1, 30)</w:t>
            </w:r>
          </w:p>
        </w:tc>
        <w:tc>
          <w:tcPr>
            <w:tcW w:w="1553" w:type="dxa"/>
            <w:shd w:val="clear" w:color="auto" w:fill="auto"/>
            <w:noWrap/>
            <w:tcMar>
              <w:top w:w="0" w:type="dxa"/>
              <w:left w:w="70" w:type="dxa"/>
              <w:bottom w:w="0" w:type="dxa"/>
              <w:right w:w="70" w:type="dxa"/>
            </w:tcMar>
            <w:vAlign w:val="bottom"/>
            <w:hideMark/>
          </w:tcPr>
          <w:p w:rsidR="000A05FB" w:rsidRPr="00F06708" w:rsidRDefault="000A05FB">
            <w:pPr>
              <w:jc w:val="right"/>
              <w:rPr>
                <w:rFonts w:ascii="Arial" w:hAnsi="Arial" w:cs="Arial"/>
                <w:color w:val="000000"/>
                <w:sz w:val="16"/>
                <w:szCs w:val="16"/>
              </w:rPr>
            </w:pPr>
            <w:r w:rsidRPr="00F06708">
              <w:rPr>
                <w:rFonts w:ascii="Arial" w:hAnsi="Arial" w:cs="Arial"/>
                <w:color w:val="000000"/>
                <w:sz w:val="16"/>
                <w:szCs w:val="16"/>
              </w:rPr>
              <w:t>35 888</w:t>
            </w:r>
          </w:p>
        </w:tc>
      </w:tr>
      <w:tr w:rsidR="000A05FB" w:rsidRPr="00F06708" w:rsidTr="00FB7083">
        <w:trPr>
          <w:gridAfter w:val="1"/>
          <w:wAfter w:w="75" w:type="dxa"/>
          <w:trHeight w:val="289"/>
        </w:trPr>
        <w:tc>
          <w:tcPr>
            <w:tcW w:w="7732" w:type="dxa"/>
            <w:shd w:val="clear" w:color="auto" w:fill="auto"/>
            <w:noWrap/>
            <w:tcMar>
              <w:top w:w="0" w:type="dxa"/>
              <w:left w:w="70" w:type="dxa"/>
              <w:bottom w:w="0" w:type="dxa"/>
              <w:right w:w="70" w:type="dxa"/>
            </w:tcMar>
            <w:vAlign w:val="bottom"/>
            <w:hideMark/>
          </w:tcPr>
          <w:p w:rsidR="000A05FB" w:rsidRPr="00F06708" w:rsidRDefault="000A05FB">
            <w:pPr>
              <w:rPr>
                <w:rFonts w:ascii="Arial" w:hAnsi="Arial" w:cs="Arial"/>
                <w:color w:val="000000"/>
                <w:sz w:val="16"/>
                <w:szCs w:val="16"/>
              </w:rPr>
            </w:pPr>
            <w:r w:rsidRPr="00F06708">
              <w:rPr>
                <w:rFonts w:ascii="Arial" w:hAnsi="Arial" w:cs="Arial"/>
                <w:color w:val="000000"/>
                <w:sz w:val="16"/>
                <w:szCs w:val="16"/>
              </w:rPr>
              <w:t>DPD &lt;30, 60)</w:t>
            </w:r>
          </w:p>
        </w:tc>
        <w:tc>
          <w:tcPr>
            <w:tcW w:w="1553" w:type="dxa"/>
            <w:shd w:val="clear" w:color="auto" w:fill="auto"/>
            <w:noWrap/>
            <w:tcMar>
              <w:top w:w="0" w:type="dxa"/>
              <w:left w:w="70" w:type="dxa"/>
              <w:bottom w:w="0" w:type="dxa"/>
              <w:right w:w="70" w:type="dxa"/>
            </w:tcMar>
            <w:vAlign w:val="bottom"/>
            <w:hideMark/>
          </w:tcPr>
          <w:p w:rsidR="000A05FB" w:rsidRPr="00F06708" w:rsidRDefault="000A05FB">
            <w:pPr>
              <w:jc w:val="right"/>
              <w:rPr>
                <w:rFonts w:ascii="Arial" w:hAnsi="Arial" w:cs="Arial"/>
                <w:color w:val="000000"/>
                <w:sz w:val="16"/>
                <w:szCs w:val="16"/>
              </w:rPr>
            </w:pPr>
            <w:r w:rsidRPr="00F06708">
              <w:rPr>
                <w:rFonts w:ascii="Arial" w:hAnsi="Arial" w:cs="Arial"/>
                <w:color w:val="000000"/>
                <w:sz w:val="16"/>
                <w:szCs w:val="16"/>
              </w:rPr>
              <w:t>48 231</w:t>
            </w:r>
          </w:p>
        </w:tc>
      </w:tr>
      <w:tr w:rsidR="000A05FB" w:rsidRPr="00F06708" w:rsidTr="00FB7083">
        <w:trPr>
          <w:gridAfter w:val="1"/>
          <w:wAfter w:w="75" w:type="dxa"/>
          <w:trHeight w:val="289"/>
        </w:trPr>
        <w:tc>
          <w:tcPr>
            <w:tcW w:w="7732" w:type="dxa"/>
            <w:shd w:val="clear" w:color="auto" w:fill="auto"/>
            <w:noWrap/>
            <w:tcMar>
              <w:top w:w="0" w:type="dxa"/>
              <w:left w:w="70" w:type="dxa"/>
              <w:bottom w:w="0" w:type="dxa"/>
              <w:right w:w="70" w:type="dxa"/>
            </w:tcMar>
            <w:vAlign w:val="bottom"/>
            <w:hideMark/>
          </w:tcPr>
          <w:p w:rsidR="000A05FB" w:rsidRPr="00F06708" w:rsidRDefault="000A05FB">
            <w:pPr>
              <w:rPr>
                <w:rFonts w:ascii="Arial" w:hAnsi="Arial" w:cs="Arial"/>
                <w:color w:val="000000"/>
                <w:sz w:val="16"/>
                <w:szCs w:val="16"/>
              </w:rPr>
            </w:pPr>
            <w:r w:rsidRPr="00F06708">
              <w:rPr>
                <w:rFonts w:ascii="Arial" w:hAnsi="Arial" w:cs="Arial"/>
                <w:color w:val="000000"/>
                <w:sz w:val="16"/>
                <w:szCs w:val="16"/>
              </w:rPr>
              <w:t>DPD &lt;60, 90)</w:t>
            </w:r>
          </w:p>
        </w:tc>
        <w:tc>
          <w:tcPr>
            <w:tcW w:w="1553" w:type="dxa"/>
            <w:shd w:val="clear" w:color="auto" w:fill="auto"/>
            <w:noWrap/>
            <w:tcMar>
              <w:top w:w="0" w:type="dxa"/>
              <w:left w:w="70" w:type="dxa"/>
              <w:bottom w:w="0" w:type="dxa"/>
              <w:right w:w="70" w:type="dxa"/>
            </w:tcMar>
            <w:vAlign w:val="bottom"/>
            <w:hideMark/>
          </w:tcPr>
          <w:p w:rsidR="000A05FB" w:rsidRPr="00F06708" w:rsidRDefault="000A05FB">
            <w:pPr>
              <w:jc w:val="right"/>
              <w:rPr>
                <w:rFonts w:ascii="Arial" w:hAnsi="Arial" w:cs="Arial"/>
                <w:color w:val="000000"/>
                <w:sz w:val="16"/>
                <w:szCs w:val="16"/>
              </w:rPr>
            </w:pPr>
            <w:r w:rsidRPr="00F06708">
              <w:rPr>
                <w:rFonts w:ascii="Arial" w:hAnsi="Arial" w:cs="Arial"/>
                <w:color w:val="000000"/>
                <w:sz w:val="16"/>
                <w:szCs w:val="16"/>
              </w:rPr>
              <w:t>3 813</w:t>
            </w:r>
          </w:p>
        </w:tc>
      </w:tr>
      <w:tr w:rsidR="000A05FB" w:rsidRPr="00F06708" w:rsidTr="00FB7083">
        <w:trPr>
          <w:gridAfter w:val="1"/>
          <w:wAfter w:w="75" w:type="dxa"/>
          <w:trHeight w:val="289"/>
        </w:trPr>
        <w:tc>
          <w:tcPr>
            <w:tcW w:w="7732" w:type="dxa"/>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0A05FB" w:rsidRPr="00F06708" w:rsidRDefault="000A05FB">
            <w:pPr>
              <w:rPr>
                <w:rFonts w:ascii="Arial" w:hAnsi="Arial" w:cs="Arial"/>
                <w:color w:val="000000"/>
                <w:sz w:val="16"/>
                <w:szCs w:val="16"/>
              </w:rPr>
            </w:pPr>
            <w:proofErr w:type="spellStart"/>
            <w:r w:rsidRPr="00F06708">
              <w:rPr>
                <w:rFonts w:ascii="Arial" w:hAnsi="Arial" w:cs="Arial"/>
                <w:color w:val="000000"/>
                <w:sz w:val="16"/>
                <w:szCs w:val="16"/>
              </w:rPr>
              <w:t>Default</w:t>
            </w:r>
            <w:proofErr w:type="spellEnd"/>
          </w:p>
        </w:tc>
        <w:tc>
          <w:tcPr>
            <w:tcW w:w="1553" w:type="dxa"/>
            <w:shd w:val="clear" w:color="auto" w:fill="auto"/>
            <w:noWrap/>
            <w:tcMar>
              <w:top w:w="0" w:type="dxa"/>
              <w:left w:w="70" w:type="dxa"/>
              <w:bottom w:w="0" w:type="dxa"/>
              <w:right w:w="70" w:type="dxa"/>
            </w:tcMar>
            <w:vAlign w:val="bottom"/>
            <w:hideMark/>
          </w:tcPr>
          <w:p w:rsidR="000A05FB" w:rsidRPr="00F06708" w:rsidRDefault="000A05FB">
            <w:pPr>
              <w:jc w:val="right"/>
              <w:rPr>
                <w:rFonts w:ascii="Arial" w:hAnsi="Arial" w:cs="Arial"/>
                <w:color w:val="000000"/>
                <w:sz w:val="16"/>
                <w:szCs w:val="16"/>
              </w:rPr>
            </w:pPr>
            <w:r w:rsidRPr="00F06708">
              <w:rPr>
                <w:rFonts w:ascii="Arial" w:hAnsi="Arial" w:cs="Arial"/>
                <w:color w:val="000000"/>
                <w:sz w:val="16"/>
                <w:szCs w:val="16"/>
              </w:rPr>
              <w:t>307 848</w:t>
            </w:r>
          </w:p>
        </w:tc>
      </w:tr>
      <w:tr w:rsidR="000A05FB" w:rsidRPr="00F06708" w:rsidTr="00FB7083">
        <w:trPr>
          <w:gridAfter w:val="1"/>
          <w:wAfter w:w="75" w:type="dxa"/>
          <w:trHeight w:val="300"/>
        </w:trPr>
        <w:tc>
          <w:tcPr>
            <w:tcW w:w="7732" w:type="dxa"/>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0A05FB" w:rsidRPr="00F06708" w:rsidRDefault="000A05FB">
            <w:pPr>
              <w:rPr>
                <w:rFonts w:ascii="Arial" w:hAnsi="Arial" w:cs="Arial"/>
                <w:b/>
                <w:color w:val="000000"/>
                <w:sz w:val="16"/>
                <w:szCs w:val="16"/>
              </w:rPr>
            </w:pPr>
            <w:r w:rsidRPr="00F06708">
              <w:rPr>
                <w:rFonts w:ascii="Arial" w:hAnsi="Arial" w:cs="Arial"/>
                <w:b/>
                <w:color w:val="000000"/>
                <w:sz w:val="16"/>
                <w:szCs w:val="16"/>
              </w:rPr>
              <w:t> </w:t>
            </w:r>
          </w:p>
        </w:tc>
        <w:tc>
          <w:tcPr>
            <w:tcW w:w="1553" w:type="dxa"/>
            <w:tcBorders>
              <w:top w:val="single" w:sz="8" w:space="0" w:color="auto"/>
              <w:left w:val="nil"/>
              <w:bottom w:val="single" w:sz="8" w:space="0" w:color="auto"/>
              <w:right w:val="nil"/>
            </w:tcBorders>
            <w:shd w:val="clear" w:color="auto" w:fill="auto"/>
            <w:noWrap/>
            <w:tcMar>
              <w:top w:w="0" w:type="dxa"/>
              <w:left w:w="70" w:type="dxa"/>
              <w:bottom w:w="0" w:type="dxa"/>
              <w:right w:w="70" w:type="dxa"/>
            </w:tcMar>
            <w:vAlign w:val="bottom"/>
            <w:hideMark/>
          </w:tcPr>
          <w:p w:rsidR="000A05FB" w:rsidRPr="00F06708" w:rsidRDefault="000A05FB">
            <w:pPr>
              <w:jc w:val="right"/>
              <w:rPr>
                <w:rFonts w:ascii="Arial" w:hAnsi="Arial" w:cs="Arial"/>
                <w:b/>
                <w:color w:val="000000"/>
                <w:sz w:val="16"/>
                <w:szCs w:val="16"/>
              </w:rPr>
            </w:pPr>
            <w:r w:rsidRPr="00F06708">
              <w:rPr>
                <w:rFonts w:ascii="Arial" w:hAnsi="Arial" w:cs="Arial"/>
                <w:b/>
                <w:color w:val="000000"/>
                <w:sz w:val="16"/>
                <w:szCs w:val="16"/>
              </w:rPr>
              <w:t>1 272 289</w:t>
            </w:r>
          </w:p>
        </w:tc>
      </w:tr>
      <w:tr w:rsidR="005D3822" w:rsidRPr="00F06708" w:rsidTr="00FB7083">
        <w:trPr>
          <w:gridAfter w:val="1"/>
          <w:wAfter w:w="75" w:type="dxa"/>
          <w:trHeight w:val="300"/>
        </w:trPr>
        <w:tc>
          <w:tcPr>
            <w:tcW w:w="7732" w:type="dxa"/>
            <w:shd w:val="clear" w:color="auto" w:fill="auto"/>
            <w:noWrap/>
            <w:tcMar>
              <w:top w:w="0" w:type="dxa"/>
              <w:left w:w="70" w:type="dxa"/>
              <w:bottom w:w="0" w:type="dxa"/>
              <w:right w:w="70" w:type="dxa"/>
            </w:tcMar>
            <w:vAlign w:val="bottom"/>
            <w:hideMark/>
          </w:tcPr>
          <w:p w:rsidR="005D3822" w:rsidRPr="00F06708" w:rsidRDefault="005D3822" w:rsidP="00FB7083">
            <w:pPr>
              <w:rPr>
                <w:rFonts w:ascii="Arial" w:hAnsi="Arial" w:cs="Arial"/>
                <w:sz w:val="16"/>
                <w:szCs w:val="16"/>
              </w:rPr>
            </w:pPr>
          </w:p>
        </w:tc>
        <w:tc>
          <w:tcPr>
            <w:tcW w:w="1553" w:type="dxa"/>
            <w:shd w:val="clear" w:color="auto" w:fill="auto"/>
            <w:noWrap/>
            <w:tcMar>
              <w:top w:w="0" w:type="dxa"/>
              <w:left w:w="70" w:type="dxa"/>
              <w:bottom w:w="0" w:type="dxa"/>
              <w:right w:w="70" w:type="dxa"/>
            </w:tcMar>
            <w:vAlign w:val="bottom"/>
            <w:hideMark/>
          </w:tcPr>
          <w:p w:rsidR="005D3822" w:rsidRPr="00F06708" w:rsidRDefault="005D3822" w:rsidP="00FB7083">
            <w:pPr>
              <w:rPr>
                <w:rFonts w:ascii="Arial" w:hAnsi="Arial" w:cs="Arial"/>
                <w:sz w:val="16"/>
                <w:szCs w:val="16"/>
              </w:rPr>
            </w:pPr>
          </w:p>
        </w:tc>
      </w:tr>
      <w:tr w:rsidR="005D3822" w:rsidRPr="00F06708" w:rsidTr="00FB7083">
        <w:trPr>
          <w:gridAfter w:val="1"/>
          <w:wAfter w:w="75" w:type="dxa"/>
          <w:trHeight w:val="66"/>
        </w:trPr>
        <w:tc>
          <w:tcPr>
            <w:tcW w:w="7732" w:type="dxa"/>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5D3822" w:rsidRPr="00F06708" w:rsidRDefault="005D3822" w:rsidP="00FB7083">
            <w:pPr>
              <w:rPr>
                <w:rFonts w:ascii="Arial" w:eastAsiaTheme="minorHAnsi" w:hAnsi="Arial" w:cs="Arial"/>
                <w:b/>
                <w:bCs/>
                <w:color w:val="000000"/>
                <w:sz w:val="16"/>
                <w:szCs w:val="16"/>
              </w:rPr>
            </w:pPr>
            <w:r w:rsidRPr="00F06708">
              <w:rPr>
                <w:rFonts w:ascii="Arial" w:hAnsi="Arial" w:cs="Arial"/>
                <w:b/>
                <w:bCs/>
                <w:color w:val="000000"/>
                <w:sz w:val="16"/>
                <w:szCs w:val="16"/>
              </w:rPr>
              <w:t>Wartość odpisu na dzień wyceny</w:t>
            </w:r>
          </w:p>
        </w:tc>
        <w:tc>
          <w:tcPr>
            <w:tcW w:w="1553" w:type="dxa"/>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5D3822" w:rsidRPr="00F06708" w:rsidRDefault="005D3822" w:rsidP="00FB7083">
            <w:pPr>
              <w:jc w:val="right"/>
              <w:rPr>
                <w:rFonts w:ascii="Arial" w:eastAsiaTheme="minorHAnsi" w:hAnsi="Arial" w:cs="Arial"/>
                <w:i/>
                <w:iCs/>
                <w:color w:val="000000"/>
                <w:sz w:val="16"/>
                <w:szCs w:val="16"/>
              </w:rPr>
            </w:pPr>
            <w:r w:rsidRPr="00F06708">
              <w:rPr>
                <w:rFonts w:ascii="Arial" w:hAnsi="Arial" w:cs="Arial"/>
                <w:i/>
                <w:iCs/>
                <w:color w:val="000000"/>
                <w:sz w:val="16"/>
                <w:szCs w:val="16"/>
              </w:rPr>
              <w:t>PLN</w:t>
            </w:r>
          </w:p>
        </w:tc>
      </w:tr>
      <w:tr w:rsidR="000A05FB" w:rsidRPr="00F06708" w:rsidTr="00FB7083">
        <w:trPr>
          <w:gridAfter w:val="1"/>
          <w:wAfter w:w="75" w:type="dxa"/>
          <w:trHeight w:val="300"/>
        </w:trPr>
        <w:tc>
          <w:tcPr>
            <w:tcW w:w="7732" w:type="dxa"/>
            <w:shd w:val="clear" w:color="auto" w:fill="auto"/>
            <w:noWrap/>
            <w:tcMar>
              <w:top w:w="0" w:type="dxa"/>
              <w:left w:w="70" w:type="dxa"/>
              <w:bottom w:w="0" w:type="dxa"/>
              <w:right w:w="70" w:type="dxa"/>
            </w:tcMar>
            <w:vAlign w:val="bottom"/>
            <w:hideMark/>
          </w:tcPr>
          <w:p w:rsidR="000A05FB" w:rsidRPr="00F06708" w:rsidRDefault="000A05FB">
            <w:pPr>
              <w:rPr>
                <w:rFonts w:ascii="Arial" w:hAnsi="Arial" w:cs="Arial"/>
                <w:color w:val="000000"/>
                <w:sz w:val="16"/>
                <w:szCs w:val="16"/>
              </w:rPr>
            </w:pPr>
            <w:r w:rsidRPr="00F06708">
              <w:rPr>
                <w:rFonts w:ascii="Arial" w:hAnsi="Arial" w:cs="Arial"/>
                <w:color w:val="000000"/>
                <w:sz w:val="16"/>
                <w:szCs w:val="16"/>
              </w:rPr>
              <w:t>Nieprzeterminowane</w:t>
            </w:r>
          </w:p>
        </w:tc>
        <w:tc>
          <w:tcPr>
            <w:tcW w:w="1553" w:type="dxa"/>
            <w:shd w:val="clear" w:color="auto" w:fill="auto"/>
            <w:noWrap/>
            <w:tcMar>
              <w:top w:w="0" w:type="dxa"/>
              <w:left w:w="70" w:type="dxa"/>
              <w:bottom w:w="0" w:type="dxa"/>
              <w:right w:w="70" w:type="dxa"/>
            </w:tcMar>
            <w:vAlign w:val="bottom"/>
            <w:hideMark/>
          </w:tcPr>
          <w:p w:rsidR="000A05FB" w:rsidRPr="00F06708" w:rsidRDefault="000A05FB">
            <w:pPr>
              <w:jc w:val="right"/>
              <w:rPr>
                <w:rFonts w:ascii="Arial" w:hAnsi="Arial" w:cs="Arial"/>
                <w:color w:val="000000"/>
                <w:sz w:val="16"/>
                <w:szCs w:val="16"/>
              </w:rPr>
            </w:pPr>
            <w:r w:rsidRPr="00F06708">
              <w:rPr>
                <w:rFonts w:ascii="Arial" w:hAnsi="Arial" w:cs="Arial"/>
                <w:color w:val="000000"/>
                <w:sz w:val="16"/>
                <w:szCs w:val="16"/>
              </w:rPr>
              <w:t>32 168</w:t>
            </w:r>
          </w:p>
        </w:tc>
      </w:tr>
      <w:tr w:rsidR="000A05FB" w:rsidRPr="00F06708" w:rsidTr="00FB7083">
        <w:trPr>
          <w:gridAfter w:val="1"/>
          <w:wAfter w:w="75" w:type="dxa"/>
          <w:trHeight w:val="300"/>
        </w:trPr>
        <w:tc>
          <w:tcPr>
            <w:tcW w:w="7732" w:type="dxa"/>
            <w:shd w:val="clear" w:color="auto" w:fill="auto"/>
            <w:noWrap/>
            <w:tcMar>
              <w:top w:w="0" w:type="dxa"/>
              <w:left w:w="70" w:type="dxa"/>
              <w:bottom w:w="0" w:type="dxa"/>
              <w:right w:w="70" w:type="dxa"/>
            </w:tcMar>
            <w:vAlign w:val="bottom"/>
            <w:hideMark/>
          </w:tcPr>
          <w:p w:rsidR="000A05FB" w:rsidRPr="00F06708" w:rsidRDefault="000A05FB">
            <w:pPr>
              <w:rPr>
                <w:rFonts w:ascii="Arial" w:hAnsi="Arial" w:cs="Arial"/>
                <w:color w:val="000000"/>
                <w:sz w:val="16"/>
                <w:szCs w:val="16"/>
              </w:rPr>
            </w:pPr>
            <w:r w:rsidRPr="00F06708">
              <w:rPr>
                <w:rFonts w:ascii="Arial" w:hAnsi="Arial" w:cs="Arial"/>
                <w:color w:val="000000"/>
                <w:sz w:val="16"/>
                <w:szCs w:val="16"/>
              </w:rPr>
              <w:t>DPD &lt;  1, 30)</w:t>
            </w:r>
          </w:p>
        </w:tc>
        <w:tc>
          <w:tcPr>
            <w:tcW w:w="1553" w:type="dxa"/>
            <w:shd w:val="clear" w:color="auto" w:fill="auto"/>
            <w:noWrap/>
            <w:tcMar>
              <w:top w:w="0" w:type="dxa"/>
              <w:left w:w="70" w:type="dxa"/>
              <w:bottom w:w="0" w:type="dxa"/>
              <w:right w:w="70" w:type="dxa"/>
            </w:tcMar>
            <w:vAlign w:val="bottom"/>
            <w:hideMark/>
          </w:tcPr>
          <w:p w:rsidR="000A05FB" w:rsidRPr="00F06708" w:rsidRDefault="000A05FB">
            <w:pPr>
              <w:jc w:val="right"/>
              <w:rPr>
                <w:rFonts w:ascii="Arial" w:hAnsi="Arial" w:cs="Arial"/>
                <w:color w:val="000000"/>
                <w:sz w:val="16"/>
                <w:szCs w:val="16"/>
              </w:rPr>
            </w:pPr>
            <w:r w:rsidRPr="00F06708">
              <w:rPr>
                <w:rFonts w:ascii="Arial" w:hAnsi="Arial" w:cs="Arial"/>
                <w:color w:val="000000"/>
                <w:sz w:val="16"/>
                <w:szCs w:val="16"/>
              </w:rPr>
              <w:t>2 814</w:t>
            </w:r>
          </w:p>
        </w:tc>
      </w:tr>
      <w:tr w:rsidR="000A05FB" w:rsidRPr="00F06708" w:rsidTr="00FB7083">
        <w:trPr>
          <w:gridAfter w:val="1"/>
          <w:wAfter w:w="75" w:type="dxa"/>
          <w:trHeight w:val="300"/>
        </w:trPr>
        <w:tc>
          <w:tcPr>
            <w:tcW w:w="7732" w:type="dxa"/>
            <w:shd w:val="clear" w:color="auto" w:fill="auto"/>
            <w:noWrap/>
            <w:tcMar>
              <w:top w:w="0" w:type="dxa"/>
              <w:left w:w="70" w:type="dxa"/>
              <w:bottom w:w="0" w:type="dxa"/>
              <w:right w:w="70" w:type="dxa"/>
            </w:tcMar>
            <w:vAlign w:val="bottom"/>
            <w:hideMark/>
          </w:tcPr>
          <w:p w:rsidR="000A05FB" w:rsidRPr="00F06708" w:rsidRDefault="000A05FB">
            <w:pPr>
              <w:rPr>
                <w:rFonts w:ascii="Arial" w:hAnsi="Arial" w:cs="Arial"/>
                <w:color w:val="000000"/>
                <w:sz w:val="16"/>
                <w:szCs w:val="16"/>
              </w:rPr>
            </w:pPr>
            <w:r w:rsidRPr="00F06708">
              <w:rPr>
                <w:rFonts w:ascii="Arial" w:hAnsi="Arial" w:cs="Arial"/>
                <w:color w:val="000000"/>
                <w:sz w:val="16"/>
                <w:szCs w:val="16"/>
              </w:rPr>
              <w:t>DPD &lt;30, 60)</w:t>
            </w:r>
          </w:p>
        </w:tc>
        <w:tc>
          <w:tcPr>
            <w:tcW w:w="1553" w:type="dxa"/>
            <w:shd w:val="clear" w:color="auto" w:fill="auto"/>
            <w:noWrap/>
            <w:tcMar>
              <w:top w:w="0" w:type="dxa"/>
              <w:left w:w="70" w:type="dxa"/>
              <w:bottom w:w="0" w:type="dxa"/>
              <w:right w:w="70" w:type="dxa"/>
            </w:tcMar>
            <w:vAlign w:val="bottom"/>
            <w:hideMark/>
          </w:tcPr>
          <w:p w:rsidR="000A05FB" w:rsidRPr="00F06708" w:rsidRDefault="000A05FB">
            <w:pPr>
              <w:jc w:val="right"/>
              <w:rPr>
                <w:rFonts w:ascii="Arial" w:hAnsi="Arial" w:cs="Arial"/>
                <w:color w:val="000000"/>
                <w:sz w:val="16"/>
                <w:szCs w:val="16"/>
              </w:rPr>
            </w:pPr>
            <w:r w:rsidRPr="00F06708">
              <w:rPr>
                <w:rFonts w:ascii="Arial" w:hAnsi="Arial" w:cs="Arial"/>
                <w:color w:val="000000"/>
                <w:sz w:val="16"/>
                <w:szCs w:val="16"/>
              </w:rPr>
              <w:t>16 495</w:t>
            </w:r>
          </w:p>
        </w:tc>
      </w:tr>
      <w:tr w:rsidR="000A05FB" w:rsidRPr="00F06708" w:rsidTr="00FB7083">
        <w:trPr>
          <w:gridAfter w:val="1"/>
          <w:wAfter w:w="75" w:type="dxa"/>
          <w:trHeight w:val="300"/>
        </w:trPr>
        <w:tc>
          <w:tcPr>
            <w:tcW w:w="7732" w:type="dxa"/>
            <w:shd w:val="clear" w:color="auto" w:fill="auto"/>
            <w:noWrap/>
            <w:tcMar>
              <w:top w:w="0" w:type="dxa"/>
              <w:left w:w="70" w:type="dxa"/>
              <w:bottom w:w="0" w:type="dxa"/>
              <w:right w:w="70" w:type="dxa"/>
            </w:tcMar>
            <w:vAlign w:val="bottom"/>
            <w:hideMark/>
          </w:tcPr>
          <w:p w:rsidR="000A05FB" w:rsidRPr="00F06708" w:rsidRDefault="000A05FB">
            <w:pPr>
              <w:rPr>
                <w:rFonts w:ascii="Arial" w:hAnsi="Arial" w:cs="Arial"/>
                <w:color w:val="000000"/>
                <w:sz w:val="16"/>
                <w:szCs w:val="16"/>
              </w:rPr>
            </w:pPr>
            <w:r w:rsidRPr="00F06708">
              <w:rPr>
                <w:rFonts w:ascii="Arial" w:hAnsi="Arial" w:cs="Arial"/>
                <w:color w:val="000000"/>
                <w:sz w:val="16"/>
                <w:szCs w:val="16"/>
              </w:rPr>
              <w:t>DPD &lt;60, 90)</w:t>
            </w:r>
          </w:p>
        </w:tc>
        <w:tc>
          <w:tcPr>
            <w:tcW w:w="1553" w:type="dxa"/>
            <w:shd w:val="clear" w:color="auto" w:fill="auto"/>
            <w:noWrap/>
            <w:tcMar>
              <w:top w:w="0" w:type="dxa"/>
              <w:left w:w="70" w:type="dxa"/>
              <w:bottom w:w="0" w:type="dxa"/>
              <w:right w:w="70" w:type="dxa"/>
            </w:tcMar>
            <w:vAlign w:val="bottom"/>
            <w:hideMark/>
          </w:tcPr>
          <w:p w:rsidR="000A05FB" w:rsidRPr="00F06708" w:rsidRDefault="000A05FB">
            <w:pPr>
              <w:jc w:val="right"/>
              <w:rPr>
                <w:rFonts w:ascii="Arial" w:hAnsi="Arial" w:cs="Arial"/>
                <w:color w:val="000000"/>
                <w:sz w:val="16"/>
                <w:szCs w:val="16"/>
              </w:rPr>
            </w:pPr>
            <w:r w:rsidRPr="00F06708">
              <w:rPr>
                <w:rFonts w:ascii="Arial" w:hAnsi="Arial" w:cs="Arial"/>
                <w:color w:val="000000"/>
                <w:sz w:val="16"/>
                <w:szCs w:val="16"/>
              </w:rPr>
              <w:t>2 878</w:t>
            </w:r>
          </w:p>
        </w:tc>
      </w:tr>
      <w:tr w:rsidR="000A05FB" w:rsidRPr="00F06708" w:rsidTr="00FB7083">
        <w:trPr>
          <w:gridAfter w:val="1"/>
          <w:wAfter w:w="75" w:type="dxa"/>
          <w:trHeight w:val="300"/>
        </w:trPr>
        <w:tc>
          <w:tcPr>
            <w:tcW w:w="7732" w:type="dxa"/>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0A05FB" w:rsidRPr="00F06708" w:rsidRDefault="000A05FB">
            <w:pPr>
              <w:rPr>
                <w:rFonts w:ascii="Arial" w:hAnsi="Arial" w:cs="Arial"/>
                <w:color w:val="000000"/>
                <w:sz w:val="16"/>
                <w:szCs w:val="16"/>
              </w:rPr>
            </w:pPr>
            <w:proofErr w:type="spellStart"/>
            <w:r w:rsidRPr="00F06708">
              <w:rPr>
                <w:rFonts w:ascii="Arial" w:hAnsi="Arial" w:cs="Arial"/>
                <w:color w:val="000000"/>
                <w:sz w:val="16"/>
                <w:szCs w:val="16"/>
              </w:rPr>
              <w:t>Default</w:t>
            </w:r>
            <w:proofErr w:type="spellEnd"/>
          </w:p>
        </w:tc>
        <w:tc>
          <w:tcPr>
            <w:tcW w:w="1553" w:type="dxa"/>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0A05FB" w:rsidRPr="00F06708" w:rsidRDefault="000A05FB">
            <w:pPr>
              <w:jc w:val="right"/>
              <w:rPr>
                <w:rFonts w:ascii="Arial" w:hAnsi="Arial" w:cs="Arial"/>
                <w:color w:val="000000"/>
                <w:sz w:val="16"/>
                <w:szCs w:val="16"/>
              </w:rPr>
            </w:pPr>
            <w:r w:rsidRPr="00F06708">
              <w:rPr>
                <w:rFonts w:ascii="Arial" w:hAnsi="Arial" w:cs="Arial"/>
                <w:color w:val="000000"/>
                <w:sz w:val="16"/>
                <w:szCs w:val="16"/>
              </w:rPr>
              <w:t>307 848</w:t>
            </w:r>
          </w:p>
        </w:tc>
      </w:tr>
      <w:tr w:rsidR="000A05FB" w:rsidRPr="00F06708" w:rsidTr="00FB7083">
        <w:trPr>
          <w:gridAfter w:val="1"/>
          <w:wAfter w:w="75" w:type="dxa"/>
          <w:trHeight w:val="101"/>
        </w:trPr>
        <w:tc>
          <w:tcPr>
            <w:tcW w:w="7732" w:type="dxa"/>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0A05FB" w:rsidRPr="00F06708" w:rsidRDefault="000A05FB">
            <w:pPr>
              <w:rPr>
                <w:rFonts w:ascii="Arial" w:hAnsi="Arial" w:cs="Arial"/>
                <w:color w:val="000000"/>
                <w:sz w:val="16"/>
                <w:szCs w:val="16"/>
              </w:rPr>
            </w:pPr>
            <w:r w:rsidRPr="00F06708">
              <w:rPr>
                <w:rFonts w:ascii="Arial" w:hAnsi="Arial" w:cs="Arial"/>
                <w:color w:val="000000"/>
                <w:sz w:val="16"/>
                <w:szCs w:val="16"/>
              </w:rPr>
              <w:t>Wartość bez zabezpieczeń</w:t>
            </w:r>
          </w:p>
        </w:tc>
        <w:tc>
          <w:tcPr>
            <w:tcW w:w="1553" w:type="dxa"/>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0A05FB" w:rsidRPr="00F06708" w:rsidRDefault="000A05FB">
            <w:pPr>
              <w:jc w:val="right"/>
              <w:rPr>
                <w:rFonts w:ascii="Arial" w:hAnsi="Arial" w:cs="Arial"/>
                <w:color w:val="000000"/>
                <w:sz w:val="16"/>
                <w:szCs w:val="16"/>
              </w:rPr>
            </w:pPr>
            <w:r w:rsidRPr="00F06708">
              <w:rPr>
                <w:rFonts w:ascii="Arial" w:hAnsi="Arial" w:cs="Arial"/>
                <w:color w:val="000000"/>
                <w:sz w:val="16"/>
                <w:szCs w:val="16"/>
              </w:rPr>
              <w:t>362 202</w:t>
            </w:r>
          </w:p>
        </w:tc>
      </w:tr>
      <w:tr w:rsidR="005D3822" w:rsidRPr="00F06708" w:rsidTr="00FB7083">
        <w:trPr>
          <w:gridAfter w:val="1"/>
          <w:wAfter w:w="75" w:type="dxa"/>
          <w:trHeight w:val="175"/>
        </w:trPr>
        <w:tc>
          <w:tcPr>
            <w:tcW w:w="7732" w:type="dxa"/>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5D3822" w:rsidRPr="00F06708" w:rsidRDefault="005D3822" w:rsidP="00FB7083">
            <w:pPr>
              <w:rPr>
                <w:rFonts w:ascii="Arial" w:eastAsiaTheme="minorHAnsi" w:hAnsi="Arial" w:cs="Arial"/>
                <w:color w:val="000000"/>
                <w:sz w:val="16"/>
                <w:szCs w:val="16"/>
              </w:rPr>
            </w:pPr>
            <w:r w:rsidRPr="00F06708">
              <w:rPr>
                <w:rFonts w:ascii="Arial" w:hAnsi="Arial" w:cs="Arial"/>
                <w:color w:val="000000"/>
                <w:sz w:val="16"/>
                <w:szCs w:val="16"/>
              </w:rPr>
              <w:t>Szacunkowy odzysk z tytułu zabezpieczeń</w:t>
            </w:r>
          </w:p>
        </w:tc>
        <w:tc>
          <w:tcPr>
            <w:tcW w:w="1553" w:type="dxa"/>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5D3822" w:rsidRPr="00F06708" w:rsidRDefault="005D3822" w:rsidP="00FB7083">
            <w:pPr>
              <w:jc w:val="right"/>
              <w:rPr>
                <w:rFonts w:ascii="Arial" w:eastAsiaTheme="minorHAnsi" w:hAnsi="Arial" w:cs="Arial"/>
                <w:color w:val="000000"/>
                <w:sz w:val="16"/>
                <w:szCs w:val="16"/>
              </w:rPr>
            </w:pPr>
            <w:r w:rsidRPr="00F06708">
              <w:rPr>
                <w:rFonts w:ascii="Arial" w:hAnsi="Arial" w:cs="Arial"/>
                <w:color w:val="000000"/>
                <w:sz w:val="16"/>
                <w:szCs w:val="16"/>
              </w:rPr>
              <w:t>0</w:t>
            </w:r>
          </w:p>
        </w:tc>
      </w:tr>
      <w:tr w:rsidR="005D3822" w:rsidRPr="00F06708" w:rsidTr="00FB7083">
        <w:trPr>
          <w:gridAfter w:val="1"/>
          <w:wAfter w:w="75" w:type="dxa"/>
          <w:trHeight w:val="315"/>
        </w:trPr>
        <w:tc>
          <w:tcPr>
            <w:tcW w:w="7732" w:type="dxa"/>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5D3822" w:rsidRPr="00F06708" w:rsidRDefault="005D3822" w:rsidP="00FB7083">
            <w:pPr>
              <w:rPr>
                <w:rFonts w:ascii="Arial" w:eastAsiaTheme="minorHAnsi" w:hAnsi="Arial" w:cs="Arial"/>
                <w:b/>
                <w:bCs/>
                <w:color w:val="000000"/>
                <w:sz w:val="16"/>
                <w:szCs w:val="16"/>
              </w:rPr>
            </w:pPr>
            <w:r w:rsidRPr="00F06708">
              <w:rPr>
                <w:rFonts w:ascii="Arial" w:hAnsi="Arial" w:cs="Arial"/>
                <w:b/>
                <w:bCs/>
                <w:color w:val="000000"/>
                <w:sz w:val="16"/>
                <w:szCs w:val="16"/>
              </w:rPr>
              <w:t>Łączna wartość odpisu</w:t>
            </w:r>
          </w:p>
        </w:tc>
        <w:tc>
          <w:tcPr>
            <w:tcW w:w="1553" w:type="dxa"/>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5D3822" w:rsidRPr="00F06708" w:rsidRDefault="000A05FB" w:rsidP="00FB7083">
            <w:pPr>
              <w:jc w:val="right"/>
              <w:rPr>
                <w:rFonts w:ascii="Arial" w:eastAsiaTheme="minorHAnsi" w:hAnsi="Arial" w:cs="Arial"/>
                <w:b/>
                <w:bCs/>
                <w:color w:val="000000"/>
                <w:sz w:val="16"/>
                <w:szCs w:val="16"/>
              </w:rPr>
            </w:pPr>
            <w:r w:rsidRPr="00F06708">
              <w:rPr>
                <w:rFonts w:ascii="Arial" w:hAnsi="Arial" w:cs="Arial"/>
                <w:b/>
                <w:bCs/>
                <w:color w:val="000000"/>
                <w:sz w:val="16"/>
                <w:szCs w:val="16"/>
              </w:rPr>
              <w:t>362 202</w:t>
            </w:r>
          </w:p>
        </w:tc>
      </w:tr>
    </w:tbl>
    <w:p w:rsidR="005D3822" w:rsidRPr="00EC2380" w:rsidRDefault="005D3822" w:rsidP="005D3822">
      <w:pPr>
        <w:jc w:val="both"/>
        <w:rPr>
          <w:rFonts w:ascii="Arial" w:hAnsi="Arial" w:cs="Arial"/>
          <w:sz w:val="18"/>
          <w:szCs w:val="18"/>
        </w:rPr>
      </w:pPr>
    </w:p>
    <w:p w:rsidR="005D3822" w:rsidRPr="00EC2380" w:rsidRDefault="005D3822" w:rsidP="005D3822">
      <w:pPr>
        <w:jc w:val="both"/>
        <w:rPr>
          <w:rFonts w:ascii="Arial" w:hAnsi="Arial" w:cs="Arial"/>
          <w:sz w:val="18"/>
          <w:szCs w:val="18"/>
        </w:rPr>
      </w:pPr>
      <w:r w:rsidRPr="00EC2380">
        <w:rPr>
          <w:rFonts w:ascii="Arial" w:hAnsi="Arial" w:cs="Arial"/>
          <w:sz w:val="18"/>
          <w:szCs w:val="18"/>
        </w:rPr>
        <w:t>Łączna wartość odpisu na dzień 30.09.202</w:t>
      </w:r>
      <w:r w:rsidR="000A05FB">
        <w:rPr>
          <w:rFonts w:ascii="Arial" w:hAnsi="Arial" w:cs="Arial"/>
          <w:sz w:val="18"/>
          <w:szCs w:val="18"/>
        </w:rPr>
        <w:t>1</w:t>
      </w:r>
      <w:r w:rsidRPr="00EC2380">
        <w:rPr>
          <w:rFonts w:ascii="Arial" w:hAnsi="Arial" w:cs="Arial"/>
          <w:sz w:val="18"/>
          <w:szCs w:val="18"/>
        </w:rPr>
        <w:t xml:space="preserve"> r. w stosunku do stanu na 31.12.20</w:t>
      </w:r>
      <w:r w:rsidR="000A05FB">
        <w:rPr>
          <w:rFonts w:ascii="Arial" w:hAnsi="Arial" w:cs="Arial"/>
          <w:sz w:val="18"/>
          <w:szCs w:val="18"/>
        </w:rPr>
        <w:t>20</w:t>
      </w:r>
      <w:r w:rsidRPr="00EC2380">
        <w:rPr>
          <w:rFonts w:ascii="Arial" w:hAnsi="Arial" w:cs="Arial"/>
          <w:sz w:val="18"/>
          <w:szCs w:val="18"/>
        </w:rPr>
        <w:t xml:space="preserve"> roku </w:t>
      </w:r>
      <w:r w:rsidR="000A05FB">
        <w:rPr>
          <w:rFonts w:ascii="Arial" w:hAnsi="Arial" w:cs="Arial"/>
          <w:sz w:val="18"/>
          <w:szCs w:val="18"/>
        </w:rPr>
        <w:t>wzrosła</w:t>
      </w:r>
      <w:r w:rsidRPr="00EC2380">
        <w:rPr>
          <w:rFonts w:ascii="Arial" w:hAnsi="Arial" w:cs="Arial"/>
          <w:sz w:val="18"/>
          <w:szCs w:val="18"/>
        </w:rPr>
        <w:t xml:space="preserve"> o kwotę </w:t>
      </w:r>
      <w:r w:rsidR="00F06708">
        <w:rPr>
          <w:rFonts w:ascii="Arial" w:hAnsi="Arial" w:cs="Arial"/>
          <w:sz w:val="18"/>
          <w:szCs w:val="18"/>
        </w:rPr>
        <w:br/>
      </w:r>
      <w:r w:rsidR="000A05FB">
        <w:rPr>
          <w:rFonts w:ascii="Arial" w:hAnsi="Arial" w:cs="Arial"/>
          <w:sz w:val="18"/>
          <w:szCs w:val="18"/>
        </w:rPr>
        <w:t>6</w:t>
      </w:r>
      <w:r w:rsidRPr="00EC2380">
        <w:rPr>
          <w:rFonts w:ascii="Arial" w:hAnsi="Arial" w:cs="Arial"/>
          <w:sz w:val="18"/>
          <w:szCs w:val="18"/>
        </w:rPr>
        <w:t>2 tys. zł.</w:t>
      </w:r>
    </w:p>
    <w:p w:rsidR="005D3822" w:rsidRPr="00EC2380" w:rsidRDefault="005D3822" w:rsidP="005D3822">
      <w:pPr>
        <w:jc w:val="both"/>
        <w:rPr>
          <w:rFonts w:ascii="Arial" w:hAnsi="Arial" w:cs="Arial"/>
          <w:sz w:val="18"/>
          <w:szCs w:val="18"/>
        </w:rPr>
      </w:pPr>
    </w:p>
    <w:p w:rsidR="005D3822" w:rsidRPr="00EC2380" w:rsidRDefault="005D3822" w:rsidP="005D3822">
      <w:pPr>
        <w:jc w:val="both"/>
        <w:rPr>
          <w:rFonts w:ascii="Arial" w:hAnsi="Arial" w:cs="Arial"/>
          <w:sz w:val="18"/>
          <w:szCs w:val="18"/>
        </w:rPr>
      </w:pPr>
      <w:r w:rsidRPr="00EC2380">
        <w:rPr>
          <w:rFonts w:ascii="Arial" w:hAnsi="Arial" w:cs="Arial"/>
          <w:sz w:val="18"/>
          <w:szCs w:val="18"/>
        </w:rPr>
        <w:t>Poza opisanym powyżej nie wystąpiły inne przypadki ujęcia strat z tytułu utraty wartości aktywów finansowych, rzeczowych aktywów trwałych, wartości niematerialnych, aktywów wynikających z umów z klientami lub innych aktywów oraz odwracanie takich strat z tytułu utraty wartości.</w:t>
      </w:r>
    </w:p>
    <w:p w:rsidR="005D3822" w:rsidRPr="00EC2380" w:rsidRDefault="005D3822" w:rsidP="005D3822">
      <w:pPr>
        <w:jc w:val="both"/>
        <w:rPr>
          <w:rFonts w:ascii="Arial" w:hAnsi="Arial" w:cs="Arial"/>
          <w:sz w:val="18"/>
          <w:szCs w:val="18"/>
        </w:rPr>
      </w:pPr>
    </w:p>
    <w:p w:rsidR="005D3822" w:rsidRPr="00EC2380" w:rsidRDefault="005D3822" w:rsidP="005D3822">
      <w:pPr>
        <w:jc w:val="both"/>
        <w:rPr>
          <w:rFonts w:ascii="Arial" w:hAnsi="Arial" w:cs="Arial"/>
          <w:sz w:val="18"/>
          <w:szCs w:val="18"/>
        </w:rPr>
      </w:pPr>
    </w:p>
    <w:p w:rsidR="005D3822" w:rsidRPr="007040BC" w:rsidRDefault="005D3822" w:rsidP="005D3822">
      <w:pPr>
        <w:tabs>
          <w:tab w:val="left" w:pos="540"/>
        </w:tabs>
        <w:spacing w:line="260" w:lineRule="exact"/>
        <w:jc w:val="both"/>
        <w:rPr>
          <w:rFonts w:ascii="Arial" w:hAnsi="Arial" w:cs="Arial"/>
          <w:b/>
          <w:bCs/>
          <w:i/>
          <w:sz w:val="18"/>
          <w:szCs w:val="18"/>
        </w:rPr>
      </w:pPr>
      <w:r w:rsidRPr="00EC2380">
        <w:rPr>
          <w:rFonts w:ascii="Arial" w:hAnsi="Arial" w:cs="Arial"/>
          <w:b/>
          <w:bCs/>
          <w:i/>
          <w:sz w:val="18"/>
          <w:szCs w:val="18"/>
        </w:rPr>
        <w:t xml:space="preserve">b) </w:t>
      </w:r>
      <w:r w:rsidRPr="007040BC">
        <w:rPr>
          <w:rFonts w:ascii="Arial" w:hAnsi="Arial" w:cs="Arial"/>
          <w:b/>
          <w:bCs/>
          <w:i/>
          <w:sz w:val="18"/>
          <w:szCs w:val="18"/>
        </w:rPr>
        <w:t>zmiany warunków prowadzenia działalności i sytuacji gospodarczej, które mają wpływ na wartość godziwą aktywów finansowych i zobowiązań finansowych jednostki, niezależnie od tego, czy te aktywa</w:t>
      </w:r>
      <w:r w:rsidR="008232EF">
        <w:rPr>
          <w:rFonts w:ascii="Arial" w:hAnsi="Arial" w:cs="Arial"/>
          <w:b/>
          <w:bCs/>
          <w:i/>
          <w:sz w:val="18"/>
          <w:szCs w:val="18"/>
        </w:rPr>
        <w:br/>
      </w:r>
      <w:r w:rsidRPr="007040BC">
        <w:rPr>
          <w:rFonts w:ascii="Arial" w:hAnsi="Arial" w:cs="Arial"/>
          <w:b/>
          <w:bCs/>
          <w:i/>
          <w:sz w:val="18"/>
          <w:szCs w:val="18"/>
        </w:rPr>
        <w:t xml:space="preserve"> i zobowiązania są ujęte w wartości godziwej czy po koszcie zamortyzowanym;</w:t>
      </w:r>
    </w:p>
    <w:p w:rsidR="005D3822" w:rsidRPr="007040BC" w:rsidRDefault="005D3822" w:rsidP="005D3822">
      <w:pPr>
        <w:jc w:val="both"/>
        <w:rPr>
          <w:rFonts w:ascii="Arial" w:hAnsi="Arial" w:cs="Arial"/>
          <w:b/>
          <w:sz w:val="18"/>
          <w:szCs w:val="18"/>
        </w:rPr>
      </w:pPr>
    </w:p>
    <w:p w:rsidR="005D3822" w:rsidRPr="007040BC" w:rsidRDefault="005D3822" w:rsidP="005D3822">
      <w:pPr>
        <w:jc w:val="both"/>
        <w:rPr>
          <w:rFonts w:ascii="Arial" w:hAnsi="Arial" w:cs="Arial"/>
          <w:sz w:val="18"/>
          <w:szCs w:val="18"/>
        </w:rPr>
      </w:pPr>
      <w:r w:rsidRPr="007040BC">
        <w:rPr>
          <w:rFonts w:ascii="Arial" w:hAnsi="Arial" w:cs="Arial"/>
          <w:sz w:val="18"/>
          <w:szCs w:val="18"/>
        </w:rPr>
        <w:t>Nie wystąpiły.</w:t>
      </w:r>
    </w:p>
    <w:p w:rsidR="005D3822" w:rsidRPr="007040BC" w:rsidRDefault="005D3822" w:rsidP="005D3822">
      <w:pPr>
        <w:jc w:val="both"/>
        <w:rPr>
          <w:rFonts w:ascii="Arial" w:hAnsi="Arial" w:cs="Arial"/>
          <w:b/>
          <w:sz w:val="18"/>
          <w:szCs w:val="18"/>
        </w:rPr>
      </w:pPr>
    </w:p>
    <w:p w:rsidR="005D3822" w:rsidRPr="007040BC" w:rsidRDefault="005D3822" w:rsidP="005D3822">
      <w:pPr>
        <w:tabs>
          <w:tab w:val="left" w:pos="540"/>
        </w:tabs>
        <w:spacing w:line="260" w:lineRule="exact"/>
        <w:jc w:val="both"/>
        <w:rPr>
          <w:rFonts w:ascii="Arial" w:hAnsi="Arial" w:cs="Arial"/>
          <w:b/>
          <w:bCs/>
          <w:i/>
          <w:sz w:val="18"/>
          <w:szCs w:val="18"/>
        </w:rPr>
      </w:pPr>
      <w:r w:rsidRPr="007040BC">
        <w:rPr>
          <w:rFonts w:ascii="Arial" w:hAnsi="Arial" w:cs="Arial"/>
          <w:b/>
          <w:bCs/>
          <w:i/>
          <w:sz w:val="18"/>
          <w:szCs w:val="18"/>
        </w:rPr>
        <w:t>c) niespłacenie pożyczki lub naruszenie postanowień umowy pożyczki, w odniesieniu do których nie podjęto żadnych działań naprawczych do końca okresu sprawozdawczego;</w:t>
      </w:r>
    </w:p>
    <w:p w:rsidR="005D3822" w:rsidRPr="007040BC" w:rsidRDefault="005D3822" w:rsidP="005D3822">
      <w:pPr>
        <w:tabs>
          <w:tab w:val="left" w:pos="540"/>
        </w:tabs>
        <w:spacing w:line="260" w:lineRule="exact"/>
        <w:jc w:val="both"/>
        <w:rPr>
          <w:rFonts w:ascii="Arial" w:hAnsi="Arial" w:cs="Arial"/>
          <w:b/>
          <w:bCs/>
          <w:i/>
          <w:sz w:val="18"/>
          <w:szCs w:val="18"/>
        </w:rPr>
      </w:pPr>
    </w:p>
    <w:p w:rsidR="005D3822" w:rsidRPr="007040BC" w:rsidRDefault="005D3822" w:rsidP="005D3822">
      <w:pPr>
        <w:jc w:val="both"/>
        <w:rPr>
          <w:rFonts w:ascii="Arial" w:hAnsi="Arial" w:cs="Arial"/>
          <w:sz w:val="18"/>
          <w:szCs w:val="18"/>
        </w:rPr>
      </w:pPr>
      <w:r w:rsidRPr="007040BC">
        <w:rPr>
          <w:rFonts w:ascii="Arial" w:hAnsi="Arial" w:cs="Arial"/>
          <w:sz w:val="18"/>
          <w:szCs w:val="18"/>
        </w:rPr>
        <w:t>Nie wystąpiły.</w:t>
      </w:r>
    </w:p>
    <w:p w:rsidR="005D3822" w:rsidRPr="007040BC" w:rsidRDefault="005D3822" w:rsidP="005D3822">
      <w:pPr>
        <w:tabs>
          <w:tab w:val="left" w:pos="540"/>
        </w:tabs>
        <w:spacing w:line="260" w:lineRule="exact"/>
        <w:jc w:val="both"/>
        <w:rPr>
          <w:rFonts w:ascii="Arial" w:hAnsi="Arial" w:cs="Arial"/>
          <w:b/>
          <w:bCs/>
          <w:i/>
          <w:sz w:val="18"/>
          <w:szCs w:val="18"/>
        </w:rPr>
      </w:pPr>
    </w:p>
    <w:p w:rsidR="005D3822" w:rsidRPr="007040BC" w:rsidRDefault="005D3822" w:rsidP="005D3822">
      <w:pPr>
        <w:tabs>
          <w:tab w:val="left" w:pos="540"/>
        </w:tabs>
        <w:spacing w:line="260" w:lineRule="exact"/>
        <w:jc w:val="both"/>
        <w:rPr>
          <w:rFonts w:ascii="Arial" w:hAnsi="Arial" w:cs="Arial"/>
          <w:b/>
          <w:bCs/>
          <w:i/>
          <w:sz w:val="18"/>
          <w:szCs w:val="18"/>
        </w:rPr>
      </w:pPr>
      <w:r w:rsidRPr="007040BC">
        <w:rPr>
          <w:rFonts w:ascii="Arial" w:hAnsi="Arial" w:cs="Arial"/>
          <w:b/>
          <w:bCs/>
          <w:i/>
          <w:sz w:val="18"/>
          <w:szCs w:val="18"/>
        </w:rPr>
        <w:t>d) przesunięcia między poszczególnymi poziomami hierarchii wartości godziwej, która jest stosowana na potrzeby wyceny wartości godziwej instrumentów finansowych;</w:t>
      </w:r>
    </w:p>
    <w:p w:rsidR="005D3822" w:rsidRPr="007040BC" w:rsidRDefault="005D3822" w:rsidP="005D3822">
      <w:pPr>
        <w:jc w:val="both"/>
        <w:rPr>
          <w:rFonts w:ascii="Arial" w:hAnsi="Arial" w:cs="Arial"/>
          <w:sz w:val="18"/>
          <w:szCs w:val="18"/>
        </w:rPr>
      </w:pPr>
    </w:p>
    <w:p w:rsidR="005D3822" w:rsidRPr="007040BC" w:rsidRDefault="005D3822" w:rsidP="005D3822">
      <w:pPr>
        <w:jc w:val="both"/>
        <w:rPr>
          <w:rFonts w:ascii="Arial" w:hAnsi="Arial" w:cs="Arial"/>
          <w:sz w:val="18"/>
          <w:szCs w:val="18"/>
        </w:rPr>
      </w:pPr>
      <w:r w:rsidRPr="007040BC">
        <w:rPr>
          <w:rFonts w:ascii="Arial" w:hAnsi="Arial" w:cs="Arial"/>
          <w:sz w:val="18"/>
          <w:szCs w:val="18"/>
        </w:rPr>
        <w:t>Nie wystąpiły.</w:t>
      </w:r>
    </w:p>
    <w:p w:rsidR="005D3822" w:rsidRPr="007040BC" w:rsidRDefault="005D3822" w:rsidP="005D3822">
      <w:pPr>
        <w:jc w:val="both"/>
        <w:rPr>
          <w:rFonts w:ascii="Arial" w:hAnsi="Arial" w:cs="Arial"/>
          <w:sz w:val="18"/>
          <w:szCs w:val="18"/>
        </w:rPr>
      </w:pPr>
    </w:p>
    <w:p w:rsidR="005D3822" w:rsidRPr="007040BC" w:rsidRDefault="005D3822" w:rsidP="005D3822">
      <w:pPr>
        <w:tabs>
          <w:tab w:val="left" w:pos="540"/>
        </w:tabs>
        <w:spacing w:line="260" w:lineRule="exact"/>
        <w:jc w:val="both"/>
        <w:rPr>
          <w:rFonts w:ascii="Arial" w:hAnsi="Arial" w:cs="Arial"/>
          <w:b/>
          <w:bCs/>
          <w:i/>
          <w:sz w:val="18"/>
          <w:szCs w:val="18"/>
        </w:rPr>
      </w:pPr>
      <w:r w:rsidRPr="007040BC">
        <w:rPr>
          <w:rFonts w:ascii="Arial" w:hAnsi="Arial" w:cs="Arial"/>
          <w:b/>
          <w:bCs/>
          <w:i/>
          <w:sz w:val="18"/>
          <w:szCs w:val="18"/>
        </w:rPr>
        <w:t>e) zmiany w klasyfikacji instrumentów finansowych w wyniku zmiany celu lub wykorzystania tych aktywów</w:t>
      </w:r>
    </w:p>
    <w:p w:rsidR="005D3822" w:rsidRDefault="005D3822" w:rsidP="005D3822">
      <w:pPr>
        <w:jc w:val="both"/>
        <w:rPr>
          <w:rFonts w:ascii="Arial" w:hAnsi="Arial" w:cs="Arial"/>
          <w:sz w:val="18"/>
          <w:szCs w:val="18"/>
        </w:rPr>
      </w:pPr>
      <w:r w:rsidRPr="007040BC">
        <w:rPr>
          <w:rFonts w:ascii="Arial" w:hAnsi="Arial" w:cs="Arial"/>
          <w:sz w:val="18"/>
          <w:szCs w:val="18"/>
        </w:rPr>
        <w:t>Nie wystąpiły.</w:t>
      </w:r>
    </w:p>
    <w:p w:rsidR="005D3822" w:rsidRDefault="005D3822" w:rsidP="005D3822">
      <w:pPr>
        <w:jc w:val="both"/>
        <w:rPr>
          <w:rFonts w:ascii="Arial" w:hAnsi="Arial" w:cs="Arial"/>
          <w:b/>
          <w:bCs/>
          <w:sz w:val="18"/>
          <w:szCs w:val="18"/>
        </w:rPr>
      </w:pPr>
    </w:p>
    <w:p w:rsidR="005D3822" w:rsidRPr="00F31D8E" w:rsidRDefault="005D3822" w:rsidP="005D3822">
      <w:pPr>
        <w:tabs>
          <w:tab w:val="left" w:pos="540"/>
        </w:tabs>
        <w:spacing w:line="260" w:lineRule="exact"/>
        <w:jc w:val="both"/>
        <w:rPr>
          <w:rFonts w:ascii="Arial" w:hAnsi="Arial" w:cs="Arial"/>
          <w:b/>
          <w:bCs/>
          <w:sz w:val="18"/>
          <w:szCs w:val="18"/>
        </w:rPr>
      </w:pPr>
      <w:r w:rsidRPr="00F31D8E">
        <w:rPr>
          <w:rFonts w:ascii="Arial" w:hAnsi="Arial" w:cs="Arial"/>
          <w:b/>
          <w:bCs/>
          <w:sz w:val="18"/>
          <w:szCs w:val="18"/>
        </w:rPr>
        <w:t xml:space="preserve">V. Rodzaj i kwoty zmian wartości szacunkowych. </w:t>
      </w:r>
    </w:p>
    <w:p w:rsidR="005D3822" w:rsidRPr="00F31D8E" w:rsidRDefault="005D3822" w:rsidP="005D3822">
      <w:pPr>
        <w:tabs>
          <w:tab w:val="left" w:pos="540"/>
        </w:tabs>
        <w:spacing w:line="260" w:lineRule="exact"/>
        <w:jc w:val="both"/>
        <w:rPr>
          <w:rFonts w:ascii="Arial" w:hAnsi="Arial" w:cs="Arial"/>
          <w:sz w:val="18"/>
          <w:szCs w:val="18"/>
        </w:rPr>
      </w:pPr>
    </w:p>
    <w:p w:rsidR="005D3822" w:rsidRPr="00F31D8E" w:rsidRDefault="005D3822" w:rsidP="005D3822">
      <w:pPr>
        <w:tabs>
          <w:tab w:val="left" w:pos="540"/>
        </w:tabs>
        <w:spacing w:line="260" w:lineRule="exact"/>
        <w:jc w:val="both"/>
        <w:rPr>
          <w:rFonts w:ascii="Arial" w:hAnsi="Arial" w:cs="Arial"/>
          <w:b/>
          <w:bCs/>
          <w:i/>
          <w:sz w:val="18"/>
          <w:szCs w:val="18"/>
        </w:rPr>
      </w:pPr>
      <w:r w:rsidRPr="00F31D8E">
        <w:rPr>
          <w:rFonts w:ascii="Arial" w:hAnsi="Arial" w:cs="Arial"/>
          <w:b/>
          <w:bCs/>
          <w:i/>
          <w:sz w:val="18"/>
          <w:szCs w:val="18"/>
        </w:rPr>
        <w:t>a)  Odroczony podatek dochodowy</w:t>
      </w:r>
    </w:p>
    <w:p w:rsidR="005D3822" w:rsidRPr="000D7D64" w:rsidRDefault="005D3822" w:rsidP="005D3822">
      <w:pPr>
        <w:tabs>
          <w:tab w:val="left" w:pos="540"/>
        </w:tabs>
        <w:spacing w:line="260" w:lineRule="exact"/>
        <w:jc w:val="both"/>
        <w:rPr>
          <w:rFonts w:ascii="Arial" w:hAnsi="Arial" w:cs="Arial"/>
          <w:sz w:val="18"/>
          <w:szCs w:val="18"/>
        </w:rPr>
      </w:pPr>
      <w:r w:rsidRPr="00690DC0">
        <w:rPr>
          <w:rFonts w:ascii="Arial" w:hAnsi="Arial" w:cs="Arial"/>
          <w:sz w:val="18"/>
          <w:szCs w:val="18"/>
        </w:rPr>
        <w:t xml:space="preserve">W wyniku powstania różnic przejściowych pomiędzy wartością bilansową i podatkową pozycji bilansu, Spółka </w:t>
      </w:r>
      <w:r w:rsidRPr="000D7D64">
        <w:rPr>
          <w:rFonts w:ascii="Arial" w:hAnsi="Arial" w:cs="Arial"/>
          <w:sz w:val="18"/>
          <w:szCs w:val="18"/>
        </w:rPr>
        <w:t>dokonała aktualizacji wartości aktywa i rezerwy z tytułu  odroczonego podatku dochodowego.</w:t>
      </w:r>
    </w:p>
    <w:p w:rsidR="005D3822" w:rsidRPr="000D7D64" w:rsidRDefault="005D3822" w:rsidP="005D3822">
      <w:pPr>
        <w:shd w:val="clear" w:color="auto" w:fill="FFFFFF" w:themeFill="background1"/>
        <w:rPr>
          <w:rFonts w:ascii="Arial" w:hAnsi="Arial" w:cs="Arial"/>
          <w:sz w:val="18"/>
          <w:szCs w:val="18"/>
        </w:rPr>
      </w:pPr>
    </w:p>
    <w:p w:rsidR="005D3822" w:rsidRPr="000D7D64" w:rsidRDefault="005D3822" w:rsidP="005D3822">
      <w:pPr>
        <w:shd w:val="clear" w:color="auto" w:fill="FFFFFF" w:themeFill="background1"/>
        <w:jc w:val="both"/>
        <w:rPr>
          <w:rFonts w:ascii="Arial" w:hAnsi="Arial" w:cs="Arial"/>
          <w:sz w:val="18"/>
          <w:szCs w:val="18"/>
        </w:rPr>
      </w:pPr>
      <w:r w:rsidRPr="000D7D64">
        <w:rPr>
          <w:rFonts w:ascii="Arial" w:hAnsi="Arial" w:cs="Arial"/>
          <w:sz w:val="18"/>
          <w:szCs w:val="18"/>
        </w:rPr>
        <w:t>W bieżącym okresie nastąpił wzrost aktywa z tytułu podatku odroczonego w kwocie 1</w:t>
      </w:r>
      <w:r w:rsidR="00D80D32">
        <w:rPr>
          <w:rFonts w:ascii="Arial" w:hAnsi="Arial" w:cs="Arial"/>
          <w:sz w:val="18"/>
          <w:szCs w:val="18"/>
        </w:rPr>
        <w:t xml:space="preserve">58 </w:t>
      </w:r>
      <w:r w:rsidRPr="000D7D64">
        <w:rPr>
          <w:rFonts w:ascii="Arial" w:hAnsi="Arial" w:cs="Arial"/>
          <w:sz w:val="18"/>
          <w:szCs w:val="18"/>
        </w:rPr>
        <w:t xml:space="preserve">tys. zł rozliczonego </w:t>
      </w:r>
      <w:r w:rsidRPr="000D7D64">
        <w:rPr>
          <w:rFonts w:ascii="Arial" w:hAnsi="Arial" w:cs="Arial"/>
          <w:sz w:val="18"/>
          <w:szCs w:val="18"/>
        </w:rPr>
        <w:br/>
        <w:t>w wynik.</w:t>
      </w:r>
    </w:p>
    <w:p w:rsidR="005D3822" w:rsidRPr="000D7D64" w:rsidRDefault="005D3822" w:rsidP="005D3822">
      <w:pPr>
        <w:shd w:val="clear" w:color="auto" w:fill="FFFFFF" w:themeFill="background1"/>
        <w:tabs>
          <w:tab w:val="left" w:pos="540"/>
        </w:tabs>
        <w:spacing w:line="260" w:lineRule="exact"/>
        <w:jc w:val="both"/>
        <w:rPr>
          <w:rFonts w:ascii="Arial" w:hAnsi="Arial" w:cs="Arial"/>
          <w:sz w:val="18"/>
          <w:szCs w:val="18"/>
        </w:rPr>
      </w:pPr>
      <w:r w:rsidRPr="000D7D64">
        <w:rPr>
          <w:rFonts w:ascii="Arial" w:hAnsi="Arial" w:cs="Arial"/>
          <w:sz w:val="18"/>
          <w:szCs w:val="18"/>
        </w:rPr>
        <w:t xml:space="preserve">W rezerwie na podatek odroczony w bieżącym okresie nastąpił wzrost rezerwy w wysokości </w:t>
      </w:r>
      <w:r w:rsidR="00D80D32">
        <w:rPr>
          <w:rFonts w:ascii="Arial" w:hAnsi="Arial" w:cs="Arial"/>
          <w:sz w:val="18"/>
          <w:szCs w:val="18"/>
        </w:rPr>
        <w:t>2</w:t>
      </w:r>
      <w:r w:rsidRPr="000D7D64">
        <w:rPr>
          <w:rFonts w:ascii="Arial" w:hAnsi="Arial" w:cs="Arial"/>
          <w:sz w:val="18"/>
          <w:szCs w:val="18"/>
        </w:rPr>
        <w:t>47 tys. zł, która wpłynęła na zmniejszenie zysku netto.</w:t>
      </w:r>
    </w:p>
    <w:p w:rsidR="005D3822" w:rsidRPr="000D7D64" w:rsidRDefault="005D3822" w:rsidP="005D3822">
      <w:pPr>
        <w:tabs>
          <w:tab w:val="left" w:pos="540"/>
        </w:tabs>
        <w:spacing w:line="260" w:lineRule="exact"/>
        <w:jc w:val="both"/>
        <w:rPr>
          <w:rFonts w:ascii="Arial" w:hAnsi="Arial" w:cs="Arial"/>
          <w:sz w:val="18"/>
          <w:szCs w:val="18"/>
        </w:rPr>
      </w:pPr>
    </w:p>
    <w:p w:rsidR="005D3822" w:rsidRPr="000D7D64" w:rsidRDefault="005D3822" w:rsidP="005D3822">
      <w:pPr>
        <w:tabs>
          <w:tab w:val="left" w:pos="540"/>
        </w:tabs>
        <w:spacing w:line="260" w:lineRule="exact"/>
        <w:jc w:val="both"/>
        <w:rPr>
          <w:rFonts w:ascii="Arial" w:hAnsi="Arial" w:cs="Arial"/>
          <w:sz w:val="18"/>
          <w:szCs w:val="18"/>
        </w:rPr>
      </w:pPr>
      <w:r w:rsidRPr="000D7D64">
        <w:rPr>
          <w:rFonts w:ascii="Arial" w:hAnsi="Arial" w:cs="Arial"/>
          <w:sz w:val="18"/>
          <w:szCs w:val="18"/>
        </w:rPr>
        <w:t>Na koniec 20</w:t>
      </w:r>
      <w:r w:rsidR="00D80D32">
        <w:rPr>
          <w:rFonts w:ascii="Arial" w:hAnsi="Arial" w:cs="Arial"/>
          <w:sz w:val="18"/>
          <w:szCs w:val="18"/>
        </w:rPr>
        <w:t>20</w:t>
      </w:r>
      <w:r w:rsidRPr="000D7D64">
        <w:rPr>
          <w:rFonts w:ascii="Arial" w:hAnsi="Arial" w:cs="Arial"/>
          <w:sz w:val="18"/>
          <w:szCs w:val="18"/>
        </w:rPr>
        <w:t xml:space="preserve"> roku nastąpił wzrost aktywa z tytułu podatku odroczonego w kwocie </w:t>
      </w:r>
      <w:r w:rsidR="000A05FB">
        <w:rPr>
          <w:rFonts w:ascii="Arial" w:hAnsi="Arial" w:cs="Arial"/>
          <w:sz w:val="18"/>
          <w:szCs w:val="18"/>
        </w:rPr>
        <w:t xml:space="preserve">2 </w:t>
      </w:r>
      <w:r w:rsidR="0057787C">
        <w:rPr>
          <w:rFonts w:ascii="Arial" w:hAnsi="Arial" w:cs="Arial"/>
          <w:sz w:val="18"/>
          <w:szCs w:val="18"/>
        </w:rPr>
        <w:t>330</w:t>
      </w:r>
      <w:r w:rsidRPr="000D7D64">
        <w:rPr>
          <w:rFonts w:ascii="Arial" w:hAnsi="Arial" w:cs="Arial"/>
          <w:sz w:val="18"/>
          <w:szCs w:val="18"/>
        </w:rPr>
        <w:t xml:space="preserve"> tys. zł, który zosta</w:t>
      </w:r>
      <w:r w:rsidR="0057787C">
        <w:rPr>
          <w:rFonts w:ascii="Arial" w:hAnsi="Arial" w:cs="Arial"/>
          <w:sz w:val="18"/>
          <w:szCs w:val="18"/>
        </w:rPr>
        <w:t>ł odniesiony na wynik finansowy oraz 48 tys. zł w inne całkowite dochody.</w:t>
      </w:r>
    </w:p>
    <w:p w:rsidR="005D3822" w:rsidRPr="000D7D64" w:rsidRDefault="005D3822" w:rsidP="005D3822">
      <w:pPr>
        <w:tabs>
          <w:tab w:val="left" w:pos="540"/>
        </w:tabs>
        <w:spacing w:line="260" w:lineRule="exact"/>
        <w:jc w:val="both"/>
        <w:rPr>
          <w:rFonts w:ascii="Arial" w:hAnsi="Arial" w:cs="Arial"/>
          <w:sz w:val="18"/>
          <w:szCs w:val="18"/>
        </w:rPr>
      </w:pPr>
      <w:r w:rsidRPr="000D7D64">
        <w:rPr>
          <w:rFonts w:ascii="Arial" w:hAnsi="Arial" w:cs="Arial"/>
          <w:sz w:val="18"/>
          <w:szCs w:val="18"/>
        </w:rPr>
        <w:t>W rezerwie na podatek odroczony w trakcie 12 m-cy 20</w:t>
      </w:r>
      <w:r w:rsidR="000A05FB">
        <w:rPr>
          <w:rFonts w:ascii="Arial" w:hAnsi="Arial" w:cs="Arial"/>
          <w:sz w:val="18"/>
          <w:szCs w:val="18"/>
        </w:rPr>
        <w:t>20</w:t>
      </w:r>
      <w:r w:rsidRPr="000D7D64">
        <w:rPr>
          <w:rFonts w:ascii="Arial" w:hAnsi="Arial" w:cs="Arial"/>
          <w:sz w:val="18"/>
          <w:szCs w:val="18"/>
        </w:rPr>
        <w:t xml:space="preserve"> r. nastąpił wzrost rezerwy w wysokości </w:t>
      </w:r>
      <w:r w:rsidR="000A05FB">
        <w:rPr>
          <w:rFonts w:ascii="Arial" w:hAnsi="Arial" w:cs="Arial"/>
          <w:sz w:val="18"/>
          <w:szCs w:val="18"/>
        </w:rPr>
        <w:t>1</w:t>
      </w:r>
      <w:r w:rsidR="0057787C">
        <w:rPr>
          <w:rFonts w:ascii="Arial" w:hAnsi="Arial" w:cs="Arial"/>
          <w:sz w:val="18"/>
          <w:szCs w:val="18"/>
        </w:rPr>
        <w:t>64</w:t>
      </w:r>
      <w:r w:rsidRPr="000D7D64">
        <w:rPr>
          <w:rFonts w:ascii="Arial" w:hAnsi="Arial" w:cs="Arial"/>
          <w:sz w:val="18"/>
          <w:szCs w:val="18"/>
        </w:rPr>
        <w:t xml:space="preserve"> tys. zł,</w:t>
      </w:r>
      <w:r w:rsidRPr="000D7D64">
        <w:rPr>
          <w:rFonts w:ascii="Arial" w:hAnsi="Arial" w:cs="Arial"/>
          <w:sz w:val="18"/>
          <w:szCs w:val="18"/>
        </w:rPr>
        <w:br/>
        <w:t>która został</w:t>
      </w:r>
      <w:r w:rsidR="0057787C">
        <w:rPr>
          <w:rFonts w:ascii="Arial" w:hAnsi="Arial" w:cs="Arial"/>
          <w:sz w:val="18"/>
          <w:szCs w:val="18"/>
        </w:rPr>
        <w:t>a odniesiona na wynik finansowy oraz 6 tys. zł odniesione na inne całkowite dochody.</w:t>
      </w:r>
    </w:p>
    <w:p w:rsidR="005D3822" w:rsidRPr="00F31D8E" w:rsidRDefault="005D3822" w:rsidP="005D3822">
      <w:pPr>
        <w:tabs>
          <w:tab w:val="left" w:pos="540"/>
        </w:tabs>
        <w:spacing w:line="260" w:lineRule="exact"/>
        <w:jc w:val="both"/>
        <w:rPr>
          <w:rFonts w:ascii="Arial" w:hAnsi="Arial" w:cs="Arial"/>
          <w:sz w:val="18"/>
          <w:szCs w:val="18"/>
        </w:rPr>
      </w:pPr>
    </w:p>
    <w:p w:rsidR="005D3822" w:rsidRPr="00AA0859" w:rsidRDefault="005D3822" w:rsidP="005D3822">
      <w:pPr>
        <w:tabs>
          <w:tab w:val="left" w:pos="540"/>
        </w:tabs>
        <w:spacing w:line="260" w:lineRule="exact"/>
        <w:jc w:val="both"/>
        <w:rPr>
          <w:rFonts w:ascii="Arial" w:hAnsi="Arial" w:cs="Arial"/>
          <w:b/>
          <w:bCs/>
          <w:i/>
          <w:sz w:val="18"/>
          <w:szCs w:val="18"/>
        </w:rPr>
      </w:pPr>
      <w:r w:rsidRPr="00AA0859">
        <w:rPr>
          <w:rFonts w:ascii="Arial" w:hAnsi="Arial" w:cs="Arial"/>
          <w:b/>
          <w:bCs/>
          <w:i/>
          <w:sz w:val="18"/>
          <w:szCs w:val="18"/>
        </w:rPr>
        <w:t>b) Odpisy aktualizujące wartość aktywów.</w:t>
      </w:r>
    </w:p>
    <w:p w:rsidR="005D3822" w:rsidRPr="0050133E" w:rsidRDefault="005D3822" w:rsidP="005D3822">
      <w:pPr>
        <w:tabs>
          <w:tab w:val="left" w:pos="540"/>
        </w:tabs>
        <w:spacing w:line="260" w:lineRule="exact"/>
        <w:jc w:val="both"/>
        <w:rPr>
          <w:rFonts w:ascii="Arial" w:hAnsi="Arial" w:cs="Arial"/>
          <w:sz w:val="18"/>
          <w:szCs w:val="18"/>
        </w:rPr>
      </w:pPr>
    </w:p>
    <w:p w:rsidR="005D3822" w:rsidRPr="00747AC3" w:rsidRDefault="005D3822" w:rsidP="005D3822">
      <w:pPr>
        <w:tabs>
          <w:tab w:val="left" w:pos="540"/>
        </w:tabs>
        <w:spacing w:line="260" w:lineRule="exact"/>
        <w:jc w:val="both"/>
        <w:rPr>
          <w:rFonts w:ascii="Arial" w:hAnsi="Arial" w:cs="Arial"/>
          <w:sz w:val="18"/>
          <w:szCs w:val="18"/>
        </w:rPr>
      </w:pPr>
      <w:r w:rsidRPr="00747AC3">
        <w:rPr>
          <w:rFonts w:ascii="Arial" w:hAnsi="Arial" w:cs="Arial"/>
          <w:sz w:val="18"/>
          <w:szCs w:val="18"/>
        </w:rPr>
        <w:t xml:space="preserve">- </w:t>
      </w:r>
      <w:r w:rsidRPr="00747AC3">
        <w:rPr>
          <w:rFonts w:ascii="Arial" w:hAnsi="Arial" w:cs="Arial"/>
          <w:sz w:val="18"/>
          <w:szCs w:val="18"/>
        </w:rPr>
        <w:tab/>
        <w:t>nie dokonano odpisu aktualizującego wartość aktywów trwałych,</w:t>
      </w:r>
    </w:p>
    <w:p w:rsidR="005D3822" w:rsidRPr="00571736" w:rsidRDefault="005D3822" w:rsidP="005D3822">
      <w:pPr>
        <w:tabs>
          <w:tab w:val="left" w:pos="540"/>
        </w:tabs>
        <w:spacing w:line="260" w:lineRule="exact"/>
        <w:jc w:val="both"/>
        <w:rPr>
          <w:rFonts w:ascii="Arial" w:hAnsi="Arial" w:cs="Arial"/>
          <w:sz w:val="18"/>
          <w:szCs w:val="18"/>
        </w:rPr>
      </w:pPr>
      <w:r w:rsidRPr="00571736">
        <w:rPr>
          <w:rFonts w:ascii="Arial" w:hAnsi="Arial" w:cs="Arial"/>
          <w:sz w:val="18"/>
          <w:szCs w:val="18"/>
        </w:rPr>
        <w:t xml:space="preserve">- </w:t>
      </w:r>
      <w:r w:rsidRPr="00571736">
        <w:rPr>
          <w:rFonts w:ascii="Arial" w:hAnsi="Arial" w:cs="Arial"/>
          <w:sz w:val="18"/>
          <w:szCs w:val="18"/>
        </w:rPr>
        <w:tab/>
        <w:t>nie dokonano wyceny zapasów do poziomu cen sprzedaży netto,</w:t>
      </w:r>
    </w:p>
    <w:p w:rsidR="005D3822" w:rsidRPr="00AA0859" w:rsidRDefault="005D3822" w:rsidP="005D3822">
      <w:pPr>
        <w:tabs>
          <w:tab w:val="left" w:pos="540"/>
        </w:tabs>
        <w:spacing w:line="260" w:lineRule="exact"/>
        <w:jc w:val="both"/>
        <w:rPr>
          <w:rFonts w:ascii="Arial" w:hAnsi="Arial" w:cs="Arial"/>
          <w:sz w:val="18"/>
          <w:szCs w:val="18"/>
        </w:rPr>
      </w:pPr>
      <w:r w:rsidRPr="00571736">
        <w:rPr>
          <w:rFonts w:ascii="Arial" w:hAnsi="Arial" w:cs="Arial"/>
          <w:sz w:val="18"/>
          <w:szCs w:val="18"/>
        </w:rPr>
        <w:t xml:space="preserve">- </w:t>
      </w:r>
      <w:r w:rsidRPr="00571736">
        <w:rPr>
          <w:rFonts w:ascii="Arial" w:hAnsi="Arial" w:cs="Arial"/>
          <w:sz w:val="18"/>
          <w:szCs w:val="18"/>
        </w:rPr>
        <w:tab/>
        <w:t xml:space="preserve">na </w:t>
      </w:r>
      <w:r w:rsidRPr="000A05FB">
        <w:rPr>
          <w:rFonts w:ascii="Arial" w:hAnsi="Arial" w:cs="Arial"/>
          <w:sz w:val="18"/>
          <w:szCs w:val="18"/>
        </w:rPr>
        <w:t>30.09.202</w:t>
      </w:r>
      <w:r w:rsidR="000A05FB" w:rsidRPr="000A05FB">
        <w:rPr>
          <w:rFonts w:ascii="Arial" w:hAnsi="Arial" w:cs="Arial"/>
          <w:sz w:val="18"/>
          <w:szCs w:val="18"/>
        </w:rPr>
        <w:t>1</w:t>
      </w:r>
      <w:r w:rsidRPr="000A05FB">
        <w:rPr>
          <w:rFonts w:ascii="Arial" w:hAnsi="Arial" w:cs="Arial"/>
          <w:sz w:val="18"/>
          <w:szCs w:val="18"/>
        </w:rPr>
        <w:t xml:space="preserve"> r. dokonano odpisu aktualizującego należności (MSSF9) w łącznej wartości 3</w:t>
      </w:r>
      <w:r w:rsidR="000A05FB" w:rsidRPr="000A05FB">
        <w:rPr>
          <w:rFonts w:ascii="Arial" w:hAnsi="Arial" w:cs="Arial"/>
          <w:sz w:val="18"/>
          <w:szCs w:val="18"/>
        </w:rPr>
        <w:t>62</w:t>
      </w:r>
      <w:r w:rsidRPr="000A05FB">
        <w:rPr>
          <w:rFonts w:ascii="Arial" w:hAnsi="Arial" w:cs="Arial"/>
          <w:sz w:val="18"/>
          <w:szCs w:val="18"/>
        </w:rPr>
        <w:t xml:space="preserve"> tys. zł. </w:t>
      </w:r>
      <w:r w:rsidRPr="000A05FB">
        <w:rPr>
          <w:rFonts w:ascii="Arial" w:hAnsi="Arial" w:cs="Arial"/>
          <w:sz w:val="18"/>
          <w:szCs w:val="18"/>
        </w:rPr>
        <w:br/>
        <w:t>W stosunku do kalkulacji na 31.12.20</w:t>
      </w:r>
      <w:r w:rsidR="000A05FB" w:rsidRPr="000A05FB">
        <w:rPr>
          <w:rFonts w:ascii="Arial" w:hAnsi="Arial" w:cs="Arial"/>
          <w:sz w:val="18"/>
          <w:szCs w:val="18"/>
        </w:rPr>
        <w:t>20</w:t>
      </w:r>
      <w:r w:rsidRPr="000A05FB">
        <w:rPr>
          <w:rFonts w:ascii="Arial" w:hAnsi="Arial" w:cs="Arial"/>
          <w:sz w:val="18"/>
          <w:szCs w:val="18"/>
        </w:rPr>
        <w:t xml:space="preserve"> r. wynoszącej 3</w:t>
      </w:r>
      <w:r w:rsidR="000A05FB" w:rsidRPr="000A05FB">
        <w:rPr>
          <w:rFonts w:ascii="Arial" w:hAnsi="Arial" w:cs="Arial"/>
          <w:sz w:val="18"/>
          <w:szCs w:val="18"/>
        </w:rPr>
        <w:t>00</w:t>
      </w:r>
      <w:r w:rsidRPr="000A05FB">
        <w:rPr>
          <w:rFonts w:ascii="Arial" w:hAnsi="Arial" w:cs="Arial"/>
          <w:sz w:val="18"/>
          <w:szCs w:val="18"/>
        </w:rPr>
        <w:t xml:space="preserve"> tys. zł wartość odpisu </w:t>
      </w:r>
      <w:r w:rsidR="000A05FB" w:rsidRPr="000A05FB">
        <w:rPr>
          <w:rFonts w:ascii="Arial" w:hAnsi="Arial" w:cs="Arial"/>
          <w:sz w:val="18"/>
          <w:szCs w:val="18"/>
        </w:rPr>
        <w:t>wzrosła</w:t>
      </w:r>
      <w:r w:rsidRPr="000A05FB">
        <w:rPr>
          <w:rFonts w:ascii="Arial" w:hAnsi="Arial" w:cs="Arial"/>
          <w:sz w:val="18"/>
          <w:szCs w:val="18"/>
        </w:rPr>
        <w:t xml:space="preserve"> o </w:t>
      </w:r>
      <w:r w:rsidR="000A05FB" w:rsidRPr="000A05FB">
        <w:rPr>
          <w:rFonts w:ascii="Arial" w:hAnsi="Arial" w:cs="Arial"/>
          <w:sz w:val="18"/>
          <w:szCs w:val="18"/>
        </w:rPr>
        <w:t>6</w:t>
      </w:r>
      <w:r w:rsidRPr="000A05FB">
        <w:rPr>
          <w:rFonts w:ascii="Arial" w:hAnsi="Arial" w:cs="Arial"/>
          <w:sz w:val="18"/>
          <w:szCs w:val="18"/>
        </w:rPr>
        <w:t>2 tys. zł.</w:t>
      </w:r>
    </w:p>
    <w:p w:rsidR="005D3822" w:rsidRPr="00AA0859" w:rsidRDefault="005D3822" w:rsidP="005D3822">
      <w:pPr>
        <w:tabs>
          <w:tab w:val="left" w:pos="540"/>
        </w:tabs>
        <w:spacing w:line="260" w:lineRule="exact"/>
        <w:jc w:val="both"/>
        <w:rPr>
          <w:rFonts w:ascii="Arial" w:hAnsi="Arial" w:cs="Arial"/>
          <w:sz w:val="18"/>
          <w:szCs w:val="18"/>
        </w:rPr>
      </w:pPr>
    </w:p>
    <w:p w:rsidR="005D3822" w:rsidRPr="00F31D8E" w:rsidRDefault="005D3822" w:rsidP="005D3822">
      <w:pPr>
        <w:tabs>
          <w:tab w:val="left" w:pos="540"/>
        </w:tabs>
        <w:spacing w:line="260" w:lineRule="exact"/>
        <w:jc w:val="both"/>
        <w:rPr>
          <w:rFonts w:ascii="Arial" w:hAnsi="Arial" w:cs="Arial"/>
          <w:b/>
          <w:bCs/>
          <w:sz w:val="18"/>
          <w:szCs w:val="18"/>
        </w:rPr>
      </w:pPr>
      <w:r w:rsidRPr="00F31D8E">
        <w:rPr>
          <w:rFonts w:ascii="Arial" w:hAnsi="Arial" w:cs="Arial"/>
          <w:b/>
          <w:bCs/>
          <w:sz w:val="18"/>
          <w:szCs w:val="18"/>
        </w:rPr>
        <w:t>V</w:t>
      </w:r>
      <w:r>
        <w:rPr>
          <w:rFonts w:ascii="Arial" w:hAnsi="Arial" w:cs="Arial"/>
          <w:b/>
          <w:bCs/>
          <w:sz w:val="18"/>
          <w:szCs w:val="18"/>
        </w:rPr>
        <w:t>I</w:t>
      </w:r>
      <w:r w:rsidRPr="00F31D8E">
        <w:rPr>
          <w:rFonts w:ascii="Arial" w:hAnsi="Arial" w:cs="Arial"/>
          <w:b/>
          <w:bCs/>
          <w:sz w:val="18"/>
          <w:szCs w:val="18"/>
        </w:rPr>
        <w:t>. Informacje dotyczące emisji, wykupu i spłaty dłużnych i kapitałowych papierów wartościowych.</w:t>
      </w:r>
    </w:p>
    <w:p w:rsidR="005D3822" w:rsidRPr="00F31D8E" w:rsidRDefault="005D3822" w:rsidP="005D3822">
      <w:pPr>
        <w:tabs>
          <w:tab w:val="left" w:pos="540"/>
        </w:tabs>
        <w:spacing w:line="260" w:lineRule="exact"/>
        <w:jc w:val="both"/>
        <w:rPr>
          <w:rFonts w:ascii="Arial" w:hAnsi="Arial" w:cs="Arial"/>
          <w:bCs/>
          <w:sz w:val="18"/>
          <w:szCs w:val="18"/>
        </w:rPr>
      </w:pPr>
    </w:p>
    <w:p w:rsidR="005D3822" w:rsidRPr="00F31D8E" w:rsidRDefault="005D3822" w:rsidP="005D3822">
      <w:pPr>
        <w:tabs>
          <w:tab w:val="left" w:pos="540"/>
        </w:tabs>
        <w:spacing w:line="260" w:lineRule="exact"/>
        <w:jc w:val="both"/>
        <w:rPr>
          <w:rFonts w:ascii="Arial" w:hAnsi="Arial" w:cs="Arial"/>
          <w:bCs/>
          <w:sz w:val="18"/>
          <w:szCs w:val="18"/>
        </w:rPr>
      </w:pPr>
      <w:r w:rsidRPr="00F31D8E">
        <w:rPr>
          <w:rFonts w:ascii="Arial" w:hAnsi="Arial" w:cs="Arial"/>
          <w:bCs/>
          <w:sz w:val="18"/>
          <w:szCs w:val="18"/>
        </w:rPr>
        <w:t xml:space="preserve">W okresie 9 miesięcy </w:t>
      </w:r>
      <w:r>
        <w:rPr>
          <w:rFonts w:ascii="Arial" w:hAnsi="Arial" w:cs="Arial"/>
          <w:bCs/>
          <w:sz w:val="18"/>
          <w:szCs w:val="18"/>
        </w:rPr>
        <w:t>202</w:t>
      </w:r>
      <w:r w:rsidR="000A05FB">
        <w:rPr>
          <w:rFonts w:ascii="Arial" w:hAnsi="Arial" w:cs="Arial"/>
          <w:bCs/>
          <w:sz w:val="18"/>
          <w:szCs w:val="18"/>
        </w:rPr>
        <w:t>1</w:t>
      </w:r>
      <w:r w:rsidRPr="00F31D8E">
        <w:rPr>
          <w:rFonts w:ascii="Arial" w:hAnsi="Arial" w:cs="Arial"/>
          <w:bCs/>
          <w:sz w:val="18"/>
          <w:szCs w:val="18"/>
        </w:rPr>
        <w:t xml:space="preserve"> r. Spółka nie przeprowadziła emisji, wykupu i spłaty papierów wartościowych.</w:t>
      </w:r>
    </w:p>
    <w:p w:rsidR="005D3822" w:rsidRPr="00F31D8E" w:rsidRDefault="005D3822" w:rsidP="005D3822">
      <w:pPr>
        <w:tabs>
          <w:tab w:val="left" w:pos="540"/>
        </w:tabs>
        <w:spacing w:line="260" w:lineRule="exact"/>
        <w:jc w:val="both"/>
        <w:rPr>
          <w:rFonts w:ascii="Arial" w:hAnsi="Arial" w:cs="Arial"/>
          <w:bCs/>
          <w:sz w:val="18"/>
          <w:szCs w:val="18"/>
        </w:rPr>
      </w:pPr>
    </w:p>
    <w:p w:rsidR="005D3822" w:rsidRPr="00F31D8E" w:rsidRDefault="005D3822" w:rsidP="005D3822">
      <w:pPr>
        <w:tabs>
          <w:tab w:val="left" w:pos="540"/>
        </w:tabs>
        <w:spacing w:line="260" w:lineRule="exact"/>
        <w:jc w:val="both"/>
        <w:rPr>
          <w:rFonts w:ascii="Arial" w:hAnsi="Arial" w:cs="Arial"/>
          <w:b/>
          <w:bCs/>
          <w:sz w:val="18"/>
          <w:szCs w:val="18"/>
        </w:rPr>
      </w:pPr>
      <w:r w:rsidRPr="00F31D8E">
        <w:rPr>
          <w:rFonts w:ascii="Arial" w:hAnsi="Arial" w:cs="Arial"/>
          <w:b/>
          <w:bCs/>
          <w:sz w:val="18"/>
          <w:szCs w:val="18"/>
        </w:rPr>
        <w:t>VI</w:t>
      </w:r>
      <w:r>
        <w:rPr>
          <w:rFonts w:ascii="Arial" w:hAnsi="Arial" w:cs="Arial"/>
          <w:b/>
          <w:bCs/>
          <w:sz w:val="18"/>
          <w:szCs w:val="18"/>
        </w:rPr>
        <w:t>I</w:t>
      </w:r>
      <w:r w:rsidRPr="00F31D8E">
        <w:rPr>
          <w:rFonts w:ascii="Arial" w:hAnsi="Arial" w:cs="Arial"/>
          <w:b/>
          <w:bCs/>
          <w:sz w:val="18"/>
          <w:szCs w:val="18"/>
        </w:rPr>
        <w:t>. Informacje dotyczące wypłaconej (lub zadeklarowanej) dywidendy, łącznie i w przeliczeniu na jedną akcję, z podziałem na akcje zwykłe i uprzywilejowane.</w:t>
      </w:r>
    </w:p>
    <w:p w:rsidR="005D3822" w:rsidRPr="00747AC3" w:rsidRDefault="005D3822" w:rsidP="005D3822">
      <w:pPr>
        <w:tabs>
          <w:tab w:val="left" w:pos="540"/>
        </w:tabs>
        <w:spacing w:line="260" w:lineRule="exact"/>
        <w:jc w:val="both"/>
        <w:rPr>
          <w:rFonts w:ascii="Arial" w:hAnsi="Arial" w:cs="Arial"/>
          <w:b/>
          <w:bCs/>
          <w:sz w:val="18"/>
          <w:szCs w:val="18"/>
        </w:rPr>
      </w:pPr>
    </w:p>
    <w:p w:rsidR="005D3822" w:rsidRDefault="005D3822" w:rsidP="005D3822">
      <w:pPr>
        <w:tabs>
          <w:tab w:val="left" w:pos="540"/>
        </w:tabs>
        <w:spacing w:line="260" w:lineRule="exact"/>
        <w:jc w:val="both"/>
        <w:rPr>
          <w:rFonts w:ascii="Arial" w:hAnsi="Arial" w:cs="Arial"/>
          <w:color w:val="000000" w:themeColor="text1"/>
          <w:sz w:val="18"/>
          <w:szCs w:val="18"/>
        </w:rPr>
      </w:pPr>
      <w:r w:rsidRPr="00571736">
        <w:rPr>
          <w:rFonts w:ascii="Arial" w:hAnsi="Arial" w:cs="Arial"/>
          <w:color w:val="000000" w:themeColor="text1"/>
          <w:sz w:val="18"/>
          <w:szCs w:val="18"/>
        </w:rPr>
        <w:t>W prezentowanym okresie sprawozdawczym nie dokonano wypłaty dywidendy.</w:t>
      </w:r>
    </w:p>
    <w:p w:rsidR="00C310B8" w:rsidRPr="00571736" w:rsidRDefault="00C310B8" w:rsidP="005D3822">
      <w:pPr>
        <w:tabs>
          <w:tab w:val="left" w:pos="540"/>
        </w:tabs>
        <w:spacing w:line="260" w:lineRule="exact"/>
        <w:jc w:val="both"/>
        <w:rPr>
          <w:rFonts w:ascii="Arial" w:hAnsi="Arial" w:cs="Arial"/>
          <w:color w:val="000000" w:themeColor="text1"/>
          <w:sz w:val="18"/>
          <w:szCs w:val="18"/>
        </w:rPr>
      </w:pPr>
    </w:p>
    <w:p w:rsidR="005D3822" w:rsidRDefault="005D3822" w:rsidP="00C310B8">
      <w:pPr>
        <w:tabs>
          <w:tab w:val="left" w:pos="540"/>
        </w:tabs>
        <w:spacing w:line="260" w:lineRule="exact"/>
        <w:jc w:val="both"/>
        <w:rPr>
          <w:rFonts w:ascii="Arial" w:hAnsi="Arial" w:cs="Arial"/>
          <w:sz w:val="18"/>
          <w:szCs w:val="18"/>
        </w:rPr>
      </w:pPr>
      <w:r w:rsidRPr="00C310B8">
        <w:rPr>
          <w:rFonts w:ascii="Arial" w:hAnsi="Arial" w:cs="Arial"/>
          <w:sz w:val="18"/>
          <w:szCs w:val="18"/>
        </w:rPr>
        <w:t xml:space="preserve">Zgodnie z Uchwałą Nr </w:t>
      </w:r>
      <w:r w:rsidR="002D538C" w:rsidRPr="00C310B8">
        <w:rPr>
          <w:rFonts w:ascii="Arial" w:hAnsi="Arial" w:cs="Arial"/>
          <w:sz w:val="18"/>
          <w:szCs w:val="18"/>
        </w:rPr>
        <w:t>5</w:t>
      </w:r>
      <w:r w:rsidRPr="00C310B8">
        <w:rPr>
          <w:rFonts w:ascii="Arial" w:hAnsi="Arial" w:cs="Arial"/>
          <w:sz w:val="18"/>
          <w:szCs w:val="18"/>
        </w:rPr>
        <w:t>/202</w:t>
      </w:r>
      <w:r w:rsidR="002D538C" w:rsidRPr="00C310B8">
        <w:rPr>
          <w:rFonts w:ascii="Arial" w:hAnsi="Arial" w:cs="Arial"/>
          <w:sz w:val="18"/>
          <w:szCs w:val="18"/>
        </w:rPr>
        <w:t>1</w:t>
      </w:r>
      <w:r w:rsidRPr="00C310B8">
        <w:rPr>
          <w:rFonts w:ascii="Arial" w:hAnsi="Arial" w:cs="Arial"/>
          <w:sz w:val="18"/>
          <w:szCs w:val="18"/>
        </w:rPr>
        <w:t xml:space="preserve"> Zwyczajnego Walnego Zgromadzenia Akcjonariuszy z dnia </w:t>
      </w:r>
      <w:r w:rsidR="002D538C" w:rsidRPr="00C310B8">
        <w:rPr>
          <w:rFonts w:ascii="Arial" w:hAnsi="Arial" w:cs="Arial"/>
          <w:sz w:val="18"/>
          <w:szCs w:val="18"/>
        </w:rPr>
        <w:t>1</w:t>
      </w:r>
      <w:r w:rsidRPr="00C310B8">
        <w:rPr>
          <w:rFonts w:ascii="Arial" w:hAnsi="Arial" w:cs="Arial"/>
          <w:sz w:val="18"/>
          <w:szCs w:val="18"/>
        </w:rPr>
        <w:t>4 czerwca 202</w:t>
      </w:r>
      <w:r w:rsidR="002D538C" w:rsidRPr="00C310B8">
        <w:rPr>
          <w:rFonts w:ascii="Arial" w:hAnsi="Arial" w:cs="Arial"/>
          <w:sz w:val="18"/>
          <w:szCs w:val="18"/>
        </w:rPr>
        <w:t>1</w:t>
      </w:r>
      <w:r w:rsidRPr="00C310B8">
        <w:rPr>
          <w:rFonts w:ascii="Arial" w:hAnsi="Arial" w:cs="Arial"/>
          <w:sz w:val="18"/>
          <w:szCs w:val="18"/>
        </w:rPr>
        <w:t xml:space="preserve"> r. </w:t>
      </w:r>
      <w:r w:rsidR="00C310B8" w:rsidRPr="00C310B8">
        <w:rPr>
          <w:rFonts w:ascii="Arial" w:hAnsi="Arial" w:cs="Arial"/>
          <w:sz w:val="18"/>
          <w:szCs w:val="18"/>
        </w:rPr>
        <w:t>strata netto INTERFERIE S.A. za rok obrotowy 2020 w wysokości 9.671.941,92 zł (słownie: dziewięć milionów sześćset siedemdziesiąt jeden tysięcy dziewięćset czterdzieści jeden złotych i dziewięćdziesiąt dwa grosze) pokryta została z pozostałego kapitału zapasowego Spółki.</w:t>
      </w:r>
    </w:p>
    <w:p w:rsidR="00C310B8" w:rsidRDefault="00C310B8" w:rsidP="00C310B8">
      <w:pPr>
        <w:tabs>
          <w:tab w:val="left" w:pos="540"/>
        </w:tabs>
        <w:spacing w:line="260" w:lineRule="exact"/>
        <w:jc w:val="both"/>
        <w:rPr>
          <w:rFonts w:ascii="Arial" w:hAnsi="Arial" w:cs="Arial"/>
          <w:sz w:val="18"/>
          <w:szCs w:val="18"/>
        </w:rPr>
      </w:pPr>
    </w:p>
    <w:p w:rsidR="000D373B" w:rsidRDefault="000D373B">
      <w:pPr>
        <w:rPr>
          <w:rFonts w:ascii="Arial" w:hAnsi="Arial" w:cs="Arial"/>
          <w:b/>
          <w:bCs/>
          <w:sz w:val="18"/>
          <w:szCs w:val="18"/>
        </w:rPr>
      </w:pPr>
      <w:r>
        <w:rPr>
          <w:szCs w:val="18"/>
        </w:rPr>
        <w:br w:type="page"/>
      </w:r>
    </w:p>
    <w:p w:rsidR="005D3822" w:rsidRPr="00F31D8E" w:rsidRDefault="005D3822" w:rsidP="005D3822">
      <w:pPr>
        <w:pStyle w:val="Tekstpodstawowy3"/>
        <w:tabs>
          <w:tab w:val="left" w:pos="540"/>
        </w:tabs>
        <w:rPr>
          <w:szCs w:val="18"/>
        </w:rPr>
      </w:pPr>
      <w:r w:rsidRPr="00F31D8E">
        <w:rPr>
          <w:szCs w:val="18"/>
        </w:rPr>
        <w:lastRenderedPageBreak/>
        <w:t>VI</w:t>
      </w:r>
      <w:r>
        <w:rPr>
          <w:szCs w:val="18"/>
        </w:rPr>
        <w:t>I</w:t>
      </w:r>
      <w:r w:rsidRPr="00F31D8E">
        <w:rPr>
          <w:szCs w:val="18"/>
        </w:rPr>
        <w:t>I. Segmenty działalności.</w:t>
      </w:r>
    </w:p>
    <w:p w:rsidR="005D3822" w:rsidRPr="00F31D8E" w:rsidRDefault="005D3822" w:rsidP="005D3822">
      <w:pPr>
        <w:tabs>
          <w:tab w:val="left" w:pos="540"/>
        </w:tabs>
        <w:spacing w:line="260" w:lineRule="exact"/>
        <w:jc w:val="both"/>
        <w:rPr>
          <w:rFonts w:ascii="Arial" w:hAnsi="Arial" w:cs="Arial"/>
          <w:sz w:val="18"/>
          <w:szCs w:val="18"/>
        </w:rPr>
      </w:pPr>
    </w:p>
    <w:p w:rsidR="005D3822" w:rsidRPr="007040BC" w:rsidRDefault="005D3822" w:rsidP="005D3822">
      <w:pPr>
        <w:tabs>
          <w:tab w:val="left" w:pos="540"/>
        </w:tabs>
        <w:spacing w:line="260" w:lineRule="exact"/>
        <w:jc w:val="both"/>
        <w:rPr>
          <w:rFonts w:ascii="Arial" w:hAnsi="Arial" w:cs="Arial"/>
          <w:bCs/>
          <w:sz w:val="18"/>
          <w:szCs w:val="18"/>
        </w:rPr>
      </w:pPr>
      <w:r w:rsidRPr="007040BC">
        <w:rPr>
          <w:rFonts w:ascii="Arial" w:hAnsi="Arial" w:cs="Arial"/>
          <w:b/>
          <w:bCs/>
          <w:sz w:val="18"/>
          <w:szCs w:val="18"/>
        </w:rPr>
        <w:t>Identyfikacja segmentów operacyjnych.</w:t>
      </w:r>
      <w:r w:rsidRPr="007040BC">
        <w:rPr>
          <w:rFonts w:ascii="Arial" w:hAnsi="Arial" w:cs="Arial"/>
          <w:bCs/>
          <w:sz w:val="18"/>
          <w:szCs w:val="18"/>
        </w:rPr>
        <w:t xml:space="preserve"> Segmenty operacyjne są przedstawiane w sposób spójny </w:t>
      </w:r>
      <w:r w:rsidRPr="007040BC">
        <w:rPr>
          <w:rFonts w:ascii="Arial" w:hAnsi="Arial" w:cs="Arial"/>
          <w:bCs/>
          <w:sz w:val="18"/>
          <w:szCs w:val="18"/>
        </w:rPr>
        <w:br/>
        <w:t xml:space="preserve">ze sprawozdawczością wewnętrzną dostarczaną głównemu decydentowi operacyjnemu (GDO)-Zarządowi INTERFERIE S.A. Segmenty operacyjne tworzą poszczególne hotele oraz ośrodki wypoczynkowe, poszczególne hotele miejskie oraz pozostałe. </w:t>
      </w:r>
    </w:p>
    <w:p w:rsidR="005D3822" w:rsidRPr="007040BC" w:rsidRDefault="005D3822" w:rsidP="005D3822">
      <w:pPr>
        <w:tabs>
          <w:tab w:val="left" w:pos="540"/>
        </w:tabs>
        <w:spacing w:line="260" w:lineRule="exact"/>
        <w:jc w:val="both"/>
        <w:rPr>
          <w:rFonts w:ascii="Arial" w:hAnsi="Arial" w:cs="Arial"/>
          <w:bCs/>
          <w:sz w:val="18"/>
          <w:szCs w:val="18"/>
        </w:rPr>
      </w:pPr>
      <w:r w:rsidRPr="007040BC">
        <w:rPr>
          <w:rFonts w:ascii="Arial" w:hAnsi="Arial" w:cs="Arial"/>
          <w:bCs/>
          <w:sz w:val="18"/>
          <w:szCs w:val="18"/>
        </w:rPr>
        <w:t xml:space="preserve">Identyfikacja segmentów sprawozdawczych. Wyodrębnione segmenty operacyjne (hotele i ośrodki wypoczynkowe oraz hotele miejskie) są odpowiednio agregowane w segmenty sprawozdawcze, ponieważ spełniają kryteria agregacji opisane w MSSF 8. INTERFERIE S.A. wyodrębnia 1 segment sprawozdawczy w swej działalności („działalność hotelarska”) zgodnie z MSSF 8 „Segmenty operacyjne”. INTERFERIE S.A. </w:t>
      </w:r>
      <w:r w:rsidRPr="007040BC">
        <w:rPr>
          <w:rFonts w:ascii="Arial" w:hAnsi="Arial" w:cs="Arial"/>
          <w:bCs/>
          <w:sz w:val="18"/>
          <w:szCs w:val="18"/>
        </w:rPr>
        <w:br/>
        <w:t xml:space="preserve">w wykazanych segmentach prowadzi działalność gospodarczą osiągając określone przychody i ponosząc koszty. Wyniki działalności segmentów są regularnie przeglądane przez Zarząd. Dostępne są również informacje finansowe dotyczące wyodrębnionych segmentów. </w:t>
      </w:r>
    </w:p>
    <w:p w:rsidR="005D3822" w:rsidRPr="007040BC" w:rsidRDefault="005D3822" w:rsidP="005D3822">
      <w:pPr>
        <w:tabs>
          <w:tab w:val="left" w:pos="540"/>
        </w:tabs>
        <w:spacing w:line="260" w:lineRule="exact"/>
        <w:jc w:val="both"/>
        <w:rPr>
          <w:rFonts w:ascii="Arial" w:hAnsi="Arial" w:cs="Arial"/>
          <w:bCs/>
          <w:sz w:val="18"/>
          <w:szCs w:val="18"/>
        </w:rPr>
      </w:pPr>
      <w:r w:rsidRPr="007040BC">
        <w:rPr>
          <w:rFonts w:ascii="Arial" w:hAnsi="Arial" w:cs="Arial"/>
          <w:bCs/>
          <w:sz w:val="18"/>
          <w:szCs w:val="18"/>
        </w:rPr>
        <w:t>Niezagregowane segmenty  operacyjne są łączone i ujawniane w kategorii „wszystkie pozostałe segmenty”.</w:t>
      </w:r>
    </w:p>
    <w:p w:rsidR="005D3822" w:rsidRPr="007040BC" w:rsidRDefault="005D3822" w:rsidP="005D3822">
      <w:pPr>
        <w:tabs>
          <w:tab w:val="left" w:pos="540"/>
        </w:tabs>
        <w:spacing w:line="260" w:lineRule="exact"/>
        <w:jc w:val="both"/>
        <w:rPr>
          <w:rFonts w:ascii="Arial" w:hAnsi="Arial" w:cs="Arial"/>
          <w:bCs/>
          <w:sz w:val="18"/>
          <w:szCs w:val="18"/>
        </w:rPr>
      </w:pPr>
      <w:r w:rsidRPr="007040BC">
        <w:rPr>
          <w:rFonts w:ascii="Arial" w:hAnsi="Arial" w:cs="Arial"/>
          <w:b/>
          <w:bCs/>
          <w:sz w:val="18"/>
          <w:szCs w:val="18"/>
        </w:rPr>
        <w:t>Segment „działalność hotelarska”.</w:t>
      </w:r>
      <w:r w:rsidRPr="007040BC">
        <w:rPr>
          <w:rFonts w:ascii="Arial" w:hAnsi="Arial" w:cs="Arial"/>
          <w:bCs/>
          <w:sz w:val="18"/>
          <w:szCs w:val="18"/>
        </w:rPr>
        <w:t xml:space="preserve"> Segment „działalność hotelarska” obejmuje przede wszystkim usługi noclegowe i gastronomiczne w hotelach oraz ośrodkach wypoczynkowych  Spółki. Segmentem operacyjnym jest każdy indywidualny hotel oraz ośrodek wypoczynkowy, który jest oddzielnie analizowany i oceniany przez Zarząd. Ze względu na:</w:t>
      </w:r>
    </w:p>
    <w:p w:rsidR="005D3822" w:rsidRPr="007040BC" w:rsidRDefault="005D3822" w:rsidP="005D3822">
      <w:pPr>
        <w:pStyle w:val="Akapitzlist"/>
        <w:numPr>
          <w:ilvl w:val="0"/>
          <w:numId w:val="35"/>
        </w:numPr>
        <w:tabs>
          <w:tab w:val="left" w:pos="540"/>
        </w:tabs>
        <w:spacing w:line="260" w:lineRule="exact"/>
        <w:jc w:val="both"/>
        <w:rPr>
          <w:rFonts w:ascii="Arial" w:hAnsi="Arial" w:cs="Arial"/>
          <w:bCs/>
          <w:sz w:val="18"/>
          <w:szCs w:val="18"/>
        </w:rPr>
      </w:pPr>
      <w:r w:rsidRPr="007040BC">
        <w:rPr>
          <w:rFonts w:ascii="Arial" w:hAnsi="Arial" w:cs="Arial"/>
          <w:bCs/>
          <w:sz w:val="18"/>
          <w:szCs w:val="18"/>
        </w:rPr>
        <w:t xml:space="preserve">podobny charakter świadczonych usług (noclegi, usługi gastronomiczne, konferencje, usługi związane </w:t>
      </w:r>
      <w:r w:rsidRPr="007040BC">
        <w:rPr>
          <w:rFonts w:ascii="Arial" w:hAnsi="Arial" w:cs="Arial"/>
          <w:bCs/>
          <w:sz w:val="18"/>
          <w:szCs w:val="18"/>
        </w:rPr>
        <w:br/>
        <w:t>z wypoczynkiem),</w:t>
      </w:r>
    </w:p>
    <w:p w:rsidR="005D3822" w:rsidRPr="007040BC" w:rsidRDefault="005D3822" w:rsidP="005D3822">
      <w:pPr>
        <w:pStyle w:val="Akapitzlist"/>
        <w:numPr>
          <w:ilvl w:val="0"/>
          <w:numId w:val="35"/>
        </w:numPr>
        <w:tabs>
          <w:tab w:val="left" w:pos="540"/>
        </w:tabs>
        <w:spacing w:line="260" w:lineRule="exact"/>
        <w:jc w:val="both"/>
        <w:rPr>
          <w:rFonts w:ascii="Arial" w:hAnsi="Arial" w:cs="Arial"/>
          <w:bCs/>
          <w:sz w:val="18"/>
          <w:szCs w:val="18"/>
        </w:rPr>
      </w:pPr>
      <w:r w:rsidRPr="007040BC">
        <w:rPr>
          <w:rFonts w:ascii="Arial" w:hAnsi="Arial" w:cs="Arial"/>
          <w:bCs/>
          <w:sz w:val="18"/>
          <w:szCs w:val="18"/>
        </w:rPr>
        <w:t>podobieństwo metod przy świadczeniu usług (scentralizowany system zakupów oraz sprzedaży dla klienta grupowego, a także centralne zarządzanie)</w:t>
      </w:r>
    </w:p>
    <w:p w:rsidR="005D3822" w:rsidRPr="007040BC" w:rsidRDefault="005D3822" w:rsidP="005D3822">
      <w:pPr>
        <w:pStyle w:val="Akapitzlist"/>
        <w:numPr>
          <w:ilvl w:val="0"/>
          <w:numId w:val="35"/>
        </w:numPr>
        <w:tabs>
          <w:tab w:val="left" w:pos="540"/>
        </w:tabs>
        <w:spacing w:line="260" w:lineRule="exact"/>
        <w:jc w:val="both"/>
        <w:rPr>
          <w:rFonts w:ascii="Arial" w:hAnsi="Arial" w:cs="Arial"/>
          <w:bCs/>
          <w:sz w:val="18"/>
          <w:szCs w:val="18"/>
        </w:rPr>
      </w:pPr>
      <w:r w:rsidRPr="007040BC">
        <w:rPr>
          <w:rFonts w:ascii="Arial" w:hAnsi="Arial" w:cs="Arial"/>
          <w:bCs/>
          <w:sz w:val="18"/>
          <w:szCs w:val="18"/>
        </w:rPr>
        <w:t>rodzaj klienta (turysta indywidualny oraz grupowy)</w:t>
      </w:r>
    </w:p>
    <w:p w:rsidR="005D3822" w:rsidRPr="007040BC" w:rsidRDefault="005D3822" w:rsidP="005D3822">
      <w:pPr>
        <w:tabs>
          <w:tab w:val="left" w:pos="540"/>
        </w:tabs>
        <w:spacing w:line="260" w:lineRule="exact"/>
        <w:jc w:val="both"/>
        <w:rPr>
          <w:rFonts w:ascii="Arial" w:hAnsi="Arial" w:cs="Arial"/>
          <w:bCs/>
          <w:sz w:val="18"/>
          <w:szCs w:val="18"/>
        </w:rPr>
      </w:pPr>
      <w:r w:rsidRPr="007040BC">
        <w:rPr>
          <w:rFonts w:ascii="Arial" w:hAnsi="Arial" w:cs="Arial"/>
          <w:bCs/>
          <w:sz w:val="18"/>
          <w:szCs w:val="18"/>
        </w:rPr>
        <w:t>segment „działalność hotelarska” obejmuje informacje finansowe łącznie dla hoteli oraz ośrodków wypoczynkowych położonych w miejscowościach atrakcyjnych pod względem turystycznym (góry, morze) natomiast segmenty operacyjne zostały zagregowane zgodnie z MSSF 8, tworząc segment sprawozdawczy „działalność hotelarska”.</w:t>
      </w:r>
    </w:p>
    <w:p w:rsidR="005D3822" w:rsidRDefault="005D3822" w:rsidP="005D3822">
      <w:pPr>
        <w:tabs>
          <w:tab w:val="left" w:pos="540"/>
        </w:tabs>
        <w:spacing w:line="260" w:lineRule="exact"/>
        <w:jc w:val="both"/>
        <w:rPr>
          <w:rFonts w:ascii="Arial" w:hAnsi="Arial" w:cs="Arial"/>
          <w:sz w:val="18"/>
          <w:szCs w:val="18"/>
        </w:rPr>
      </w:pPr>
      <w:r w:rsidRPr="00CA0C51">
        <w:rPr>
          <w:rFonts w:ascii="Arial" w:hAnsi="Arial" w:cs="Arial"/>
          <w:b/>
          <w:sz w:val="18"/>
          <w:szCs w:val="18"/>
        </w:rPr>
        <w:t>Wszystkie pozostałe segmenty</w:t>
      </w:r>
      <w:r w:rsidRPr="00CA0C51">
        <w:rPr>
          <w:rFonts w:ascii="Arial" w:hAnsi="Arial" w:cs="Arial"/>
          <w:sz w:val="18"/>
          <w:szCs w:val="18"/>
        </w:rPr>
        <w:t xml:space="preserve">. Źródła przychodów w tej kategorii obejmują: pośrednictwo </w:t>
      </w:r>
      <w:r w:rsidRPr="00CA0C51">
        <w:rPr>
          <w:rFonts w:ascii="Arial" w:hAnsi="Arial" w:cs="Arial"/>
          <w:sz w:val="18"/>
          <w:szCs w:val="18"/>
        </w:rPr>
        <w:br/>
        <w:t>w sprzedaży imprez turystycznych własnych oraz innych operatorów, sprzedaż biletów lotniczych, usługi reklamowe, przychody z usług administracyjnych oraz opłaty licencyjnej za znak towarowy</w:t>
      </w:r>
      <w:r>
        <w:rPr>
          <w:rFonts w:ascii="Arial" w:hAnsi="Arial" w:cs="Arial"/>
          <w:sz w:val="18"/>
          <w:szCs w:val="18"/>
        </w:rPr>
        <w:t>.</w:t>
      </w:r>
    </w:p>
    <w:p w:rsidR="005D3822" w:rsidRPr="005D3822" w:rsidRDefault="005D3822" w:rsidP="005D3822">
      <w:pPr>
        <w:tabs>
          <w:tab w:val="left" w:pos="540"/>
        </w:tabs>
        <w:spacing w:line="260" w:lineRule="exact"/>
        <w:jc w:val="both"/>
        <w:rPr>
          <w:rFonts w:ascii="Arial" w:hAnsi="Arial" w:cs="Arial"/>
          <w:bCs/>
          <w:sz w:val="18"/>
          <w:szCs w:val="18"/>
        </w:rPr>
      </w:pPr>
      <w:r w:rsidRPr="00661ED4">
        <w:rPr>
          <w:rFonts w:ascii="Arial" w:hAnsi="Arial" w:cs="Arial"/>
          <w:b/>
          <w:bCs/>
          <w:sz w:val="18"/>
          <w:szCs w:val="18"/>
        </w:rPr>
        <w:t>Pozycje nieprzypisane</w:t>
      </w:r>
      <w:r w:rsidRPr="00661ED4">
        <w:rPr>
          <w:rFonts w:ascii="Arial" w:hAnsi="Arial" w:cs="Arial"/>
          <w:bCs/>
          <w:sz w:val="18"/>
          <w:szCs w:val="18"/>
        </w:rPr>
        <w:t xml:space="preserve"> </w:t>
      </w:r>
      <w:r w:rsidRPr="005D3822">
        <w:rPr>
          <w:rFonts w:ascii="Arial" w:hAnsi="Arial" w:cs="Arial"/>
          <w:bCs/>
          <w:sz w:val="18"/>
          <w:szCs w:val="18"/>
        </w:rPr>
        <w:t xml:space="preserve">są to pozycje monitorowane na poziomie Spółki, a nie na poziomie poszczególnych segmentów. </w:t>
      </w:r>
    </w:p>
    <w:p w:rsidR="005D3822" w:rsidRPr="005D3822" w:rsidRDefault="005D3822" w:rsidP="005D3822">
      <w:pPr>
        <w:tabs>
          <w:tab w:val="left" w:pos="540"/>
        </w:tabs>
        <w:spacing w:line="260" w:lineRule="exact"/>
        <w:jc w:val="both"/>
        <w:rPr>
          <w:rFonts w:ascii="Arial" w:hAnsi="Arial" w:cs="Arial"/>
          <w:b/>
          <w:bCs/>
          <w:sz w:val="16"/>
          <w:szCs w:val="16"/>
        </w:rPr>
      </w:pPr>
    </w:p>
    <w:p w:rsidR="005D3822" w:rsidRPr="005D3822" w:rsidRDefault="005D3822" w:rsidP="005D3822">
      <w:pPr>
        <w:tabs>
          <w:tab w:val="left" w:pos="540"/>
        </w:tabs>
        <w:spacing w:line="260" w:lineRule="exact"/>
        <w:jc w:val="both"/>
        <w:rPr>
          <w:rFonts w:ascii="Arial" w:hAnsi="Arial" w:cs="Arial"/>
          <w:bCs/>
          <w:sz w:val="18"/>
          <w:szCs w:val="18"/>
        </w:rPr>
      </w:pPr>
      <w:r w:rsidRPr="005D3822">
        <w:rPr>
          <w:rFonts w:ascii="Arial" w:hAnsi="Arial" w:cs="Arial"/>
          <w:b/>
          <w:bCs/>
          <w:sz w:val="16"/>
          <w:szCs w:val="16"/>
        </w:rPr>
        <w:t>Okres obrotowy za 9 miesię</w:t>
      </w:r>
      <w:r w:rsidR="00497EE3">
        <w:rPr>
          <w:rFonts w:ascii="Arial" w:hAnsi="Arial" w:cs="Arial"/>
          <w:b/>
          <w:bCs/>
          <w:sz w:val="16"/>
          <w:szCs w:val="16"/>
        </w:rPr>
        <w:t>cy kończący się 30 września 2021</w:t>
      </w:r>
      <w:r w:rsidRPr="005D3822">
        <w:rPr>
          <w:rFonts w:ascii="Arial" w:hAnsi="Arial" w:cs="Arial"/>
          <w:b/>
          <w:bCs/>
          <w:sz w:val="16"/>
          <w:szCs w:val="16"/>
        </w:rPr>
        <w:t xml:space="preserve"> r.  </w:t>
      </w:r>
      <w:r w:rsidRPr="005D3822">
        <w:rPr>
          <w:rFonts w:ascii="Arial" w:hAnsi="Arial" w:cs="Arial"/>
          <w:sz w:val="16"/>
          <w:szCs w:val="16"/>
        </w:rPr>
        <w:t>(niezbadane)</w:t>
      </w:r>
    </w:p>
    <w:tbl>
      <w:tblPr>
        <w:tblW w:w="8840" w:type="dxa"/>
        <w:tblInd w:w="55" w:type="dxa"/>
        <w:tblCellMar>
          <w:left w:w="70" w:type="dxa"/>
          <w:right w:w="70" w:type="dxa"/>
        </w:tblCellMar>
        <w:tblLook w:val="04A0" w:firstRow="1" w:lastRow="0" w:firstColumn="1" w:lastColumn="0" w:noHBand="0" w:noVBand="1"/>
      </w:tblPr>
      <w:tblGrid>
        <w:gridCol w:w="3640"/>
        <w:gridCol w:w="1300"/>
        <w:gridCol w:w="1300"/>
        <w:gridCol w:w="1300"/>
        <w:gridCol w:w="1300"/>
      </w:tblGrid>
      <w:tr w:rsidR="005D3822" w:rsidRPr="00F06708" w:rsidTr="00FB7083">
        <w:trPr>
          <w:trHeight w:val="315"/>
        </w:trPr>
        <w:tc>
          <w:tcPr>
            <w:tcW w:w="3640" w:type="dxa"/>
            <w:tcBorders>
              <w:top w:val="nil"/>
              <w:left w:val="nil"/>
              <w:bottom w:val="nil"/>
              <w:right w:val="nil"/>
            </w:tcBorders>
            <w:shd w:val="clear" w:color="auto" w:fill="auto"/>
            <w:noWrap/>
            <w:vAlign w:val="bottom"/>
            <w:hideMark/>
          </w:tcPr>
          <w:p w:rsidR="005D3822" w:rsidRPr="00F06708" w:rsidRDefault="005D3822" w:rsidP="00FB7083">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5D3822" w:rsidRPr="00F06708" w:rsidRDefault="005D3822" w:rsidP="00FB7083">
            <w:pPr>
              <w:jc w:val="right"/>
              <w:rPr>
                <w:rFonts w:ascii="Arial" w:hAnsi="Arial" w:cs="Arial"/>
                <w:b/>
                <w:bCs/>
                <w:sz w:val="16"/>
                <w:szCs w:val="16"/>
              </w:rPr>
            </w:pPr>
          </w:p>
        </w:tc>
        <w:tc>
          <w:tcPr>
            <w:tcW w:w="1300" w:type="dxa"/>
            <w:tcBorders>
              <w:top w:val="nil"/>
              <w:left w:val="nil"/>
              <w:bottom w:val="nil"/>
              <w:right w:val="nil"/>
            </w:tcBorders>
            <w:shd w:val="clear" w:color="auto" w:fill="auto"/>
            <w:noWrap/>
            <w:vAlign w:val="bottom"/>
            <w:hideMark/>
          </w:tcPr>
          <w:p w:rsidR="005D3822" w:rsidRPr="00F06708" w:rsidRDefault="005D3822" w:rsidP="00FB7083">
            <w:pPr>
              <w:jc w:val="right"/>
              <w:rPr>
                <w:rFonts w:ascii="Arial" w:hAnsi="Arial" w:cs="Arial"/>
                <w:b/>
                <w:bCs/>
                <w:sz w:val="16"/>
                <w:szCs w:val="16"/>
              </w:rPr>
            </w:pPr>
            <w:r w:rsidRPr="00F06708">
              <w:rPr>
                <w:rFonts w:ascii="Arial" w:hAnsi="Arial" w:cs="Arial"/>
                <w:b/>
                <w:bCs/>
                <w:sz w:val="16"/>
                <w:szCs w:val="16"/>
              </w:rPr>
              <w:t xml:space="preserve">Wszystkie </w:t>
            </w:r>
          </w:p>
        </w:tc>
        <w:tc>
          <w:tcPr>
            <w:tcW w:w="1300" w:type="dxa"/>
            <w:tcBorders>
              <w:top w:val="nil"/>
              <w:left w:val="nil"/>
              <w:bottom w:val="nil"/>
              <w:right w:val="nil"/>
            </w:tcBorders>
            <w:shd w:val="clear" w:color="auto" w:fill="auto"/>
            <w:noWrap/>
            <w:vAlign w:val="bottom"/>
            <w:hideMark/>
          </w:tcPr>
          <w:p w:rsidR="005D3822" w:rsidRPr="00F06708" w:rsidRDefault="005D3822" w:rsidP="00FB7083">
            <w:pPr>
              <w:jc w:val="right"/>
              <w:rPr>
                <w:rFonts w:ascii="Arial" w:hAnsi="Arial" w:cs="Arial"/>
                <w:b/>
                <w:bCs/>
                <w:sz w:val="16"/>
                <w:szCs w:val="16"/>
              </w:rPr>
            </w:pPr>
          </w:p>
        </w:tc>
        <w:tc>
          <w:tcPr>
            <w:tcW w:w="1300" w:type="dxa"/>
            <w:tcBorders>
              <w:top w:val="nil"/>
              <w:left w:val="nil"/>
              <w:bottom w:val="nil"/>
              <w:right w:val="nil"/>
            </w:tcBorders>
            <w:shd w:val="clear" w:color="auto" w:fill="auto"/>
            <w:noWrap/>
            <w:vAlign w:val="bottom"/>
            <w:hideMark/>
          </w:tcPr>
          <w:p w:rsidR="005D3822" w:rsidRPr="00F06708" w:rsidRDefault="005D3822" w:rsidP="00FB7083">
            <w:pPr>
              <w:jc w:val="right"/>
              <w:rPr>
                <w:rFonts w:ascii="Arial" w:hAnsi="Arial" w:cs="Arial"/>
                <w:b/>
                <w:bCs/>
                <w:sz w:val="16"/>
                <w:szCs w:val="16"/>
              </w:rPr>
            </w:pPr>
          </w:p>
        </w:tc>
      </w:tr>
      <w:tr w:rsidR="005D3822" w:rsidRPr="00F06708" w:rsidTr="00FB7083">
        <w:trPr>
          <w:trHeight w:val="113"/>
        </w:trPr>
        <w:tc>
          <w:tcPr>
            <w:tcW w:w="3640" w:type="dxa"/>
            <w:tcBorders>
              <w:top w:val="nil"/>
              <w:left w:val="nil"/>
              <w:bottom w:val="nil"/>
              <w:right w:val="nil"/>
            </w:tcBorders>
            <w:shd w:val="clear" w:color="auto" w:fill="auto"/>
            <w:noWrap/>
            <w:vAlign w:val="bottom"/>
            <w:hideMark/>
          </w:tcPr>
          <w:p w:rsidR="005D3822" w:rsidRPr="00F06708" w:rsidRDefault="005D3822" w:rsidP="00FB7083">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5D3822" w:rsidRPr="00F06708" w:rsidRDefault="005D3822" w:rsidP="00FB7083">
            <w:pPr>
              <w:jc w:val="right"/>
              <w:rPr>
                <w:rFonts w:ascii="Arial" w:hAnsi="Arial" w:cs="Arial"/>
                <w:b/>
                <w:bCs/>
                <w:sz w:val="16"/>
                <w:szCs w:val="16"/>
              </w:rPr>
            </w:pPr>
            <w:r w:rsidRPr="00F06708">
              <w:rPr>
                <w:rFonts w:ascii="Arial" w:hAnsi="Arial" w:cs="Arial"/>
                <w:b/>
                <w:bCs/>
                <w:sz w:val="16"/>
                <w:szCs w:val="16"/>
              </w:rPr>
              <w:t xml:space="preserve">Działalność </w:t>
            </w:r>
          </w:p>
        </w:tc>
        <w:tc>
          <w:tcPr>
            <w:tcW w:w="1300" w:type="dxa"/>
            <w:tcBorders>
              <w:top w:val="nil"/>
              <w:left w:val="nil"/>
              <w:bottom w:val="nil"/>
              <w:right w:val="nil"/>
            </w:tcBorders>
            <w:shd w:val="clear" w:color="auto" w:fill="auto"/>
            <w:noWrap/>
            <w:vAlign w:val="bottom"/>
            <w:hideMark/>
          </w:tcPr>
          <w:p w:rsidR="005D3822" w:rsidRPr="00F06708" w:rsidRDefault="005D3822" w:rsidP="00FB7083">
            <w:pPr>
              <w:jc w:val="right"/>
              <w:rPr>
                <w:rFonts w:ascii="Arial" w:hAnsi="Arial" w:cs="Arial"/>
                <w:b/>
                <w:bCs/>
                <w:sz w:val="16"/>
                <w:szCs w:val="16"/>
              </w:rPr>
            </w:pPr>
            <w:r w:rsidRPr="00F06708">
              <w:rPr>
                <w:rFonts w:ascii="Arial" w:hAnsi="Arial" w:cs="Arial"/>
                <w:b/>
                <w:bCs/>
                <w:sz w:val="16"/>
                <w:szCs w:val="16"/>
              </w:rPr>
              <w:t>pozostałe</w:t>
            </w:r>
          </w:p>
        </w:tc>
        <w:tc>
          <w:tcPr>
            <w:tcW w:w="1300" w:type="dxa"/>
            <w:tcBorders>
              <w:top w:val="nil"/>
              <w:left w:val="nil"/>
              <w:bottom w:val="nil"/>
              <w:right w:val="nil"/>
            </w:tcBorders>
            <w:shd w:val="clear" w:color="auto" w:fill="auto"/>
            <w:noWrap/>
            <w:vAlign w:val="bottom"/>
            <w:hideMark/>
          </w:tcPr>
          <w:p w:rsidR="005D3822" w:rsidRPr="00F06708" w:rsidRDefault="005D3822" w:rsidP="00FB7083">
            <w:pPr>
              <w:jc w:val="right"/>
              <w:rPr>
                <w:rFonts w:ascii="Arial" w:hAnsi="Arial" w:cs="Arial"/>
                <w:b/>
                <w:bCs/>
                <w:sz w:val="16"/>
                <w:szCs w:val="16"/>
              </w:rPr>
            </w:pPr>
            <w:r w:rsidRPr="00F06708">
              <w:rPr>
                <w:rFonts w:ascii="Arial" w:hAnsi="Arial" w:cs="Arial"/>
                <w:b/>
                <w:bCs/>
                <w:sz w:val="16"/>
                <w:szCs w:val="16"/>
              </w:rPr>
              <w:t xml:space="preserve">Pozycje </w:t>
            </w:r>
          </w:p>
        </w:tc>
        <w:tc>
          <w:tcPr>
            <w:tcW w:w="1300" w:type="dxa"/>
            <w:vMerge w:val="restart"/>
            <w:tcBorders>
              <w:top w:val="nil"/>
              <w:left w:val="nil"/>
              <w:bottom w:val="single" w:sz="8" w:space="0" w:color="000000"/>
              <w:right w:val="nil"/>
            </w:tcBorders>
            <w:shd w:val="clear" w:color="auto" w:fill="auto"/>
            <w:noWrap/>
            <w:vAlign w:val="center"/>
            <w:hideMark/>
          </w:tcPr>
          <w:p w:rsidR="005D3822" w:rsidRPr="00F06708" w:rsidRDefault="005D3822" w:rsidP="00FB7083">
            <w:pPr>
              <w:jc w:val="center"/>
              <w:rPr>
                <w:rFonts w:ascii="Arial" w:hAnsi="Arial" w:cs="Arial"/>
                <w:b/>
                <w:bCs/>
                <w:sz w:val="16"/>
                <w:szCs w:val="16"/>
              </w:rPr>
            </w:pPr>
            <w:r w:rsidRPr="00F06708">
              <w:rPr>
                <w:rFonts w:ascii="Arial" w:hAnsi="Arial" w:cs="Arial"/>
                <w:b/>
                <w:bCs/>
                <w:sz w:val="16"/>
                <w:szCs w:val="16"/>
              </w:rPr>
              <w:t>Razem</w:t>
            </w:r>
          </w:p>
        </w:tc>
      </w:tr>
      <w:tr w:rsidR="005D3822" w:rsidRPr="00F06708" w:rsidTr="00FB7083">
        <w:trPr>
          <w:trHeight w:val="211"/>
        </w:trPr>
        <w:tc>
          <w:tcPr>
            <w:tcW w:w="3640" w:type="dxa"/>
            <w:tcBorders>
              <w:top w:val="nil"/>
              <w:left w:val="nil"/>
              <w:bottom w:val="nil"/>
              <w:right w:val="nil"/>
            </w:tcBorders>
            <w:shd w:val="clear" w:color="auto" w:fill="auto"/>
            <w:vAlign w:val="bottom"/>
            <w:hideMark/>
          </w:tcPr>
          <w:p w:rsidR="005D3822" w:rsidRPr="00F06708" w:rsidRDefault="005D3822" w:rsidP="00FB7083">
            <w:pPr>
              <w:rPr>
                <w:rFonts w:ascii="Arial" w:hAnsi="Arial" w:cs="Arial"/>
                <w:sz w:val="16"/>
                <w:szCs w:val="16"/>
              </w:rPr>
            </w:pPr>
          </w:p>
        </w:tc>
        <w:tc>
          <w:tcPr>
            <w:tcW w:w="1300" w:type="dxa"/>
            <w:tcBorders>
              <w:top w:val="nil"/>
              <w:left w:val="nil"/>
              <w:bottom w:val="single" w:sz="8" w:space="0" w:color="auto"/>
              <w:right w:val="nil"/>
            </w:tcBorders>
            <w:shd w:val="clear" w:color="auto" w:fill="auto"/>
            <w:noWrap/>
            <w:vAlign w:val="bottom"/>
            <w:hideMark/>
          </w:tcPr>
          <w:p w:rsidR="005D3822" w:rsidRPr="00F06708" w:rsidRDefault="005D3822" w:rsidP="00FB7083">
            <w:pPr>
              <w:jc w:val="right"/>
              <w:rPr>
                <w:rFonts w:ascii="Arial" w:hAnsi="Arial" w:cs="Arial"/>
                <w:b/>
                <w:bCs/>
                <w:sz w:val="16"/>
                <w:szCs w:val="16"/>
              </w:rPr>
            </w:pPr>
            <w:r w:rsidRPr="00F06708">
              <w:rPr>
                <w:rFonts w:ascii="Arial" w:hAnsi="Arial" w:cs="Arial"/>
                <w:b/>
                <w:bCs/>
                <w:sz w:val="16"/>
                <w:szCs w:val="16"/>
              </w:rPr>
              <w:t>hotelarska</w:t>
            </w:r>
          </w:p>
        </w:tc>
        <w:tc>
          <w:tcPr>
            <w:tcW w:w="1300" w:type="dxa"/>
            <w:tcBorders>
              <w:top w:val="nil"/>
              <w:left w:val="nil"/>
              <w:bottom w:val="single" w:sz="8" w:space="0" w:color="auto"/>
              <w:right w:val="nil"/>
            </w:tcBorders>
            <w:shd w:val="clear" w:color="auto" w:fill="auto"/>
            <w:noWrap/>
            <w:vAlign w:val="bottom"/>
            <w:hideMark/>
          </w:tcPr>
          <w:p w:rsidR="005D3822" w:rsidRPr="00F06708" w:rsidRDefault="005D3822" w:rsidP="00FB7083">
            <w:pPr>
              <w:jc w:val="right"/>
              <w:rPr>
                <w:rFonts w:ascii="Arial" w:hAnsi="Arial" w:cs="Arial"/>
                <w:b/>
                <w:bCs/>
                <w:sz w:val="16"/>
                <w:szCs w:val="16"/>
              </w:rPr>
            </w:pPr>
            <w:r w:rsidRPr="00F06708">
              <w:rPr>
                <w:rFonts w:ascii="Arial" w:hAnsi="Arial" w:cs="Arial"/>
                <w:b/>
                <w:bCs/>
                <w:sz w:val="16"/>
                <w:szCs w:val="16"/>
              </w:rPr>
              <w:t>segmenty</w:t>
            </w:r>
          </w:p>
        </w:tc>
        <w:tc>
          <w:tcPr>
            <w:tcW w:w="1300" w:type="dxa"/>
            <w:tcBorders>
              <w:top w:val="nil"/>
              <w:left w:val="nil"/>
              <w:bottom w:val="single" w:sz="8" w:space="0" w:color="auto"/>
              <w:right w:val="nil"/>
            </w:tcBorders>
            <w:shd w:val="clear" w:color="auto" w:fill="auto"/>
            <w:noWrap/>
            <w:vAlign w:val="bottom"/>
            <w:hideMark/>
          </w:tcPr>
          <w:p w:rsidR="005D3822" w:rsidRPr="00F06708" w:rsidRDefault="005D3822" w:rsidP="00FB7083">
            <w:pPr>
              <w:jc w:val="right"/>
              <w:rPr>
                <w:rFonts w:ascii="Arial" w:hAnsi="Arial" w:cs="Arial"/>
                <w:b/>
                <w:bCs/>
                <w:sz w:val="16"/>
                <w:szCs w:val="16"/>
              </w:rPr>
            </w:pPr>
            <w:r w:rsidRPr="00F06708">
              <w:rPr>
                <w:rFonts w:ascii="Arial" w:hAnsi="Arial" w:cs="Arial"/>
                <w:b/>
                <w:bCs/>
                <w:sz w:val="16"/>
                <w:szCs w:val="16"/>
              </w:rPr>
              <w:t>nieprzypisane</w:t>
            </w:r>
          </w:p>
        </w:tc>
        <w:tc>
          <w:tcPr>
            <w:tcW w:w="1300" w:type="dxa"/>
            <w:vMerge/>
            <w:tcBorders>
              <w:top w:val="nil"/>
              <w:left w:val="nil"/>
              <w:bottom w:val="single" w:sz="8" w:space="0" w:color="000000"/>
              <w:right w:val="nil"/>
            </w:tcBorders>
            <w:vAlign w:val="center"/>
            <w:hideMark/>
          </w:tcPr>
          <w:p w:rsidR="005D3822" w:rsidRPr="00F06708" w:rsidRDefault="005D3822" w:rsidP="00FB7083">
            <w:pPr>
              <w:rPr>
                <w:rFonts w:ascii="Arial" w:hAnsi="Arial" w:cs="Arial"/>
                <w:b/>
                <w:bCs/>
                <w:sz w:val="16"/>
                <w:szCs w:val="16"/>
              </w:rPr>
            </w:pPr>
          </w:p>
        </w:tc>
      </w:tr>
      <w:tr w:rsidR="000A05FB" w:rsidRPr="00F06708" w:rsidTr="000A05FB">
        <w:trPr>
          <w:trHeight w:val="283"/>
        </w:trPr>
        <w:tc>
          <w:tcPr>
            <w:tcW w:w="3640" w:type="dxa"/>
            <w:tcBorders>
              <w:top w:val="nil"/>
              <w:left w:val="nil"/>
              <w:bottom w:val="nil"/>
              <w:right w:val="nil"/>
            </w:tcBorders>
            <w:shd w:val="clear" w:color="auto" w:fill="auto"/>
            <w:vAlign w:val="bottom"/>
            <w:hideMark/>
          </w:tcPr>
          <w:p w:rsidR="000A05FB" w:rsidRPr="00F06708" w:rsidRDefault="000A05FB" w:rsidP="00FB7083">
            <w:pPr>
              <w:rPr>
                <w:rFonts w:ascii="Arial" w:hAnsi="Arial" w:cs="Arial"/>
                <w:sz w:val="16"/>
                <w:szCs w:val="16"/>
              </w:rPr>
            </w:pPr>
            <w:r w:rsidRPr="00F06708">
              <w:rPr>
                <w:rFonts w:ascii="Arial" w:hAnsi="Arial" w:cs="Arial"/>
                <w:sz w:val="16"/>
                <w:szCs w:val="16"/>
              </w:rPr>
              <w:t xml:space="preserve">Przychody ze sprzedaży </w:t>
            </w:r>
          </w:p>
        </w:tc>
        <w:tc>
          <w:tcPr>
            <w:tcW w:w="1300" w:type="dxa"/>
            <w:tcBorders>
              <w:top w:val="nil"/>
              <w:left w:val="nil"/>
              <w:bottom w:val="nil"/>
              <w:right w:val="nil"/>
            </w:tcBorders>
            <w:shd w:val="clear" w:color="auto" w:fill="auto"/>
            <w:noWrap/>
            <w:vAlign w:val="bottom"/>
          </w:tcPr>
          <w:p w:rsidR="000A05FB" w:rsidRPr="00F06708" w:rsidRDefault="000A05FB">
            <w:pPr>
              <w:jc w:val="right"/>
              <w:rPr>
                <w:rFonts w:ascii="Arial" w:hAnsi="Arial" w:cs="Arial"/>
                <w:sz w:val="16"/>
                <w:szCs w:val="16"/>
              </w:rPr>
            </w:pPr>
            <w:r w:rsidRPr="00F06708">
              <w:rPr>
                <w:rFonts w:ascii="Arial" w:hAnsi="Arial" w:cs="Arial"/>
                <w:sz w:val="16"/>
                <w:szCs w:val="16"/>
              </w:rPr>
              <w:t>30 359</w:t>
            </w:r>
          </w:p>
        </w:tc>
        <w:tc>
          <w:tcPr>
            <w:tcW w:w="1300" w:type="dxa"/>
            <w:tcBorders>
              <w:top w:val="nil"/>
              <w:left w:val="nil"/>
              <w:bottom w:val="nil"/>
              <w:right w:val="nil"/>
            </w:tcBorders>
            <w:shd w:val="clear" w:color="auto" w:fill="auto"/>
            <w:noWrap/>
            <w:vAlign w:val="bottom"/>
          </w:tcPr>
          <w:p w:rsidR="000A05FB" w:rsidRPr="00F06708" w:rsidRDefault="000A05FB">
            <w:pPr>
              <w:jc w:val="right"/>
              <w:rPr>
                <w:rFonts w:ascii="Arial" w:hAnsi="Arial" w:cs="Arial"/>
                <w:sz w:val="16"/>
                <w:szCs w:val="16"/>
              </w:rPr>
            </w:pPr>
            <w:r w:rsidRPr="00F06708">
              <w:rPr>
                <w:rFonts w:ascii="Arial" w:hAnsi="Arial" w:cs="Arial"/>
                <w:sz w:val="16"/>
                <w:szCs w:val="16"/>
              </w:rPr>
              <w:t>1 221</w:t>
            </w:r>
          </w:p>
        </w:tc>
        <w:tc>
          <w:tcPr>
            <w:tcW w:w="1300" w:type="dxa"/>
            <w:tcBorders>
              <w:top w:val="nil"/>
              <w:left w:val="nil"/>
              <w:bottom w:val="nil"/>
              <w:right w:val="nil"/>
            </w:tcBorders>
            <w:shd w:val="clear" w:color="auto" w:fill="auto"/>
            <w:noWrap/>
            <w:vAlign w:val="bottom"/>
          </w:tcPr>
          <w:p w:rsidR="000A05FB" w:rsidRPr="00F06708" w:rsidRDefault="003C41BA">
            <w:pPr>
              <w:jc w:val="right"/>
              <w:rPr>
                <w:rFonts w:ascii="Arial" w:hAnsi="Arial" w:cs="Arial"/>
                <w:sz w:val="16"/>
                <w:szCs w:val="16"/>
              </w:rPr>
            </w:pPr>
            <w:r w:rsidRPr="00F06708">
              <w:rPr>
                <w:rFonts w:ascii="Arial" w:hAnsi="Arial" w:cs="Arial"/>
                <w:sz w:val="16"/>
                <w:szCs w:val="16"/>
              </w:rPr>
              <w:t>-</w:t>
            </w:r>
          </w:p>
        </w:tc>
        <w:tc>
          <w:tcPr>
            <w:tcW w:w="1300" w:type="dxa"/>
            <w:tcBorders>
              <w:top w:val="nil"/>
              <w:left w:val="nil"/>
              <w:bottom w:val="nil"/>
              <w:right w:val="nil"/>
            </w:tcBorders>
            <w:shd w:val="clear" w:color="auto" w:fill="auto"/>
            <w:noWrap/>
            <w:vAlign w:val="bottom"/>
          </w:tcPr>
          <w:p w:rsidR="000A05FB" w:rsidRPr="00F06708" w:rsidRDefault="000A05FB">
            <w:pPr>
              <w:jc w:val="right"/>
              <w:rPr>
                <w:rFonts w:ascii="Arial" w:hAnsi="Arial" w:cs="Arial"/>
                <w:sz w:val="16"/>
                <w:szCs w:val="16"/>
              </w:rPr>
            </w:pPr>
            <w:r w:rsidRPr="00F06708">
              <w:rPr>
                <w:rFonts w:ascii="Arial" w:hAnsi="Arial" w:cs="Arial"/>
                <w:sz w:val="16"/>
                <w:szCs w:val="16"/>
              </w:rPr>
              <w:t>31 580</w:t>
            </w:r>
          </w:p>
        </w:tc>
      </w:tr>
      <w:tr w:rsidR="000A05FB" w:rsidRPr="00F06708" w:rsidTr="000A05FB">
        <w:trPr>
          <w:trHeight w:val="283"/>
        </w:trPr>
        <w:tc>
          <w:tcPr>
            <w:tcW w:w="3640" w:type="dxa"/>
            <w:tcBorders>
              <w:top w:val="nil"/>
              <w:left w:val="nil"/>
              <w:bottom w:val="nil"/>
              <w:right w:val="nil"/>
            </w:tcBorders>
            <w:shd w:val="clear" w:color="auto" w:fill="auto"/>
            <w:vAlign w:val="bottom"/>
            <w:hideMark/>
          </w:tcPr>
          <w:p w:rsidR="000A05FB" w:rsidRPr="00F06708" w:rsidRDefault="000A05FB" w:rsidP="00FB7083">
            <w:pPr>
              <w:rPr>
                <w:rFonts w:ascii="Arial" w:hAnsi="Arial" w:cs="Arial"/>
                <w:sz w:val="16"/>
                <w:szCs w:val="16"/>
              </w:rPr>
            </w:pPr>
            <w:r w:rsidRPr="00F06708">
              <w:rPr>
                <w:rFonts w:ascii="Arial" w:hAnsi="Arial" w:cs="Arial"/>
                <w:sz w:val="16"/>
                <w:szCs w:val="16"/>
              </w:rPr>
              <w:t>Koszt własny sprzedaży</w:t>
            </w:r>
          </w:p>
        </w:tc>
        <w:tc>
          <w:tcPr>
            <w:tcW w:w="1300" w:type="dxa"/>
            <w:tcBorders>
              <w:top w:val="nil"/>
              <w:left w:val="nil"/>
              <w:bottom w:val="nil"/>
              <w:right w:val="nil"/>
            </w:tcBorders>
            <w:shd w:val="clear" w:color="000000" w:fill="FFFFFF"/>
            <w:noWrap/>
            <w:vAlign w:val="bottom"/>
          </w:tcPr>
          <w:p w:rsidR="000A05FB" w:rsidRPr="00F06708" w:rsidRDefault="000A05FB">
            <w:pPr>
              <w:jc w:val="right"/>
              <w:rPr>
                <w:rFonts w:ascii="Arial" w:hAnsi="Arial" w:cs="Arial"/>
                <w:sz w:val="16"/>
                <w:szCs w:val="16"/>
              </w:rPr>
            </w:pPr>
            <w:r w:rsidRPr="00F06708">
              <w:rPr>
                <w:rFonts w:ascii="Arial" w:hAnsi="Arial" w:cs="Arial"/>
                <w:sz w:val="16"/>
                <w:szCs w:val="16"/>
              </w:rPr>
              <w:t>24 726</w:t>
            </w:r>
          </w:p>
        </w:tc>
        <w:tc>
          <w:tcPr>
            <w:tcW w:w="1300" w:type="dxa"/>
            <w:tcBorders>
              <w:top w:val="nil"/>
              <w:left w:val="nil"/>
              <w:bottom w:val="nil"/>
              <w:right w:val="nil"/>
            </w:tcBorders>
            <w:shd w:val="clear" w:color="auto" w:fill="auto"/>
            <w:noWrap/>
            <w:vAlign w:val="bottom"/>
          </w:tcPr>
          <w:p w:rsidR="000A05FB" w:rsidRPr="00F06708" w:rsidRDefault="000A05FB">
            <w:pPr>
              <w:jc w:val="right"/>
              <w:rPr>
                <w:rFonts w:ascii="Arial" w:hAnsi="Arial" w:cs="Arial"/>
                <w:sz w:val="16"/>
                <w:szCs w:val="16"/>
              </w:rPr>
            </w:pPr>
            <w:r w:rsidRPr="00F06708">
              <w:rPr>
                <w:rFonts w:ascii="Arial" w:hAnsi="Arial" w:cs="Arial"/>
                <w:sz w:val="16"/>
                <w:szCs w:val="16"/>
              </w:rPr>
              <w:t>181</w:t>
            </w:r>
          </w:p>
        </w:tc>
        <w:tc>
          <w:tcPr>
            <w:tcW w:w="1300" w:type="dxa"/>
            <w:tcBorders>
              <w:top w:val="nil"/>
              <w:left w:val="nil"/>
              <w:bottom w:val="nil"/>
              <w:right w:val="nil"/>
            </w:tcBorders>
            <w:shd w:val="clear" w:color="auto" w:fill="auto"/>
            <w:noWrap/>
            <w:vAlign w:val="bottom"/>
          </w:tcPr>
          <w:p w:rsidR="000A05FB" w:rsidRPr="00F06708" w:rsidRDefault="003C41BA">
            <w:pPr>
              <w:jc w:val="right"/>
              <w:rPr>
                <w:rFonts w:ascii="Arial" w:hAnsi="Arial" w:cs="Arial"/>
                <w:sz w:val="16"/>
                <w:szCs w:val="16"/>
              </w:rPr>
            </w:pPr>
            <w:r w:rsidRPr="00F06708">
              <w:rPr>
                <w:rFonts w:ascii="Arial" w:hAnsi="Arial" w:cs="Arial"/>
                <w:sz w:val="16"/>
                <w:szCs w:val="16"/>
              </w:rPr>
              <w:t>-</w:t>
            </w:r>
          </w:p>
        </w:tc>
        <w:tc>
          <w:tcPr>
            <w:tcW w:w="1300" w:type="dxa"/>
            <w:tcBorders>
              <w:top w:val="nil"/>
              <w:left w:val="nil"/>
              <w:bottom w:val="nil"/>
              <w:right w:val="nil"/>
            </w:tcBorders>
            <w:shd w:val="clear" w:color="auto" w:fill="auto"/>
            <w:noWrap/>
            <w:vAlign w:val="bottom"/>
          </w:tcPr>
          <w:p w:rsidR="000A05FB" w:rsidRPr="00F06708" w:rsidRDefault="000A05FB" w:rsidP="001120DD">
            <w:pPr>
              <w:jc w:val="right"/>
              <w:rPr>
                <w:rFonts w:ascii="Arial" w:hAnsi="Arial" w:cs="Arial"/>
                <w:sz w:val="16"/>
                <w:szCs w:val="16"/>
              </w:rPr>
            </w:pPr>
            <w:r w:rsidRPr="00F06708">
              <w:rPr>
                <w:rFonts w:ascii="Arial" w:hAnsi="Arial" w:cs="Arial"/>
                <w:sz w:val="16"/>
                <w:szCs w:val="16"/>
              </w:rPr>
              <w:t>24 90</w:t>
            </w:r>
            <w:r w:rsidR="001120DD" w:rsidRPr="00F06708">
              <w:rPr>
                <w:rFonts w:ascii="Arial" w:hAnsi="Arial" w:cs="Arial"/>
                <w:sz w:val="16"/>
                <w:szCs w:val="16"/>
              </w:rPr>
              <w:t>7</w:t>
            </w:r>
          </w:p>
        </w:tc>
      </w:tr>
      <w:tr w:rsidR="000A05FB" w:rsidRPr="00F06708" w:rsidTr="000A05FB">
        <w:trPr>
          <w:trHeight w:val="283"/>
        </w:trPr>
        <w:tc>
          <w:tcPr>
            <w:tcW w:w="3640" w:type="dxa"/>
            <w:tcBorders>
              <w:top w:val="nil"/>
              <w:left w:val="nil"/>
              <w:bottom w:val="nil"/>
              <w:right w:val="nil"/>
            </w:tcBorders>
            <w:shd w:val="clear" w:color="auto" w:fill="auto"/>
            <w:vAlign w:val="bottom"/>
            <w:hideMark/>
          </w:tcPr>
          <w:p w:rsidR="000A05FB" w:rsidRPr="00F06708" w:rsidRDefault="000A05FB" w:rsidP="00FB7083">
            <w:pPr>
              <w:rPr>
                <w:rFonts w:ascii="Arial" w:hAnsi="Arial" w:cs="Arial"/>
                <w:sz w:val="16"/>
                <w:szCs w:val="16"/>
              </w:rPr>
            </w:pPr>
            <w:r w:rsidRPr="00F06708">
              <w:rPr>
                <w:rFonts w:ascii="Arial" w:hAnsi="Arial" w:cs="Arial"/>
                <w:sz w:val="16"/>
                <w:szCs w:val="16"/>
              </w:rPr>
              <w:t>w tym amortyzacja</w:t>
            </w:r>
          </w:p>
        </w:tc>
        <w:tc>
          <w:tcPr>
            <w:tcW w:w="1300" w:type="dxa"/>
            <w:tcBorders>
              <w:top w:val="nil"/>
              <w:left w:val="nil"/>
              <w:bottom w:val="nil"/>
              <w:right w:val="nil"/>
            </w:tcBorders>
            <w:shd w:val="clear" w:color="auto" w:fill="auto"/>
            <w:noWrap/>
            <w:vAlign w:val="bottom"/>
          </w:tcPr>
          <w:p w:rsidR="000A05FB" w:rsidRPr="00F06708" w:rsidRDefault="000A05FB">
            <w:pPr>
              <w:jc w:val="right"/>
              <w:rPr>
                <w:rFonts w:ascii="Arial" w:hAnsi="Arial" w:cs="Arial"/>
                <w:sz w:val="16"/>
                <w:szCs w:val="16"/>
              </w:rPr>
            </w:pPr>
            <w:r w:rsidRPr="00F06708">
              <w:rPr>
                <w:rFonts w:ascii="Arial" w:hAnsi="Arial" w:cs="Arial"/>
                <w:sz w:val="16"/>
                <w:szCs w:val="16"/>
              </w:rPr>
              <w:t>3 318</w:t>
            </w:r>
          </w:p>
        </w:tc>
        <w:tc>
          <w:tcPr>
            <w:tcW w:w="1300" w:type="dxa"/>
            <w:tcBorders>
              <w:top w:val="nil"/>
              <w:left w:val="nil"/>
              <w:bottom w:val="nil"/>
              <w:right w:val="nil"/>
            </w:tcBorders>
            <w:shd w:val="clear" w:color="auto" w:fill="auto"/>
            <w:noWrap/>
            <w:vAlign w:val="bottom"/>
          </w:tcPr>
          <w:p w:rsidR="000A05FB" w:rsidRPr="00F06708" w:rsidRDefault="000A05FB">
            <w:pPr>
              <w:jc w:val="right"/>
              <w:rPr>
                <w:rFonts w:ascii="Arial" w:hAnsi="Arial" w:cs="Arial"/>
                <w:sz w:val="16"/>
                <w:szCs w:val="16"/>
              </w:rPr>
            </w:pPr>
            <w:r w:rsidRPr="00F06708">
              <w:rPr>
                <w:rFonts w:ascii="Arial" w:hAnsi="Arial" w:cs="Arial"/>
                <w:sz w:val="16"/>
                <w:szCs w:val="16"/>
              </w:rPr>
              <w:t>23</w:t>
            </w:r>
          </w:p>
        </w:tc>
        <w:tc>
          <w:tcPr>
            <w:tcW w:w="1300" w:type="dxa"/>
            <w:tcBorders>
              <w:top w:val="nil"/>
              <w:left w:val="nil"/>
              <w:bottom w:val="nil"/>
              <w:right w:val="nil"/>
            </w:tcBorders>
            <w:shd w:val="clear" w:color="auto" w:fill="auto"/>
            <w:noWrap/>
            <w:vAlign w:val="bottom"/>
          </w:tcPr>
          <w:p w:rsidR="000A05FB" w:rsidRPr="00F06708" w:rsidRDefault="003C41BA">
            <w:pPr>
              <w:jc w:val="right"/>
              <w:rPr>
                <w:rFonts w:ascii="Arial" w:hAnsi="Arial" w:cs="Arial"/>
                <w:sz w:val="16"/>
                <w:szCs w:val="16"/>
              </w:rPr>
            </w:pPr>
            <w:r w:rsidRPr="00F06708">
              <w:rPr>
                <w:rFonts w:ascii="Arial" w:hAnsi="Arial" w:cs="Arial"/>
                <w:sz w:val="16"/>
                <w:szCs w:val="16"/>
              </w:rPr>
              <w:t>-</w:t>
            </w:r>
          </w:p>
        </w:tc>
        <w:tc>
          <w:tcPr>
            <w:tcW w:w="1300" w:type="dxa"/>
            <w:tcBorders>
              <w:top w:val="nil"/>
              <w:left w:val="nil"/>
              <w:bottom w:val="nil"/>
              <w:right w:val="nil"/>
            </w:tcBorders>
            <w:shd w:val="clear" w:color="auto" w:fill="auto"/>
            <w:noWrap/>
            <w:vAlign w:val="bottom"/>
          </w:tcPr>
          <w:p w:rsidR="000A05FB" w:rsidRPr="00F06708" w:rsidRDefault="000A05FB">
            <w:pPr>
              <w:jc w:val="right"/>
              <w:rPr>
                <w:rFonts w:ascii="Arial" w:hAnsi="Arial" w:cs="Arial"/>
                <w:sz w:val="16"/>
                <w:szCs w:val="16"/>
              </w:rPr>
            </w:pPr>
            <w:r w:rsidRPr="00F06708">
              <w:rPr>
                <w:rFonts w:ascii="Arial" w:hAnsi="Arial" w:cs="Arial"/>
                <w:sz w:val="16"/>
                <w:szCs w:val="16"/>
              </w:rPr>
              <w:t>3 341</w:t>
            </w:r>
          </w:p>
        </w:tc>
      </w:tr>
      <w:tr w:rsidR="000A05FB" w:rsidRPr="00F06708" w:rsidTr="000A05FB">
        <w:trPr>
          <w:trHeight w:val="283"/>
        </w:trPr>
        <w:tc>
          <w:tcPr>
            <w:tcW w:w="3640" w:type="dxa"/>
            <w:tcBorders>
              <w:top w:val="nil"/>
              <w:left w:val="nil"/>
              <w:bottom w:val="nil"/>
              <w:right w:val="nil"/>
            </w:tcBorders>
            <w:shd w:val="clear" w:color="auto" w:fill="auto"/>
            <w:vAlign w:val="bottom"/>
            <w:hideMark/>
          </w:tcPr>
          <w:p w:rsidR="000A05FB" w:rsidRPr="00F06708" w:rsidRDefault="000A05FB" w:rsidP="00FB7083">
            <w:pPr>
              <w:rPr>
                <w:rFonts w:ascii="Arial" w:hAnsi="Arial" w:cs="Arial"/>
                <w:b/>
                <w:bCs/>
                <w:sz w:val="16"/>
                <w:szCs w:val="16"/>
              </w:rPr>
            </w:pPr>
            <w:r w:rsidRPr="00F06708">
              <w:rPr>
                <w:rFonts w:ascii="Arial" w:hAnsi="Arial" w:cs="Arial"/>
                <w:b/>
                <w:bCs/>
                <w:sz w:val="16"/>
                <w:szCs w:val="16"/>
              </w:rPr>
              <w:t>Zysk brutto ze sprzedaży</w:t>
            </w:r>
          </w:p>
        </w:tc>
        <w:tc>
          <w:tcPr>
            <w:tcW w:w="1300" w:type="dxa"/>
            <w:tcBorders>
              <w:top w:val="nil"/>
              <w:left w:val="nil"/>
              <w:bottom w:val="nil"/>
              <w:right w:val="nil"/>
            </w:tcBorders>
            <w:shd w:val="clear" w:color="auto" w:fill="auto"/>
            <w:noWrap/>
            <w:vAlign w:val="bottom"/>
          </w:tcPr>
          <w:p w:rsidR="000A05FB" w:rsidRPr="00F06708" w:rsidRDefault="000A05FB">
            <w:pPr>
              <w:jc w:val="right"/>
              <w:rPr>
                <w:rFonts w:ascii="Arial" w:hAnsi="Arial" w:cs="Arial"/>
                <w:b/>
                <w:sz w:val="16"/>
                <w:szCs w:val="16"/>
              </w:rPr>
            </w:pPr>
            <w:r w:rsidRPr="00F06708">
              <w:rPr>
                <w:rFonts w:ascii="Arial" w:hAnsi="Arial" w:cs="Arial"/>
                <w:b/>
                <w:sz w:val="16"/>
                <w:szCs w:val="16"/>
              </w:rPr>
              <w:t>5 632</w:t>
            </w:r>
          </w:p>
        </w:tc>
        <w:tc>
          <w:tcPr>
            <w:tcW w:w="1300" w:type="dxa"/>
            <w:tcBorders>
              <w:top w:val="nil"/>
              <w:left w:val="nil"/>
              <w:bottom w:val="nil"/>
              <w:right w:val="nil"/>
            </w:tcBorders>
            <w:shd w:val="clear" w:color="auto" w:fill="auto"/>
            <w:noWrap/>
            <w:vAlign w:val="bottom"/>
          </w:tcPr>
          <w:p w:rsidR="000A05FB" w:rsidRPr="00F06708" w:rsidRDefault="000A05FB">
            <w:pPr>
              <w:jc w:val="right"/>
              <w:rPr>
                <w:rFonts w:ascii="Arial" w:hAnsi="Arial" w:cs="Arial"/>
                <w:b/>
                <w:sz w:val="16"/>
                <w:szCs w:val="16"/>
              </w:rPr>
            </w:pPr>
            <w:r w:rsidRPr="00F06708">
              <w:rPr>
                <w:rFonts w:ascii="Arial" w:hAnsi="Arial" w:cs="Arial"/>
                <w:b/>
                <w:sz w:val="16"/>
                <w:szCs w:val="16"/>
              </w:rPr>
              <w:t>1 040</w:t>
            </w:r>
          </w:p>
        </w:tc>
        <w:tc>
          <w:tcPr>
            <w:tcW w:w="1300" w:type="dxa"/>
            <w:tcBorders>
              <w:top w:val="nil"/>
              <w:left w:val="nil"/>
              <w:bottom w:val="nil"/>
              <w:right w:val="nil"/>
            </w:tcBorders>
            <w:shd w:val="clear" w:color="auto" w:fill="auto"/>
            <w:noWrap/>
            <w:vAlign w:val="bottom"/>
          </w:tcPr>
          <w:p w:rsidR="000A05FB" w:rsidRPr="00F06708" w:rsidRDefault="003C41BA">
            <w:pPr>
              <w:jc w:val="right"/>
              <w:rPr>
                <w:rFonts w:ascii="Arial" w:hAnsi="Arial" w:cs="Arial"/>
                <w:b/>
                <w:sz w:val="16"/>
                <w:szCs w:val="16"/>
              </w:rPr>
            </w:pPr>
            <w:r w:rsidRPr="00F06708">
              <w:rPr>
                <w:rFonts w:ascii="Arial" w:hAnsi="Arial" w:cs="Arial"/>
                <w:b/>
                <w:sz w:val="16"/>
                <w:szCs w:val="16"/>
              </w:rPr>
              <w:t>-</w:t>
            </w:r>
          </w:p>
        </w:tc>
        <w:tc>
          <w:tcPr>
            <w:tcW w:w="1300" w:type="dxa"/>
            <w:tcBorders>
              <w:top w:val="nil"/>
              <w:left w:val="nil"/>
              <w:bottom w:val="nil"/>
              <w:right w:val="nil"/>
            </w:tcBorders>
            <w:shd w:val="clear" w:color="auto" w:fill="auto"/>
            <w:noWrap/>
            <w:vAlign w:val="bottom"/>
          </w:tcPr>
          <w:p w:rsidR="000A05FB" w:rsidRPr="00F06708" w:rsidRDefault="000A05FB" w:rsidP="001120DD">
            <w:pPr>
              <w:jc w:val="right"/>
              <w:rPr>
                <w:rFonts w:ascii="Arial" w:hAnsi="Arial" w:cs="Arial"/>
                <w:b/>
                <w:sz w:val="16"/>
                <w:szCs w:val="16"/>
              </w:rPr>
            </w:pPr>
            <w:r w:rsidRPr="00F06708">
              <w:rPr>
                <w:rFonts w:ascii="Arial" w:hAnsi="Arial" w:cs="Arial"/>
                <w:b/>
                <w:sz w:val="16"/>
                <w:szCs w:val="16"/>
              </w:rPr>
              <w:t>6 67</w:t>
            </w:r>
            <w:r w:rsidR="001120DD" w:rsidRPr="00F06708">
              <w:rPr>
                <w:rFonts w:ascii="Arial" w:hAnsi="Arial" w:cs="Arial"/>
                <w:b/>
                <w:sz w:val="16"/>
                <w:szCs w:val="16"/>
              </w:rPr>
              <w:t>3</w:t>
            </w:r>
          </w:p>
        </w:tc>
      </w:tr>
      <w:tr w:rsidR="000A05FB" w:rsidRPr="00F06708" w:rsidTr="000A05FB">
        <w:trPr>
          <w:trHeight w:val="283"/>
        </w:trPr>
        <w:tc>
          <w:tcPr>
            <w:tcW w:w="3640" w:type="dxa"/>
            <w:tcBorders>
              <w:top w:val="nil"/>
              <w:left w:val="nil"/>
              <w:bottom w:val="nil"/>
              <w:right w:val="nil"/>
            </w:tcBorders>
            <w:shd w:val="clear" w:color="auto" w:fill="auto"/>
            <w:vAlign w:val="bottom"/>
            <w:hideMark/>
          </w:tcPr>
          <w:p w:rsidR="000A05FB" w:rsidRPr="00F06708" w:rsidRDefault="000A05FB" w:rsidP="00FB7083">
            <w:pPr>
              <w:rPr>
                <w:rFonts w:ascii="Arial" w:hAnsi="Arial" w:cs="Arial"/>
                <w:sz w:val="16"/>
                <w:szCs w:val="16"/>
              </w:rPr>
            </w:pPr>
            <w:r w:rsidRPr="00F06708">
              <w:rPr>
                <w:rFonts w:ascii="Arial" w:hAnsi="Arial" w:cs="Arial"/>
                <w:sz w:val="16"/>
                <w:szCs w:val="16"/>
              </w:rPr>
              <w:t>Koszty sprzedaży i zarządu</w:t>
            </w:r>
          </w:p>
        </w:tc>
        <w:tc>
          <w:tcPr>
            <w:tcW w:w="1300" w:type="dxa"/>
            <w:tcBorders>
              <w:top w:val="nil"/>
              <w:left w:val="nil"/>
              <w:bottom w:val="nil"/>
              <w:right w:val="nil"/>
            </w:tcBorders>
            <w:shd w:val="clear" w:color="auto" w:fill="auto"/>
            <w:noWrap/>
            <w:vAlign w:val="bottom"/>
          </w:tcPr>
          <w:p w:rsidR="000A05FB" w:rsidRPr="00F06708" w:rsidRDefault="000A05FB">
            <w:pPr>
              <w:jc w:val="right"/>
              <w:rPr>
                <w:rFonts w:ascii="Arial" w:hAnsi="Arial" w:cs="Arial"/>
                <w:sz w:val="16"/>
                <w:szCs w:val="16"/>
              </w:rPr>
            </w:pPr>
          </w:p>
        </w:tc>
        <w:tc>
          <w:tcPr>
            <w:tcW w:w="1300" w:type="dxa"/>
            <w:tcBorders>
              <w:top w:val="nil"/>
              <w:left w:val="nil"/>
              <w:bottom w:val="nil"/>
              <w:right w:val="nil"/>
            </w:tcBorders>
            <w:shd w:val="clear" w:color="auto" w:fill="auto"/>
            <w:noWrap/>
            <w:vAlign w:val="bottom"/>
          </w:tcPr>
          <w:p w:rsidR="000A05FB" w:rsidRPr="00F06708" w:rsidRDefault="000A05FB">
            <w:pPr>
              <w:jc w:val="right"/>
              <w:rPr>
                <w:rFonts w:ascii="Arial" w:hAnsi="Arial" w:cs="Arial"/>
                <w:sz w:val="16"/>
                <w:szCs w:val="16"/>
              </w:rPr>
            </w:pPr>
          </w:p>
        </w:tc>
        <w:tc>
          <w:tcPr>
            <w:tcW w:w="1300" w:type="dxa"/>
            <w:tcBorders>
              <w:top w:val="nil"/>
              <w:left w:val="nil"/>
              <w:bottom w:val="nil"/>
              <w:right w:val="nil"/>
            </w:tcBorders>
            <w:shd w:val="clear" w:color="000000" w:fill="FFFFFF"/>
            <w:noWrap/>
            <w:vAlign w:val="bottom"/>
          </w:tcPr>
          <w:p w:rsidR="000A05FB" w:rsidRPr="00F06708" w:rsidRDefault="000A05FB">
            <w:pPr>
              <w:jc w:val="right"/>
              <w:rPr>
                <w:rFonts w:ascii="Arial" w:hAnsi="Arial" w:cs="Arial"/>
                <w:sz w:val="16"/>
                <w:szCs w:val="16"/>
              </w:rPr>
            </w:pPr>
            <w:r w:rsidRPr="00F06708">
              <w:rPr>
                <w:rFonts w:ascii="Arial" w:hAnsi="Arial" w:cs="Arial"/>
                <w:sz w:val="16"/>
                <w:szCs w:val="16"/>
              </w:rPr>
              <w:t>5 349</w:t>
            </w:r>
          </w:p>
        </w:tc>
        <w:tc>
          <w:tcPr>
            <w:tcW w:w="1300" w:type="dxa"/>
            <w:tcBorders>
              <w:top w:val="nil"/>
              <w:left w:val="nil"/>
              <w:bottom w:val="nil"/>
              <w:right w:val="nil"/>
            </w:tcBorders>
            <w:shd w:val="clear" w:color="auto" w:fill="auto"/>
            <w:noWrap/>
            <w:vAlign w:val="bottom"/>
          </w:tcPr>
          <w:p w:rsidR="000A05FB" w:rsidRPr="00F06708" w:rsidRDefault="000A05FB">
            <w:pPr>
              <w:jc w:val="right"/>
              <w:rPr>
                <w:rFonts w:ascii="Arial" w:hAnsi="Arial" w:cs="Arial"/>
                <w:sz w:val="16"/>
                <w:szCs w:val="16"/>
              </w:rPr>
            </w:pPr>
            <w:r w:rsidRPr="00F06708">
              <w:rPr>
                <w:rFonts w:ascii="Arial" w:hAnsi="Arial" w:cs="Arial"/>
                <w:sz w:val="16"/>
                <w:szCs w:val="16"/>
              </w:rPr>
              <w:t>5 349</w:t>
            </w:r>
          </w:p>
        </w:tc>
      </w:tr>
      <w:tr w:rsidR="000A05FB" w:rsidRPr="00F06708" w:rsidTr="000A05FB">
        <w:trPr>
          <w:trHeight w:val="283"/>
        </w:trPr>
        <w:tc>
          <w:tcPr>
            <w:tcW w:w="3640" w:type="dxa"/>
            <w:tcBorders>
              <w:top w:val="nil"/>
              <w:left w:val="nil"/>
              <w:bottom w:val="nil"/>
              <w:right w:val="nil"/>
            </w:tcBorders>
            <w:shd w:val="clear" w:color="auto" w:fill="auto"/>
            <w:vAlign w:val="bottom"/>
            <w:hideMark/>
          </w:tcPr>
          <w:p w:rsidR="000A05FB" w:rsidRPr="00F06708" w:rsidRDefault="000A05FB" w:rsidP="00FB7083">
            <w:pPr>
              <w:rPr>
                <w:rFonts w:ascii="Arial" w:hAnsi="Arial" w:cs="Arial"/>
                <w:sz w:val="16"/>
                <w:szCs w:val="16"/>
              </w:rPr>
            </w:pPr>
            <w:r w:rsidRPr="00F06708">
              <w:rPr>
                <w:rFonts w:ascii="Arial" w:hAnsi="Arial" w:cs="Arial"/>
                <w:sz w:val="16"/>
                <w:szCs w:val="16"/>
              </w:rPr>
              <w:t>w tym amortyzacja</w:t>
            </w:r>
          </w:p>
        </w:tc>
        <w:tc>
          <w:tcPr>
            <w:tcW w:w="1300" w:type="dxa"/>
            <w:tcBorders>
              <w:top w:val="nil"/>
              <w:left w:val="nil"/>
              <w:bottom w:val="nil"/>
              <w:right w:val="nil"/>
            </w:tcBorders>
            <w:shd w:val="clear" w:color="auto" w:fill="auto"/>
            <w:noWrap/>
            <w:vAlign w:val="bottom"/>
          </w:tcPr>
          <w:p w:rsidR="000A05FB" w:rsidRPr="00F06708" w:rsidRDefault="000A05FB">
            <w:pPr>
              <w:rPr>
                <w:rFonts w:ascii="Arial" w:hAnsi="Arial" w:cs="Arial"/>
                <w:sz w:val="16"/>
                <w:szCs w:val="16"/>
              </w:rPr>
            </w:pPr>
          </w:p>
        </w:tc>
        <w:tc>
          <w:tcPr>
            <w:tcW w:w="1300" w:type="dxa"/>
            <w:tcBorders>
              <w:top w:val="nil"/>
              <w:left w:val="nil"/>
              <w:bottom w:val="nil"/>
              <w:right w:val="nil"/>
            </w:tcBorders>
            <w:shd w:val="clear" w:color="auto" w:fill="auto"/>
            <w:noWrap/>
            <w:vAlign w:val="bottom"/>
          </w:tcPr>
          <w:p w:rsidR="000A05FB" w:rsidRPr="00F06708" w:rsidRDefault="000A05FB">
            <w:pPr>
              <w:rPr>
                <w:rFonts w:ascii="Arial" w:hAnsi="Arial" w:cs="Arial"/>
                <w:sz w:val="16"/>
                <w:szCs w:val="16"/>
              </w:rPr>
            </w:pPr>
          </w:p>
        </w:tc>
        <w:tc>
          <w:tcPr>
            <w:tcW w:w="1300" w:type="dxa"/>
            <w:tcBorders>
              <w:top w:val="nil"/>
              <w:left w:val="nil"/>
              <w:bottom w:val="nil"/>
              <w:right w:val="nil"/>
            </w:tcBorders>
            <w:shd w:val="clear" w:color="auto" w:fill="auto"/>
            <w:noWrap/>
            <w:vAlign w:val="bottom"/>
          </w:tcPr>
          <w:p w:rsidR="000A05FB" w:rsidRPr="00F06708" w:rsidRDefault="000A05FB">
            <w:pPr>
              <w:jc w:val="right"/>
              <w:rPr>
                <w:rFonts w:ascii="Arial" w:hAnsi="Arial" w:cs="Arial"/>
                <w:sz w:val="16"/>
                <w:szCs w:val="16"/>
              </w:rPr>
            </w:pPr>
            <w:r w:rsidRPr="00F06708">
              <w:rPr>
                <w:rFonts w:ascii="Arial" w:hAnsi="Arial" w:cs="Arial"/>
                <w:sz w:val="16"/>
                <w:szCs w:val="16"/>
              </w:rPr>
              <w:t>3</w:t>
            </w:r>
          </w:p>
        </w:tc>
        <w:tc>
          <w:tcPr>
            <w:tcW w:w="1300" w:type="dxa"/>
            <w:tcBorders>
              <w:top w:val="nil"/>
              <w:left w:val="nil"/>
              <w:bottom w:val="nil"/>
              <w:right w:val="nil"/>
            </w:tcBorders>
            <w:shd w:val="clear" w:color="auto" w:fill="auto"/>
            <w:noWrap/>
            <w:vAlign w:val="bottom"/>
          </w:tcPr>
          <w:p w:rsidR="000A05FB" w:rsidRPr="00F06708" w:rsidRDefault="000A05FB">
            <w:pPr>
              <w:jc w:val="right"/>
              <w:rPr>
                <w:rFonts w:ascii="Arial" w:hAnsi="Arial" w:cs="Arial"/>
                <w:sz w:val="16"/>
                <w:szCs w:val="16"/>
              </w:rPr>
            </w:pPr>
            <w:r w:rsidRPr="00F06708">
              <w:rPr>
                <w:rFonts w:ascii="Arial" w:hAnsi="Arial" w:cs="Arial"/>
                <w:sz w:val="16"/>
                <w:szCs w:val="16"/>
              </w:rPr>
              <w:t>3</w:t>
            </w:r>
          </w:p>
        </w:tc>
      </w:tr>
      <w:tr w:rsidR="000A05FB" w:rsidRPr="00F06708" w:rsidTr="000A05FB">
        <w:trPr>
          <w:trHeight w:val="283"/>
        </w:trPr>
        <w:tc>
          <w:tcPr>
            <w:tcW w:w="3640" w:type="dxa"/>
            <w:tcBorders>
              <w:top w:val="nil"/>
              <w:left w:val="nil"/>
              <w:bottom w:val="nil"/>
              <w:right w:val="nil"/>
            </w:tcBorders>
            <w:shd w:val="clear" w:color="auto" w:fill="auto"/>
            <w:vAlign w:val="bottom"/>
            <w:hideMark/>
          </w:tcPr>
          <w:p w:rsidR="000A05FB" w:rsidRPr="00F06708" w:rsidRDefault="000A05FB" w:rsidP="00FB7083">
            <w:pPr>
              <w:rPr>
                <w:rFonts w:ascii="Arial" w:hAnsi="Arial" w:cs="Arial"/>
                <w:sz w:val="16"/>
                <w:szCs w:val="16"/>
              </w:rPr>
            </w:pPr>
            <w:r w:rsidRPr="00F06708">
              <w:rPr>
                <w:rFonts w:ascii="Arial" w:hAnsi="Arial" w:cs="Arial"/>
                <w:sz w:val="16"/>
                <w:szCs w:val="16"/>
              </w:rPr>
              <w:t>Saldo pozostałych przychodów i kosztów operacyjnych</w:t>
            </w:r>
          </w:p>
        </w:tc>
        <w:tc>
          <w:tcPr>
            <w:tcW w:w="1300" w:type="dxa"/>
            <w:tcBorders>
              <w:top w:val="nil"/>
              <w:left w:val="nil"/>
              <w:bottom w:val="nil"/>
              <w:right w:val="nil"/>
            </w:tcBorders>
            <w:shd w:val="clear" w:color="auto" w:fill="auto"/>
            <w:noWrap/>
            <w:vAlign w:val="bottom"/>
          </w:tcPr>
          <w:p w:rsidR="000A05FB" w:rsidRPr="00F06708" w:rsidRDefault="000A05FB">
            <w:pPr>
              <w:jc w:val="right"/>
              <w:rPr>
                <w:rFonts w:ascii="Arial" w:hAnsi="Arial" w:cs="Arial"/>
                <w:sz w:val="16"/>
                <w:szCs w:val="16"/>
              </w:rPr>
            </w:pPr>
          </w:p>
        </w:tc>
        <w:tc>
          <w:tcPr>
            <w:tcW w:w="1300" w:type="dxa"/>
            <w:tcBorders>
              <w:top w:val="nil"/>
              <w:left w:val="nil"/>
              <w:bottom w:val="nil"/>
              <w:right w:val="nil"/>
            </w:tcBorders>
            <w:shd w:val="clear" w:color="auto" w:fill="auto"/>
            <w:noWrap/>
            <w:vAlign w:val="bottom"/>
          </w:tcPr>
          <w:p w:rsidR="000A05FB" w:rsidRPr="00F06708" w:rsidRDefault="000A05FB">
            <w:pPr>
              <w:jc w:val="right"/>
              <w:rPr>
                <w:rFonts w:ascii="Arial" w:hAnsi="Arial" w:cs="Arial"/>
                <w:sz w:val="16"/>
                <w:szCs w:val="16"/>
              </w:rPr>
            </w:pPr>
          </w:p>
        </w:tc>
        <w:tc>
          <w:tcPr>
            <w:tcW w:w="1300" w:type="dxa"/>
            <w:tcBorders>
              <w:top w:val="nil"/>
              <w:left w:val="nil"/>
              <w:bottom w:val="nil"/>
              <w:right w:val="nil"/>
            </w:tcBorders>
            <w:shd w:val="clear" w:color="000000" w:fill="FFFFFF"/>
            <w:noWrap/>
            <w:vAlign w:val="bottom"/>
          </w:tcPr>
          <w:p w:rsidR="000A05FB" w:rsidRPr="00F06708" w:rsidRDefault="000A05FB">
            <w:pPr>
              <w:jc w:val="right"/>
              <w:rPr>
                <w:rFonts w:ascii="Arial" w:hAnsi="Arial" w:cs="Arial"/>
                <w:sz w:val="16"/>
                <w:szCs w:val="16"/>
              </w:rPr>
            </w:pPr>
            <w:r w:rsidRPr="00F06708">
              <w:rPr>
                <w:rFonts w:ascii="Arial" w:hAnsi="Arial" w:cs="Arial"/>
                <w:sz w:val="16"/>
                <w:szCs w:val="16"/>
              </w:rPr>
              <w:t>2 632</w:t>
            </w:r>
          </w:p>
        </w:tc>
        <w:tc>
          <w:tcPr>
            <w:tcW w:w="1300" w:type="dxa"/>
            <w:tcBorders>
              <w:top w:val="nil"/>
              <w:left w:val="nil"/>
              <w:bottom w:val="nil"/>
              <w:right w:val="nil"/>
            </w:tcBorders>
            <w:shd w:val="clear" w:color="auto" w:fill="auto"/>
            <w:noWrap/>
            <w:vAlign w:val="bottom"/>
          </w:tcPr>
          <w:p w:rsidR="000A05FB" w:rsidRPr="00F06708" w:rsidRDefault="000A05FB">
            <w:pPr>
              <w:jc w:val="right"/>
              <w:rPr>
                <w:rFonts w:ascii="Arial" w:hAnsi="Arial" w:cs="Arial"/>
                <w:sz w:val="16"/>
                <w:szCs w:val="16"/>
              </w:rPr>
            </w:pPr>
            <w:r w:rsidRPr="00F06708">
              <w:rPr>
                <w:rFonts w:ascii="Arial" w:hAnsi="Arial" w:cs="Arial"/>
                <w:sz w:val="16"/>
                <w:szCs w:val="16"/>
              </w:rPr>
              <w:t>2 632</w:t>
            </w:r>
          </w:p>
        </w:tc>
      </w:tr>
      <w:tr w:rsidR="000A05FB" w:rsidRPr="00F06708" w:rsidTr="000A05FB">
        <w:trPr>
          <w:trHeight w:val="283"/>
        </w:trPr>
        <w:tc>
          <w:tcPr>
            <w:tcW w:w="3640" w:type="dxa"/>
            <w:tcBorders>
              <w:top w:val="nil"/>
              <w:left w:val="nil"/>
              <w:bottom w:val="nil"/>
              <w:right w:val="nil"/>
            </w:tcBorders>
            <w:shd w:val="clear" w:color="auto" w:fill="auto"/>
            <w:vAlign w:val="bottom"/>
            <w:hideMark/>
          </w:tcPr>
          <w:p w:rsidR="000A05FB" w:rsidRPr="00F06708" w:rsidRDefault="000A05FB" w:rsidP="00FB7083">
            <w:pPr>
              <w:rPr>
                <w:rFonts w:ascii="Arial" w:hAnsi="Arial" w:cs="Arial"/>
                <w:b/>
                <w:bCs/>
                <w:sz w:val="16"/>
                <w:szCs w:val="16"/>
              </w:rPr>
            </w:pPr>
            <w:r w:rsidRPr="00F06708">
              <w:rPr>
                <w:rFonts w:ascii="Arial" w:hAnsi="Arial" w:cs="Arial"/>
                <w:b/>
                <w:bCs/>
                <w:sz w:val="16"/>
                <w:szCs w:val="16"/>
              </w:rPr>
              <w:t>Zysk operacyjny</w:t>
            </w:r>
          </w:p>
        </w:tc>
        <w:tc>
          <w:tcPr>
            <w:tcW w:w="1300" w:type="dxa"/>
            <w:tcBorders>
              <w:top w:val="nil"/>
              <w:left w:val="nil"/>
              <w:bottom w:val="nil"/>
              <w:right w:val="nil"/>
            </w:tcBorders>
            <w:shd w:val="clear" w:color="auto" w:fill="auto"/>
            <w:noWrap/>
            <w:vAlign w:val="bottom"/>
          </w:tcPr>
          <w:p w:rsidR="000A05FB" w:rsidRPr="00F06708" w:rsidRDefault="000A05FB">
            <w:pPr>
              <w:jc w:val="right"/>
              <w:rPr>
                <w:rFonts w:ascii="Arial" w:hAnsi="Arial" w:cs="Arial"/>
                <w:b/>
                <w:sz w:val="16"/>
                <w:szCs w:val="16"/>
              </w:rPr>
            </w:pPr>
            <w:r w:rsidRPr="00F06708">
              <w:rPr>
                <w:rFonts w:ascii="Arial" w:hAnsi="Arial" w:cs="Arial"/>
                <w:b/>
                <w:sz w:val="16"/>
                <w:szCs w:val="16"/>
              </w:rPr>
              <w:t>5 632</w:t>
            </w:r>
          </w:p>
        </w:tc>
        <w:tc>
          <w:tcPr>
            <w:tcW w:w="1300" w:type="dxa"/>
            <w:tcBorders>
              <w:top w:val="nil"/>
              <w:left w:val="nil"/>
              <w:bottom w:val="nil"/>
              <w:right w:val="nil"/>
            </w:tcBorders>
            <w:shd w:val="clear" w:color="auto" w:fill="auto"/>
            <w:noWrap/>
            <w:vAlign w:val="bottom"/>
          </w:tcPr>
          <w:p w:rsidR="000A05FB" w:rsidRPr="00F06708" w:rsidRDefault="000A05FB">
            <w:pPr>
              <w:jc w:val="right"/>
              <w:rPr>
                <w:rFonts w:ascii="Arial" w:hAnsi="Arial" w:cs="Arial"/>
                <w:b/>
                <w:sz w:val="16"/>
                <w:szCs w:val="16"/>
              </w:rPr>
            </w:pPr>
            <w:r w:rsidRPr="00F06708">
              <w:rPr>
                <w:rFonts w:ascii="Arial" w:hAnsi="Arial" w:cs="Arial"/>
                <w:b/>
                <w:sz w:val="16"/>
                <w:szCs w:val="16"/>
              </w:rPr>
              <w:t>1 040</w:t>
            </w:r>
          </w:p>
        </w:tc>
        <w:tc>
          <w:tcPr>
            <w:tcW w:w="1300" w:type="dxa"/>
            <w:tcBorders>
              <w:top w:val="nil"/>
              <w:left w:val="nil"/>
              <w:bottom w:val="nil"/>
              <w:right w:val="nil"/>
            </w:tcBorders>
            <w:shd w:val="clear" w:color="auto" w:fill="auto"/>
            <w:noWrap/>
            <w:vAlign w:val="bottom"/>
          </w:tcPr>
          <w:p w:rsidR="000A05FB" w:rsidRPr="00F06708" w:rsidRDefault="000A05FB">
            <w:pPr>
              <w:jc w:val="right"/>
              <w:rPr>
                <w:rFonts w:ascii="Arial" w:hAnsi="Arial" w:cs="Arial"/>
                <w:b/>
                <w:sz w:val="16"/>
                <w:szCs w:val="16"/>
              </w:rPr>
            </w:pPr>
            <w:r w:rsidRPr="00F06708">
              <w:rPr>
                <w:rFonts w:ascii="Arial" w:hAnsi="Arial" w:cs="Arial"/>
                <w:b/>
                <w:sz w:val="16"/>
                <w:szCs w:val="16"/>
              </w:rPr>
              <w:t>-2 717</w:t>
            </w:r>
          </w:p>
        </w:tc>
        <w:tc>
          <w:tcPr>
            <w:tcW w:w="1300" w:type="dxa"/>
            <w:tcBorders>
              <w:top w:val="nil"/>
              <w:left w:val="nil"/>
              <w:bottom w:val="nil"/>
              <w:right w:val="nil"/>
            </w:tcBorders>
            <w:shd w:val="clear" w:color="auto" w:fill="auto"/>
            <w:noWrap/>
            <w:vAlign w:val="bottom"/>
          </w:tcPr>
          <w:p w:rsidR="000A05FB" w:rsidRPr="00F06708" w:rsidRDefault="000A05FB">
            <w:pPr>
              <w:jc w:val="right"/>
              <w:rPr>
                <w:rFonts w:ascii="Arial" w:hAnsi="Arial" w:cs="Arial"/>
                <w:b/>
                <w:sz w:val="16"/>
                <w:szCs w:val="16"/>
              </w:rPr>
            </w:pPr>
            <w:r w:rsidRPr="00F06708">
              <w:rPr>
                <w:rFonts w:ascii="Arial" w:hAnsi="Arial" w:cs="Arial"/>
                <w:b/>
                <w:sz w:val="16"/>
                <w:szCs w:val="16"/>
              </w:rPr>
              <w:t>3 956</w:t>
            </w:r>
          </w:p>
        </w:tc>
      </w:tr>
      <w:tr w:rsidR="000A05FB" w:rsidRPr="00F06708" w:rsidTr="000A05FB">
        <w:trPr>
          <w:trHeight w:val="283"/>
        </w:trPr>
        <w:tc>
          <w:tcPr>
            <w:tcW w:w="3640" w:type="dxa"/>
            <w:tcBorders>
              <w:top w:val="nil"/>
              <w:left w:val="nil"/>
              <w:bottom w:val="nil"/>
              <w:right w:val="nil"/>
            </w:tcBorders>
            <w:shd w:val="clear" w:color="auto" w:fill="auto"/>
            <w:vAlign w:val="bottom"/>
            <w:hideMark/>
          </w:tcPr>
          <w:p w:rsidR="000A05FB" w:rsidRPr="00F06708" w:rsidRDefault="000A05FB" w:rsidP="00FB7083">
            <w:pPr>
              <w:rPr>
                <w:rFonts w:ascii="Arial" w:hAnsi="Arial" w:cs="Arial"/>
                <w:sz w:val="16"/>
                <w:szCs w:val="16"/>
              </w:rPr>
            </w:pPr>
            <w:r w:rsidRPr="00F06708">
              <w:rPr>
                <w:rFonts w:ascii="Arial" w:hAnsi="Arial" w:cs="Arial"/>
                <w:sz w:val="16"/>
                <w:szCs w:val="16"/>
              </w:rPr>
              <w:t>Saldo przychodów i kosztów finansowych</w:t>
            </w:r>
          </w:p>
        </w:tc>
        <w:tc>
          <w:tcPr>
            <w:tcW w:w="1300" w:type="dxa"/>
            <w:tcBorders>
              <w:top w:val="nil"/>
              <w:left w:val="nil"/>
              <w:bottom w:val="nil"/>
              <w:right w:val="nil"/>
            </w:tcBorders>
            <w:shd w:val="clear" w:color="auto" w:fill="auto"/>
            <w:noWrap/>
            <w:vAlign w:val="bottom"/>
          </w:tcPr>
          <w:p w:rsidR="000A05FB" w:rsidRPr="00F06708" w:rsidRDefault="000A05FB">
            <w:pPr>
              <w:jc w:val="right"/>
              <w:rPr>
                <w:rFonts w:ascii="Arial" w:hAnsi="Arial" w:cs="Arial"/>
                <w:sz w:val="16"/>
                <w:szCs w:val="16"/>
              </w:rPr>
            </w:pPr>
          </w:p>
        </w:tc>
        <w:tc>
          <w:tcPr>
            <w:tcW w:w="1300" w:type="dxa"/>
            <w:tcBorders>
              <w:top w:val="nil"/>
              <w:left w:val="nil"/>
              <w:bottom w:val="nil"/>
              <w:right w:val="nil"/>
            </w:tcBorders>
            <w:shd w:val="clear" w:color="auto" w:fill="auto"/>
            <w:noWrap/>
            <w:vAlign w:val="bottom"/>
          </w:tcPr>
          <w:p w:rsidR="000A05FB" w:rsidRPr="00F06708" w:rsidRDefault="000A05FB">
            <w:pPr>
              <w:jc w:val="right"/>
              <w:rPr>
                <w:rFonts w:ascii="Arial" w:hAnsi="Arial" w:cs="Arial"/>
                <w:sz w:val="16"/>
                <w:szCs w:val="16"/>
              </w:rPr>
            </w:pPr>
          </w:p>
        </w:tc>
        <w:tc>
          <w:tcPr>
            <w:tcW w:w="1300" w:type="dxa"/>
            <w:tcBorders>
              <w:top w:val="nil"/>
              <w:left w:val="nil"/>
              <w:bottom w:val="nil"/>
              <w:right w:val="nil"/>
            </w:tcBorders>
            <w:shd w:val="clear" w:color="auto" w:fill="auto"/>
            <w:noWrap/>
            <w:vAlign w:val="bottom"/>
          </w:tcPr>
          <w:p w:rsidR="000A05FB" w:rsidRPr="00F06708" w:rsidRDefault="000A05FB">
            <w:pPr>
              <w:jc w:val="right"/>
              <w:rPr>
                <w:rFonts w:ascii="Arial" w:hAnsi="Arial" w:cs="Arial"/>
                <w:sz w:val="16"/>
                <w:szCs w:val="16"/>
              </w:rPr>
            </w:pPr>
            <w:r w:rsidRPr="00F06708">
              <w:rPr>
                <w:rFonts w:ascii="Arial" w:hAnsi="Arial" w:cs="Arial"/>
                <w:sz w:val="16"/>
                <w:szCs w:val="16"/>
              </w:rPr>
              <w:t>-616</w:t>
            </w:r>
          </w:p>
        </w:tc>
        <w:tc>
          <w:tcPr>
            <w:tcW w:w="1300" w:type="dxa"/>
            <w:tcBorders>
              <w:top w:val="nil"/>
              <w:left w:val="nil"/>
              <w:bottom w:val="nil"/>
              <w:right w:val="nil"/>
            </w:tcBorders>
            <w:shd w:val="clear" w:color="auto" w:fill="auto"/>
            <w:noWrap/>
            <w:vAlign w:val="bottom"/>
          </w:tcPr>
          <w:p w:rsidR="000A05FB" w:rsidRPr="00F06708" w:rsidRDefault="000A05FB">
            <w:pPr>
              <w:jc w:val="right"/>
              <w:rPr>
                <w:rFonts w:ascii="Arial" w:hAnsi="Arial" w:cs="Arial"/>
                <w:sz w:val="16"/>
                <w:szCs w:val="16"/>
              </w:rPr>
            </w:pPr>
            <w:r w:rsidRPr="00F06708">
              <w:rPr>
                <w:rFonts w:ascii="Arial" w:hAnsi="Arial" w:cs="Arial"/>
                <w:sz w:val="16"/>
                <w:szCs w:val="16"/>
              </w:rPr>
              <w:t>-616</w:t>
            </w:r>
          </w:p>
        </w:tc>
      </w:tr>
      <w:tr w:rsidR="000A05FB" w:rsidRPr="00F06708" w:rsidTr="000A05FB">
        <w:trPr>
          <w:trHeight w:val="283"/>
        </w:trPr>
        <w:tc>
          <w:tcPr>
            <w:tcW w:w="3640" w:type="dxa"/>
            <w:tcBorders>
              <w:top w:val="nil"/>
              <w:left w:val="nil"/>
              <w:bottom w:val="nil"/>
              <w:right w:val="nil"/>
            </w:tcBorders>
            <w:shd w:val="clear" w:color="auto" w:fill="auto"/>
            <w:vAlign w:val="bottom"/>
            <w:hideMark/>
          </w:tcPr>
          <w:p w:rsidR="000A05FB" w:rsidRPr="00F06708" w:rsidRDefault="000A05FB" w:rsidP="00FB7083">
            <w:pPr>
              <w:rPr>
                <w:rFonts w:ascii="Arial" w:hAnsi="Arial" w:cs="Arial"/>
                <w:b/>
                <w:bCs/>
                <w:sz w:val="16"/>
                <w:szCs w:val="16"/>
              </w:rPr>
            </w:pPr>
            <w:r w:rsidRPr="00F06708">
              <w:rPr>
                <w:rFonts w:ascii="Arial" w:hAnsi="Arial" w:cs="Arial"/>
                <w:b/>
                <w:bCs/>
                <w:sz w:val="16"/>
                <w:szCs w:val="16"/>
              </w:rPr>
              <w:t>Zysk  przed opodatkowaniem</w:t>
            </w:r>
          </w:p>
        </w:tc>
        <w:tc>
          <w:tcPr>
            <w:tcW w:w="1300" w:type="dxa"/>
            <w:tcBorders>
              <w:top w:val="nil"/>
              <w:left w:val="nil"/>
              <w:bottom w:val="nil"/>
              <w:right w:val="nil"/>
            </w:tcBorders>
            <w:shd w:val="clear" w:color="auto" w:fill="auto"/>
            <w:noWrap/>
            <w:vAlign w:val="bottom"/>
          </w:tcPr>
          <w:p w:rsidR="000A05FB" w:rsidRPr="00F06708" w:rsidRDefault="000A05FB">
            <w:pPr>
              <w:jc w:val="right"/>
              <w:rPr>
                <w:rFonts w:ascii="Arial" w:hAnsi="Arial" w:cs="Arial"/>
                <w:b/>
                <w:sz w:val="16"/>
                <w:szCs w:val="16"/>
              </w:rPr>
            </w:pPr>
            <w:r w:rsidRPr="00F06708">
              <w:rPr>
                <w:rFonts w:ascii="Arial" w:hAnsi="Arial" w:cs="Arial"/>
                <w:b/>
                <w:sz w:val="16"/>
                <w:szCs w:val="16"/>
              </w:rPr>
              <w:t>5 632</w:t>
            </w:r>
          </w:p>
        </w:tc>
        <w:tc>
          <w:tcPr>
            <w:tcW w:w="1300" w:type="dxa"/>
            <w:tcBorders>
              <w:top w:val="nil"/>
              <w:left w:val="nil"/>
              <w:bottom w:val="nil"/>
              <w:right w:val="nil"/>
            </w:tcBorders>
            <w:shd w:val="clear" w:color="auto" w:fill="auto"/>
            <w:noWrap/>
            <w:vAlign w:val="bottom"/>
          </w:tcPr>
          <w:p w:rsidR="000A05FB" w:rsidRPr="00F06708" w:rsidRDefault="000A05FB">
            <w:pPr>
              <w:jc w:val="right"/>
              <w:rPr>
                <w:rFonts w:ascii="Arial" w:hAnsi="Arial" w:cs="Arial"/>
                <w:b/>
                <w:sz w:val="16"/>
                <w:szCs w:val="16"/>
              </w:rPr>
            </w:pPr>
            <w:r w:rsidRPr="00F06708">
              <w:rPr>
                <w:rFonts w:ascii="Arial" w:hAnsi="Arial" w:cs="Arial"/>
                <w:b/>
                <w:sz w:val="16"/>
                <w:szCs w:val="16"/>
              </w:rPr>
              <w:t>1 040</w:t>
            </w:r>
          </w:p>
        </w:tc>
        <w:tc>
          <w:tcPr>
            <w:tcW w:w="1300" w:type="dxa"/>
            <w:tcBorders>
              <w:top w:val="nil"/>
              <w:left w:val="nil"/>
              <w:bottom w:val="nil"/>
              <w:right w:val="nil"/>
            </w:tcBorders>
            <w:shd w:val="clear" w:color="auto" w:fill="auto"/>
            <w:noWrap/>
            <w:vAlign w:val="bottom"/>
          </w:tcPr>
          <w:p w:rsidR="000A05FB" w:rsidRPr="00F06708" w:rsidRDefault="000A05FB">
            <w:pPr>
              <w:jc w:val="right"/>
              <w:rPr>
                <w:rFonts w:ascii="Arial" w:hAnsi="Arial" w:cs="Arial"/>
                <w:b/>
                <w:sz w:val="16"/>
                <w:szCs w:val="16"/>
              </w:rPr>
            </w:pPr>
            <w:r w:rsidRPr="00F06708">
              <w:rPr>
                <w:rFonts w:ascii="Arial" w:hAnsi="Arial" w:cs="Arial"/>
                <w:b/>
                <w:sz w:val="16"/>
                <w:szCs w:val="16"/>
              </w:rPr>
              <w:t>-3 332</w:t>
            </w:r>
          </w:p>
        </w:tc>
        <w:tc>
          <w:tcPr>
            <w:tcW w:w="1300" w:type="dxa"/>
            <w:tcBorders>
              <w:top w:val="nil"/>
              <w:left w:val="nil"/>
              <w:bottom w:val="nil"/>
              <w:right w:val="nil"/>
            </w:tcBorders>
            <w:shd w:val="clear" w:color="auto" w:fill="auto"/>
            <w:noWrap/>
            <w:vAlign w:val="bottom"/>
          </w:tcPr>
          <w:p w:rsidR="000A05FB" w:rsidRPr="00F06708" w:rsidRDefault="000A05FB">
            <w:pPr>
              <w:jc w:val="right"/>
              <w:rPr>
                <w:rFonts w:ascii="Arial" w:hAnsi="Arial" w:cs="Arial"/>
                <w:b/>
                <w:sz w:val="16"/>
                <w:szCs w:val="16"/>
              </w:rPr>
            </w:pPr>
            <w:r w:rsidRPr="00F06708">
              <w:rPr>
                <w:rFonts w:ascii="Arial" w:hAnsi="Arial" w:cs="Arial"/>
                <w:b/>
                <w:sz w:val="16"/>
                <w:szCs w:val="16"/>
              </w:rPr>
              <w:t>3 340</w:t>
            </w:r>
          </w:p>
        </w:tc>
      </w:tr>
      <w:tr w:rsidR="000A05FB" w:rsidRPr="00F06708" w:rsidTr="000A05FB">
        <w:trPr>
          <w:trHeight w:val="283"/>
        </w:trPr>
        <w:tc>
          <w:tcPr>
            <w:tcW w:w="3640" w:type="dxa"/>
            <w:tcBorders>
              <w:top w:val="nil"/>
              <w:left w:val="nil"/>
              <w:bottom w:val="nil"/>
              <w:right w:val="nil"/>
            </w:tcBorders>
            <w:shd w:val="clear" w:color="auto" w:fill="auto"/>
            <w:vAlign w:val="bottom"/>
            <w:hideMark/>
          </w:tcPr>
          <w:p w:rsidR="000A05FB" w:rsidRPr="00F06708" w:rsidRDefault="000A05FB" w:rsidP="00FB7083">
            <w:pPr>
              <w:rPr>
                <w:rFonts w:ascii="Arial" w:hAnsi="Arial" w:cs="Arial"/>
                <w:sz w:val="16"/>
                <w:szCs w:val="16"/>
              </w:rPr>
            </w:pPr>
            <w:r w:rsidRPr="00F06708">
              <w:rPr>
                <w:rFonts w:ascii="Arial" w:hAnsi="Arial" w:cs="Arial"/>
                <w:sz w:val="16"/>
                <w:szCs w:val="16"/>
              </w:rPr>
              <w:t xml:space="preserve">Podatek dochodowy </w:t>
            </w:r>
          </w:p>
        </w:tc>
        <w:tc>
          <w:tcPr>
            <w:tcW w:w="1300" w:type="dxa"/>
            <w:tcBorders>
              <w:top w:val="nil"/>
              <w:left w:val="nil"/>
              <w:bottom w:val="nil"/>
              <w:right w:val="nil"/>
            </w:tcBorders>
            <w:shd w:val="clear" w:color="auto" w:fill="auto"/>
            <w:noWrap/>
            <w:vAlign w:val="bottom"/>
          </w:tcPr>
          <w:p w:rsidR="000A05FB" w:rsidRPr="00F06708" w:rsidRDefault="003C41BA">
            <w:pPr>
              <w:jc w:val="right"/>
              <w:rPr>
                <w:rFonts w:ascii="Arial" w:hAnsi="Arial" w:cs="Arial"/>
                <w:sz w:val="16"/>
                <w:szCs w:val="16"/>
              </w:rPr>
            </w:pPr>
            <w:r w:rsidRPr="00F06708">
              <w:rPr>
                <w:rFonts w:ascii="Arial" w:hAnsi="Arial" w:cs="Arial"/>
                <w:sz w:val="16"/>
                <w:szCs w:val="16"/>
              </w:rPr>
              <w:t>-</w:t>
            </w:r>
          </w:p>
        </w:tc>
        <w:tc>
          <w:tcPr>
            <w:tcW w:w="1300" w:type="dxa"/>
            <w:tcBorders>
              <w:top w:val="nil"/>
              <w:left w:val="nil"/>
              <w:bottom w:val="nil"/>
              <w:right w:val="nil"/>
            </w:tcBorders>
            <w:shd w:val="clear" w:color="auto" w:fill="auto"/>
            <w:noWrap/>
            <w:vAlign w:val="bottom"/>
          </w:tcPr>
          <w:p w:rsidR="000A05FB" w:rsidRPr="00F06708" w:rsidRDefault="003C41BA">
            <w:pPr>
              <w:jc w:val="right"/>
              <w:rPr>
                <w:rFonts w:ascii="Arial" w:hAnsi="Arial" w:cs="Arial"/>
                <w:sz w:val="16"/>
                <w:szCs w:val="16"/>
              </w:rPr>
            </w:pPr>
            <w:r w:rsidRPr="00F06708">
              <w:rPr>
                <w:rFonts w:ascii="Arial" w:hAnsi="Arial" w:cs="Arial"/>
                <w:sz w:val="16"/>
                <w:szCs w:val="16"/>
              </w:rPr>
              <w:t>-</w:t>
            </w:r>
          </w:p>
        </w:tc>
        <w:tc>
          <w:tcPr>
            <w:tcW w:w="1300" w:type="dxa"/>
            <w:tcBorders>
              <w:top w:val="nil"/>
              <w:left w:val="nil"/>
              <w:bottom w:val="nil"/>
              <w:right w:val="nil"/>
            </w:tcBorders>
            <w:shd w:val="clear" w:color="auto" w:fill="auto"/>
            <w:noWrap/>
            <w:vAlign w:val="bottom"/>
          </w:tcPr>
          <w:p w:rsidR="000A05FB" w:rsidRPr="00F06708" w:rsidRDefault="000A05FB">
            <w:pPr>
              <w:jc w:val="right"/>
              <w:rPr>
                <w:rFonts w:ascii="Arial" w:hAnsi="Arial" w:cs="Arial"/>
                <w:sz w:val="16"/>
                <w:szCs w:val="16"/>
              </w:rPr>
            </w:pPr>
            <w:r w:rsidRPr="00F06708">
              <w:rPr>
                <w:rFonts w:ascii="Arial" w:hAnsi="Arial" w:cs="Arial"/>
                <w:sz w:val="16"/>
                <w:szCs w:val="16"/>
              </w:rPr>
              <w:t>8</w:t>
            </w:r>
          </w:p>
        </w:tc>
        <w:tc>
          <w:tcPr>
            <w:tcW w:w="1300" w:type="dxa"/>
            <w:tcBorders>
              <w:top w:val="nil"/>
              <w:left w:val="nil"/>
              <w:bottom w:val="nil"/>
              <w:right w:val="nil"/>
            </w:tcBorders>
            <w:shd w:val="clear" w:color="auto" w:fill="auto"/>
            <w:noWrap/>
            <w:vAlign w:val="bottom"/>
          </w:tcPr>
          <w:p w:rsidR="000A05FB" w:rsidRPr="00F06708" w:rsidRDefault="000A05FB">
            <w:pPr>
              <w:jc w:val="right"/>
              <w:rPr>
                <w:rFonts w:ascii="Arial" w:hAnsi="Arial" w:cs="Arial"/>
                <w:sz w:val="16"/>
                <w:szCs w:val="16"/>
              </w:rPr>
            </w:pPr>
            <w:r w:rsidRPr="00F06708">
              <w:rPr>
                <w:rFonts w:ascii="Arial" w:hAnsi="Arial" w:cs="Arial"/>
                <w:sz w:val="16"/>
                <w:szCs w:val="16"/>
              </w:rPr>
              <w:t>8</w:t>
            </w:r>
          </w:p>
        </w:tc>
      </w:tr>
      <w:tr w:rsidR="000A05FB" w:rsidRPr="00F06708" w:rsidTr="000A05FB">
        <w:trPr>
          <w:trHeight w:val="283"/>
        </w:trPr>
        <w:tc>
          <w:tcPr>
            <w:tcW w:w="3640" w:type="dxa"/>
            <w:tcBorders>
              <w:top w:val="nil"/>
              <w:left w:val="nil"/>
              <w:bottom w:val="nil"/>
              <w:right w:val="nil"/>
            </w:tcBorders>
            <w:shd w:val="clear" w:color="auto" w:fill="auto"/>
            <w:vAlign w:val="bottom"/>
            <w:hideMark/>
          </w:tcPr>
          <w:p w:rsidR="000A05FB" w:rsidRPr="00F06708" w:rsidRDefault="000A05FB" w:rsidP="00FB7083">
            <w:pPr>
              <w:rPr>
                <w:rFonts w:ascii="Arial" w:hAnsi="Arial" w:cs="Arial"/>
                <w:b/>
                <w:bCs/>
                <w:sz w:val="16"/>
                <w:szCs w:val="16"/>
              </w:rPr>
            </w:pPr>
            <w:r w:rsidRPr="00F06708">
              <w:rPr>
                <w:rFonts w:ascii="Arial" w:hAnsi="Arial" w:cs="Arial"/>
                <w:b/>
                <w:bCs/>
                <w:sz w:val="16"/>
                <w:szCs w:val="16"/>
              </w:rPr>
              <w:t>Zysk netto</w:t>
            </w:r>
          </w:p>
        </w:tc>
        <w:tc>
          <w:tcPr>
            <w:tcW w:w="1300" w:type="dxa"/>
            <w:tcBorders>
              <w:top w:val="nil"/>
              <w:left w:val="nil"/>
              <w:bottom w:val="nil"/>
              <w:right w:val="nil"/>
            </w:tcBorders>
            <w:shd w:val="clear" w:color="auto" w:fill="auto"/>
            <w:noWrap/>
            <w:vAlign w:val="bottom"/>
          </w:tcPr>
          <w:p w:rsidR="000A05FB" w:rsidRPr="00F06708" w:rsidRDefault="000A05FB">
            <w:pPr>
              <w:jc w:val="right"/>
              <w:rPr>
                <w:rFonts w:ascii="Arial" w:hAnsi="Arial" w:cs="Arial"/>
                <w:b/>
                <w:sz w:val="16"/>
                <w:szCs w:val="16"/>
              </w:rPr>
            </w:pPr>
            <w:r w:rsidRPr="00F06708">
              <w:rPr>
                <w:rFonts w:ascii="Arial" w:hAnsi="Arial" w:cs="Arial"/>
                <w:b/>
                <w:sz w:val="16"/>
                <w:szCs w:val="16"/>
              </w:rPr>
              <w:t>5 632</w:t>
            </w:r>
          </w:p>
        </w:tc>
        <w:tc>
          <w:tcPr>
            <w:tcW w:w="1300" w:type="dxa"/>
            <w:tcBorders>
              <w:top w:val="nil"/>
              <w:left w:val="nil"/>
              <w:bottom w:val="nil"/>
              <w:right w:val="nil"/>
            </w:tcBorders>
            <w:shd w:val="clear" w:color="auto" w:fill="auto"/>
            <w:noWrap/>
            <w:vAlign w:val="bottom"/>
          </w:tcPr>
          <w:p w:rsidR="000A05FB" w:rsidRPr="00F06708" w:rsidRDefault="000A05FB">
            <w:pPr>
              <w:jc w:val="right"/>
              <w:rPr>
                <w:rFonts w:ascii="Arial" w:hAnsi="Arial" w:cs="Arial"/>
                <w:b/>
                <w:sz w:val="16"/>
                <w:szCs w:val="16"/>
              </w:rPr>
            </w:pPr>
            <w:r w:rsidRPr="00F06708">
              <w:rPr>
                <w:rFonts w:ascii="Arial" w:hAnsi="Arial" w:cs="Arial"/>
                <w:b/>
                <w:sz w:val="16"/>
                <w:szCs w:val="16"/>
              </w:rPr>
              <w:t>1 040</w:t>
            </w:r>
          </w:p>
        </w:tc>
        <w:tc>
          <w:tcPr>
            <w:tcW w:w="1300" w:type="dxa"/>
            <w:tcBorders>
              <w:top w:val="nil"/>
              <w:left w:val="nil"/>
              <w:bottom w:val="nil"/>
              <w:right w:val="nil"/>
            </w:tcBorders>
            <w:shd w:val="clear" w:color="auto" w:fill="auto"/>
            <w:noWrap/>
            <w:vAlign w:val="bottom"/>
          </w:tcPr>
          <w:p w:rsidR="000A05FB" w:rsidRPr="00F06708" w:rsidRDefault="000A05FB">
            <w:pPr>
              <w:jc w:val="right"/>
              <w:rPr>
                <w:rFonts w:ascii="Arial" w:hAnsi="Arial" w:cs="Arial"/>
                <w:b/>
                <w:sz w:val="16"/>
                <w:szCs w:val="16"/>
              </w:rPr>
            </w:pPr>
            <w:r w:rsidRPr="00F06708">
              <w:rPr>
                <w:rFonts w:ascii="Arial" w:hAnsi="Arial" w:cs="Arial"/>
                <w:b/>
                <w:sz w:val="16"/>
                <w:szCs w:val="16"/>
              </w:rPr>
              <w:t>-3 341</w:t>
            </w:r>
          </w:p>
        </w:tc>
        <w:tc>
          <w:tcPr>
            <w:tcW w:w="1300" w:type="dxa"/>
            <w:tcBorders>
              <w:top w:val="nil"/>
              <w:left w:val="nil"/>
              <w:bottom w:val="nil"/>
              <w:right w:val="nil"/>
            </w:tcBorders>
            <w:shd w:val="clear" w:color="auto" w:fill="auto"/>
            <w:noWrap/>
            <w:vAlign w:val="bottom"/>
          </w:tcPr>
          <w:p w:rsidR="000A05FB" w:rsidRPr="00F06708" w:rsidRDefault="000A05FB">
            <w:pPr>
              <w:jc w:val="right"/>
              <w:rPr>
                <w:rFonts w:ascii="Arial" w:hAnsi="Arial" w:cs="Arial"/>
                <w:b/>
                <w:sz w:val="16"/>
                <w:szCs w:val="16"/>
              </w:rPr>
            </w:pPr>
            <w:r w:rsidRPr="00F06708">
              <w:rPr>
                <w:rFonts w:ascii="Arial" w:hAnsi="Arial" w:cs="Arial"/>
                <w:b/>
                <w:sz w:val="16"/>
                <w:szCs w:val="16"/>
              </w:rPr>
              <w:t>3 332</w:t>
            </w:r>
          </w:p>
        </w:tc>
      </w:tr>
    </w:tbl>
    <w:p w:rsidR="005D3822" w:rsidRPr="003C41BA" w:rsidRDefault="005D3822" w:rsidP="005D3822">
      <w:pPr>
        <w:rPr>
          <w:rFonts w:ascii="Arial" w:hAnsi="Arial" w:cs="Arial"/>
          <w:b/>
          <w:bCs/>
          <w:sz w:val="16"/>
          <w:szCs w:val="16"/>
        </w:rPr>
      </w:pPr>
      <w:r w:rsidRPr="003C41BA">
        <w:rPr>
          <w:rFonts w:ascii="Arial" w:hAnsi="Arial" w:cs="Arial"/>
          <w:b/>
          <w:bCs/>
          <w:sz w:val="16"/>
          <w:szCs w:val="16"/>
        </w:rPr>
        <w:br w:type="page"/>
      </w:r>
    </w:p>
    <w:tbl>
      <w:tblPr>
        <w:tblW w:w="8600" w:type="dxa"/>
        <w:tblInd w:w="55" w:type="dxa"/>
        <w:tblCellMar>
          <w:left w:w="70" w:type="dxa"/>
          <w:right w:w="70" w:type="dxa"/>
        </w:tblCellMar>
        <w:tblLook w:val="04A0" w:firstRow="1" w:lastRow="0" w:firstColumn="1" w:lastColumn="0" w:noHBand="0" w:noVBand="1"/>
      </w:tblPr>
      <w:tblGrid>
        <w:gridCol w:w="4033"/>
        <w:gridCol w:w="1239"/>
        <w:gridCol w:w="1093"/>
        <w:gridCol w:w="1493"/>
        <w:gridCol w:w="742"/>
      </w:tblGrid>
      <w:tr w:rsidR="005D3822" w:rsidRPr="00F06708" w:rsidTr="00FB7083">
        <w:trPr>
          <w:trHeight w:val="283"/>
        </w:trPr>
        <w:tc>
          <w:tcPr>
            <w:tcW w:w="8600" w:type="dxa"/>
            <w:gridSpan w:val="5"/>
            <w:tcBorders>
              <w:top w:val="nil"/>
              <w:left w:val="nil"/>
              <w:bottom w:val="nil"/>
              <w:right w:val="nil"/>
            </w:tcBorders>
            <w:shd w:val="clear" w:color="auto" w:fill="auto"/>
            <w:noWrap/>
            <w:vAlign w:val="bottom"/>
            <w:hideMark/>
          </w:tcPr>
          <w:p w:rsidR="005D3822" w:rsidRPr="00F06708" w:rsidRDefault="005D3822" w:rsidP="00497EE3">
            <w:pPr>
              <w:rPr>
                <w:rFonts w:ascii="Arial" w:hAnsi="Arial" w:cs="Arial"/>
                <w:b/>
                <w:bCs/>
                <w:sz w:val="16"/>
                <w:szCs w:val="16"/>
              </w:rPr>
            </w:pPr>
            <w:r w:rsidRPr="00F06708">
              <w:rPr>
                <w:rFonts w:ascii="Arial" w:hAnsi="Arial" w:cs="Arial"/>
                <w:b/>
                <w:bCs/>
                <w:sz w:val="16"/>
                <w:szCs w:val="16"/>
              </w:rPr>
              <w:lastRenderedPageBreak/>
              <w:t>Okres obrotowy za 9 miesięcy kończący się 30 września 20</w:t>
            </w:r>
            <w:r w:rsidR="00497EE3" w:rsidRPr="00F06708">
              <w:rPr>
                <w:rFonts w:ascii="Arial" w:hAnsi="Arial" w:cs="Arial"/>
                <w:b/>
                <w:bCs/>
                <w:sz w:val="16"/>
                <w:szCs w:val="16"/>
              </w:rPr>
              <w:t>20</w:t>
            </w:r>
            <w:r w:rsidRPr="00F06708">
              <w:rPr>
                <w:rFonts w:ascii="Arial" w:hAnsi="Arial" w:cs="Arial"/>
                <w:b/>
                <w:bCs/>
                <w:sz w:val="16"/>
                <w:szCs w:val="16"/>
              </w:rPr>
              <w:t xml:space="preserve">r.  </w:t>
            </w:r>
            <w:r w:rsidRPr="00F06708">
              <w:rPr>
                <w:rFonts w:ascii="Arial" w:hAnsi="Arial" w:cs="Arial"/>
                <w:sz w:val="16"/>
                <w:szCs w:val="16"/>
              </w:rPr>
              <w:t>(niezbadane)</w:t>
            </w:r>
          </w:p>
        </w:tc>
      </w:tr>
      <w:tr w:rsidR="00497EE3" w:rsidRPr="00F06708" w:rsidTr="00FB7083">
        <w:trPr>
          <w:trHeight w:val="283"/>
        </w:trPr>
        <w:tc>
          <w:tcPr>
            <w:tcW w:w="4033" w:type="dxa"/>
            <w:tcBorders>
              <w:top w:val="nil"/>
              <w:left w:val="nil"/>
              <w:bottom w:val="nil"/>
              <w:right w:val="nil"/>
            </w:tcBorders>
            <w:shd w:val="clear" w:color="auto" w:fill="auto"/>
            <w:noWrap/>
            <w:vAlign w:val="bottom"/>
            <w:hideMark/>
          </w:tcPr>
          <w:p w:rsidR="00497EE3" w:rsidRPr="00F06708" w:rsidRDefault="00497EE3" w:rsidP="00497EE3">
            <w:pPr>
              <w:rPr>
                <w:rFonts w:ascii="Arial" w:hAnsi="Arial" w:cs="Arial"/>
                <w:sz w:val="16"/>
                <w:szCs w:val="16"/>
              </w:rPr>
            </w:pPr>
          </w:p>
        </w:tc>
        <w:tc>
          <w:tcPr>
            <w:tcW w:w="1239"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b/>
                <w:bCs/>
                <w:sz w:val="16"/>
                <w:szCs w:val="16"/>
              </w:rPr>
            </w:pPr>
          </w:p>
        </w:tc>
        <w:tc>
          <w:tcPr>
            <w:tcW w:w="1093"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b/>
                <w:bCs/>
                <w:sz w:val="16"/>
                <w:szCs w:val="16"/>
              </w:rPr>
            </w:pPr>
            <w:r w:rsidRPr="00F06708">
              <w:rPr>
                <w:rFonts w:ascii="Arial" w:hAnsi="Arial" w:cs="Arial"/>
                <w:b/>
                <w:bCs/>
                <w:sz w:val="16"/>
                <w:szCs w:val="16"/>
              </w:rPr>
              <w:t xml:space="preserve">Wszystkie </w:t>
            </w:r>
          </w:p>
        </w:tc>
        <w:tc>
          <w:tcPr>
            <w:tcW w:w="1493"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b/>
                <w:bCs/>
                <w:sz w:val="16"/>
                <w:szCs w:val="16"/>
              </w:rPr>
            </w:pPr>
          </w:p>
        </w:tc>
        <w:tc>
          <w:tcPr>
            <w:tcW w:w="742"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b/>
                <w:bCs/>
                <w:sz w:val="16"/>
                <w:szCs w:val="16"/>
              </w:rPr>
            </w:pPr>
          </w:p>
        </w:tc>
      </w:tr>
      <w:tr w:rsidR="00497EE3" w:rsidRPr="00F06708" w:rsidTr="00FB7083">
        <w:trPr>
          <w:trHeight w:val="283"/>
        </w:trPr>
        <w:tc>
          <w:tcPr>
            <w:tcW w:w="4033" w:type="dxa"/>
            <w:tcBorders>
              <w:top w:val="nil"/>
              <w:left w:val="nil"/>
              <w:bottom w:val="nil"/>
              <w:right w:val="nil"/>
            </w:tcBorders>
            <w:shd w:val="clear" w:color="auto" w:fill="auto"/>
            <w:noWrap/>
            <w:vAlign w:val="bottom"/>
            <w:hideMark/>
          </w:tcPr>
          <w:p w:rsidR="00497EE3" w:rsidRPr="00F06708" w:rsidRDefault="00497EE3" w:rsidP="00497EE3">
            <w:pPr>
              <w:rPr>
                <w:rFonts w:ascii="Arial" w:hAnsi="Arial" w:cs="Arial"/>
                <w:sz w:val="16"/>
                <w:szCs w:val="16"/>
              </w:rPr>
            </w:pPr>
          </w:p>
        </w:tc>
        <w:tc>
          <w:tcPr>
            <w:tcW w:w="1239"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b/>
                <w:bCs/>
                <w:sz w:val="16"/>
                <w:szCs w:val="16"/>
              </w:rPr>
            </w:pPr>
            <w:r w:rsidRPr="00F06708">
              <w:rPr>
                <w:rFonts w:ascii="Arial" w:hAnsi="Arial" w:cs="Arial"/>
                <w:b/>
                <w:bCs/>
                <w:sz w:val="16"/>
                <w:szCs w:val="16"/>
              </w:rPr>
              <w:t xml:space="preserve">Działalność </w:t>
            </w:r>
          </w:p>
        </w:tc>
        <w:tc>
          <w:tcPr>
            <w:tcW w:w="1093"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b/>
                <w:bCs/>
                <w:sz w:val="16"/>
                <w:szCs w:val="16"/>
              </w:rPr>
            </w:pPr>
            <w:r w:rsidRPr="00F06708">
              <w:rPr>
                <w:rFonts w:ascii="Arial" w:hAnsi="Arial" w:cs="Arial"/>
                <w:b/>
                <w:bCs/>
                <w:sz w:val="16"/>
                <w:szCs w:val="16"/>
              </w:rPr>
              <w:t>pozostałe</w:t>
            </w:r>
          </w:p>
        </w:tc>
        <w:tc>
          <w:tcPr>
            <w:tcW w:w="1493"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b/>
                <w:bCs/>
                <w:sz w:val="16"/>
                <w:szCs w:val="16"/>
              </w:rPr>
            </w:pPr>
            <w:r w:rsidRPr="00F06708">
              <w:rPr>
                <w:rFonts w:ascii="Arial" w:hAnsi="Arial" w:cs="Arial"/>
                <w:b/>
                <w:bCs/>
                <w:sz w:val="16"/>
                <w:szCs w:val="16"/>
              </w:rPr>
              <w:t xml:space="preserve">Pozycje </w:t>
            </w:r>
          </w:p>
        </w:tc>
        <w:tc>
          <w:tcPr>
            <w:tcW w:w="742" w:type="dxa"/>
            <w:vMerge w:val="restart"/>
            <w:tcBorders>
              <w:top w:val="nil"/>
              <w:left w:val="nil"/>
              <w:bottom w:val="single" w:sz="8" w:space="0" w:color="000000"/>
              <w:right w:val="nil"/>
            </w:tcBorders>
            <w:shd w:val="clear" w:color="auto" w:fill="auto"/>
            <w:noWrap/>
            <w:vAlign w:val="center"/>
            <w:hideMark/>
          </w:tcPr>
          <w:p w:rsidR="00497EE3" w:rsidRPr="00F06708" w:rsidRDefault="00497EE3" w:rsidP="00497EE3">
            <w:pPr>
              <w:jc w:val="center"/>
              <w:rPr>
                <w:rFonts w:ascii="Arial" w:hAnsi="Arial" w:cs="Arial"/>
                <w:b/>
                <w:bCs/>
                <w:sz w:val="16"/>
                <w:szCs w:val="16"/>
              </w:rPr>
            </w:pPr>
            <w:r w:rsidRPr="00F06708">
              <w:rPr>
                <w:rFonts w:ascii="Arial" w:hAnsi="Arial" w:cs="Arial"/>
                <w:b/>
                <w:bCs/>
                <w:sz w:val="16"/>
                <w:szCs w:val="16"/>
              </w:rPr>
              <w:t>Razem</w:t>
            </w:r>
          </w:p>
        </w:tc>
      </w:tr>
      <w:tr w:rsidR="00497EE3" w:rsidRPr="00F06708" w:rsidTr="00FB7083">
        <w:trPr>
          <w:trHeight w:val="283"/>
        </w:trPr>
        <w:tc>
          <w:tcPr>
            <w:tcW w:w="4033" w:type="dxa"/>
            <w:tcBorders>
              <w:top w:val="nil"/>
              <w:left w:val="nil"/>
              <w:bottom w:val="nil"/>
              <w:right w:val="nil"/>
            </w:tcBorders>
            <w:shd w:val="clear" w:color="auto" w:fill="auto"/>
            <w:noWrap/>
            <w:vAlign w:val="bottom"/>
            <w:hideMark/>
          </w:tcPr>
          <w:p w:rsidR="00497EE3" w:rsidRPr="00F06708" w:rsidRDefault="00497EE3" w:rsidP="00FB7083">
            <w:pPr>
              <w:rPr>
                <w:rFonts w:ascii="Arial" w:hAnsi="Arial" w:cs="Arial"/>
                <w:sz w:val="16"/>
                <w:szCs w:val="16"/>
              </w:rPr>
            </w:pPr>
          </w:p>
        </w:tc>
        <w:tc>
          <w:tcPr>
            <w:tcW w:w="1239" w:type="dxa"/>
            <w:tcBorders>
              <w:top w:val="nil"/>
              <w:left w:val="nil"/>
              <w:bottom w:val="single" w:sz="8" w:space="0" w:color="auto"/>
              <w:right w:val="nil"/>
            </w:tcBorders>
            <w:shd w:val="clear" w:color="auto" w:fill="auto"/>
            <w:noWrap/>
            <w:vAlign w:val="bottom"/>
            <w:hideMark/>
          </w:tcPr>
          <w:p w:rsidR="00497EE3" w:rsidRPr="00F06708" w:rsidRDefault="00497EE3" w:rsidP="00FB7083">
            <w:pPr>
              <w:jc w:val="right"/>
              <w:rPr>
                <w:rFonts w:ascii="Arial" w:hAnsi="Arial" w:cs="Arial"/>
                <w:b/>
                <w:bCs/>
                <w:sz w:val="16"/>
                <w:szCs w:val="16"/>
              </w:rPr>
            </w:pPr>
            <w:r w:rsidRPr="00F06708">
              <w:rPr>
                <w:rFonts w:ascii="Arial" w:hAnsi="Arial" w:cs="Arial"/>
                <w:b/>
                <w:bCs/>
                <w:sz w:val="16"/>
                <w:szCs w:val="16"/>
              </w:rPr>
              <w:t>hotelarska</w:t>
            </w:r>
          </w:p>
        </w:tc>
        <w:tc>
          <w:tcPr>
            <w:tcW w:w="1093" w:type="dxa"/>
            <w:tcBorders>
              <w:top w:val="nil"/>
              <w:left w:val="nil"/>
              <w:bottom w:val="single" w:sz="8" w:space="0" w:color="auto"/>
              <w:right w:val="nil"/>
            </w:tcBorders>
            <w:shd w:val="clear" w:color="auto" w:fill="auto"/>
            <w:noWrap/>
            <w:vAlign w:val="bottom"/>
            <w:hideMark/>
          </w:tcPr>
          <w:p w:rsidR="00497EE3" w:rsidRPr="00F06708" w:rsidRDefault="00497EE3" w:rsidP="00FB7083">
            <w:pPr>
              <w:jc w:val="right"/>
              <w:rPr>
                <w:rFonts w:ascii="Arial" w:hAnsi="Arial" w:cs="Arial"/>
                <w:b/>
                <w:bCs/>
                <w:sz w:val="16"/>
                <w:szCs w:val="16"/>
              </w:rPr>
            </w:pPr>
            <w:r w:rsidRPr="00F06708">
              <w:rPr>
                <w:rFonts w:ascii="Arial" w:hAnsi="Arial" w:cs="Arial"/>
                <w:b/>
                <w:bCs/>
                <w:sz w:val="16"/>
                <w:szCs w:val="16"/>
              </w:rPr>
              <w:t>segmenty</w:t>
            </w:r>
          </w:p>
        </w:tc>
        <w:tc>
          <w:tcPr>
            <w:tcW w:w="1493" w:type="dxa"/>
            <w:tcBorders>
              <w:top w:val="nil"/>
              <w:left w:val="nil"/>
              <w:bottom w:val="single" w:sz="8" w:space="0" w:color="auto"/>
              <w:right w:val="nil"/>
            </w:tcBorders>
            <w:shd w:val="clear" w:color="auto" w:fill="auto"/>
            <w:noWrap/>
            <w:vAlign w:val="bottom"/>
            <w:hideMark/>
          </w:tcPr>
          <w:p w:rsidR="00497EE3" w:rsidRPr="00F06708" w:rsidRDefault="00497EE3" w:rsidP="00FB7083">
            <w:pPr>
              <w:jc w:val="right"/>
              <w:rPr>
                <w:rFonts w:ascii="Arial" w:hAnsi="Arial" w:cs="Arial"/>
                <w:b/>
                <w:bCs/>
                <w:sz w:val="16"/>
                <w:szCs w:val="16"/>
              </w:rPr>
            </w:pPr>
            <w:r w:rsidRPr="00F06708">
              <w:rPr>
                <w:rFonts w:ascii="Arial" w:hAnsi="Arial" w:cs="Arial"/>
                <w:b/>
                <w:bCs/>
                <w:sz w:val="16"/>
                <w:szCs w:val="16"/>
              </w:rPr>
              <w:t>nieprzypisane</w:t>
            </w:r>
          </w:p>
        </w:tc>
        <w:tc>
          <w:tcPr>
            <w:tcW w:w="742" w:type="dxa"/>
            <w:vMerge/>
            <w:tcBorders>
              <w:top w:val="nil"/>
              <w:left w:val="nil"/>
              <w:bottom w:val="single" w:sz="8" w:space="0" w:color="000000"/>
              <w:right w:val="nil"/>
            </w:tcBorders>
            <w:vAlign w:val="center"/>
            <w:hideMark/>
          </w:tcPr>
          <w:p w:rsidR="00497EE3" w:rsidRPr="00F06708" w:rsidRDefault="00497EE3" w:rsidP="00FB7083">
            <w:pPr>
              <w:rPr>
                <w:rFonts w:ascii="Arial" w:hAnsi="Arial" w:cs="Arial"/>
                <w:b/>
                <w:bCs/>
                <w:sz w:val="16"/>
                <w:szCs w:val="16"/>
              </w:rPr>
            </w:pPr>
          </w:p>
        </w:tc>
      </w:tr>
      <w:tr w:rsidR="00497EE3" w:rsidRPr="00F06708" w:rsidTr="00FB7083">
        <w:trPr>
          <w:trHeight w:val="283"/>
        </w:trPr>
        <w:tc>
          <w:tcPr>
            <w:tcW w:w="4033" w:type="dxa"/>
            <w:tcBorders>
              <w:top w:val="nil"/>
              <w:left w:val="nil"/>
              <w:bottom w:val="nil"/>
              <w:right w:val="nil"/>
            </w:tcBorders>
            <w:shd w:val="clear" w:color="auto" w:fill="auto"/>
            <w:noWrap/>
            <w:vAlign w:val="bottom"/>
            <w:hideMark/>
          </w:tcPr>
          <w:p w:rsidR="00497EE3" w:rsidRPr="00F06708" w:rsidRDefault="00497EE3" w:rsidP="00497EE3">
            <w:pPr>
              <w:rPr>
                <w:rFonts w:ascii="Arial" w:hAnsi="Arial" w:cs="Arial"/>
                <w:sz w:val="16"/>
                <w:szCs w:val="16"/>
              </w:rPr>
            </w:pPr>
            <w:r w:rsidRPr="00F06708">
              <w:rPr>
                <w:rFonts w:ascii="Arial" w:hAnsi="Arial" w:cs="Arial"/>
                <w:sz w:val="16"/>
                <w:szCs w:val="16"/>
              </w:rPr>
              <w:t xml:space="preserve">Przychody ze sprzedaży </w:t>
            </w:r>
          </w:p>
        </w:tc>
        <w:tc>
          <w:tcPr>
            <w:tcW w:w="1239"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sz w:val="16"/>
                <w:szCs w:val="16"/>
              </w:rPr>
            </w:pPr>
            <w:r w:rsidRPr="00F06708">
              <w:rPr>
                <w:rFonts w:ascii="Arial" w:hAnsi="Arial" w:cs="Arial"/>
                <w:sz w:val="16"/>
                <w:szCs w:val="16"/>
              </w:rPr>
              <w:t>18 188</w:t>
            </w:r>
          </w:p>
        </w:tc>
        <w:tc>
          <w:tcPr>
            <w:tcW w:w="1093"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sz w:val="16"/>
                <w:szCs w:val="16"/>
              </w:rPr>
            </w:pPr>
            <w:r w:rsidRPr="00F06708">
              <w:rPr>
                <w:rFonts w:ascii="Arial" w:hAnsi="Arial" w:cs="Arial"/>
                <w:sz w:val="16"/>
                <w:szCs w:val="16"/>
              </w:rPr>
              <w:t>1 272</w:t>
            </w:r>
          </w:p>
        </w:tc>
        <w:tc>
          <w:tcPr>
            <w:tcW w:w="1493"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sz w:val="16"/>
                <w:szCs w:val="16"/>
              </w:rPr>
            </w:pPr>
          </w:p>
        </w:tc>
        <w:tc>
          <w:tcPr>
            <w:tcW w:w="742"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sz w:val="16"/>
                <w:szCs w:val="16"/>
              </w:rPr>
            </w:pPr>
            <w:r w:rsidRPr="00F06708">
              <w:rPr>
                <w:rFonts w:ascii="Arial" w:hAnsi="Arial" w:cs="Arial"/>
                <w:sz w:val="16"/>
                <w:szCs w:val="16"/>
              </w:rPr>
              <w:t>19 460</w:t>
            </w:r>
          </w:p>
        </w:tc>
      </w:tr>
      <w:tr w:rsidR="00497EE3" w:rsidRPr="00F06708" w:rsidTr="00FB7083">
        <w:trPr>
          <w:trHeight w:val="283"/>
        </w:trPr>
        <w:tc>
          <w:tcPr>
            <w:tcW w:w="4033" w:type="dxa"/>
            <w:tcBorders>
              <w:top w:val="nil"/>
              <w:left w:val="nil"/>
              <w:bottom w:val="nil"/>
              <w:right w:val="nil"/>
            </w:tcBorders>
            <w:shd w:val="clear" w:color="auto" w:fill="auto"/>
            <w:noWrap/>
            <w:vAlign w:val="bottom"/>
            <w:hideMark/>
          </w:tcPr>
          <w:p w:rsidR="00497EE3" w:rsidRPr="00F06708" w:rsidRDefault="00497EE3" w:rsidP="00497EE3">
            <w:pPr>
              <w:rPr>
                <w:rFonts w:ascii="Arial" w:hAnsi="Arial" w:cs="Arial"/>
                <w:sz w:val="16"/>
                <w:szCs w:val="16"/>
              </w:rPr>
            </w:pPr>
            <w:r w:rsidRPr="00F06708">
              <w:rPr>
                <w:rFonts w:ascii="Arial" w:hAnsi="Arial" w:cs="Arial"/>
                <w:sz w:val="16"/>
                <w:szCs w:val="16"/>
              </w:rPr>
              <w:t>Koszt własny sprzedaży</w:t>
            </w:r>
          </w:p>
        </w:tc>
        <w:tc>
          <w:tcPr>
            <w:tcW w:w="1239" w:type="dxa"/>
            <w:tcBorders>
              <w:top w:val="nil"/>
              <w:left w:val="nil"/>
              <w:bottom w:val="nil"/>
              <w:right w:val="nil"/>
            </w:tcBorders>
            <w:shd w:val="clear" w:color="000000" w:fill="FFFFFF"/>
            <w:noWrap/>
            <w:vAlign w:val="bottom"/>
            <w:hideMark/>
          </w:tcPr>
          <w:p w:rsidR="00497EE3" w:rsidRPr="00F06708" w:rsidRDefault="00497EE3" w:rsidP="00497EE3">
            <w:pPr>
              <w:jc w:val="right"/>
              <w:rPr>
                <w:rFonts w:ascii="Arial" w:hAnsi="Arial" w:cs="Arial"/>
                <w:sz w:val="16"/>
                <w:szCs w:val="16"/>
              </w:rPr>
            </w:pPr>
            <w:r w:rsidRPr="00F06708">
              <w:rPr>
                <w:rFonts w:ascii="Arial" w:hAnsi="Arial" w:cs="Arial"/>
                <w:sz w:val="16"/>
                <w:szCs w:val="16"/>
              </w:rPr>
              <w:t>14 827</w:t>
            </w:r>
          </w:p>
        </w:tc>
        <w:tc>
          <w:tcPr>
            <w:tcW w:w="1093"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sz w:val="16"/>
                <w:szCs w:val="16"/>
              </w:rPr>
            </w:pPr>
            <w:r w:rsidRPr="00F06708">
              <w:rPr>
                <w:rFonts w:ascii="Arial" w:hAnsi="Arial" w:cs="Arial"/>
                <w:sz w:val="16"/>
                <w:szCs w:val="16"/>
              </w:rPr>
              <w:t>195</w:t>
            </w:r>
          </w:p>
        </w:tc>
        <w:tc>
          <w:tcPr>
            <w:tcW w:w="1493"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sz w:val="16"/>
                <w:szCs w:val="16"/>
              </w:rPr>
            </w:pPr>
            <w:r w:rsidRPr="00F06708">
              <w:rPr>
                <w:rFonts w:ascii="Arial" w:hAnsi="Arial" w:cs="Arial"/>
                <w:sz w:val="16"/>
                <w:szCs w:val="16"/>
              </w:rPr>
              <w:t>-</w:t>
            </w:r>
          </w:p>
        </w:tc>
        <w:tc>
          <w:tcPr>
            <w:tcW w:w="742"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sz w:val="16"/>
                <w:szCs w:val="16"/>
              </w:rPr>
            </w:pPr>
            <w:r w:rsidRPr="00F06708">
              <w:rPr>
                <w:rFonts w:ascii="Arial" w:hAnsi="Arial" w:cs="Arial"/>
                <w:sz w:val="16"/>
                <w:szCs w:val="16"/>
              </w:rPr>
              <w:t>15 023</w:t>
            </w:r>
          </w:p>
        </w:tc>
      </w:tr>
      <w:tr w:rsidR="00497EE3" w:rsidRPr="00F06708" w:rsidTr="00FB7083">
        <w:trPr>
          <w:trHeight w:val="283"/>
        </w:trPr>
        <w:tc>
          <w:tcPr>
            <w:tcW w:w="4033" w:type="dxa"/>
            <w:tcBorders>
              <w:top w:val="nil"/>
              <w:left w:val="nil"/>
              <w:bottom w:val="nil"/>
              <w:right w:val="nil"/>
            </w:tcBorders>
            <w:shd w:val="clear" w:color="auto" w:fill="auto"/>
            <w:noWrap/>
            <w:vAlign w:val="bottom"/>
            <w:hideMark/>
          </w:tcPr>
          <w:p w:rsidR="00497EE3" w:rsidRPr="00F06708" w:rsidRDefault="00497EE3" w:rsidP="00497EE3">
            <w:pPr>
              <w:rPr>
                <w:rFonts w:ascii="Arial" w:hAnsi="Arial" w:cs="Arial"/>
                <w:sz w:val="16"/>
                <w:szCs w:val="16"/>
              </w:rPr>
            </w:pPr>
            <w:r w:rsidRPr="00F06708">
              <w:rPr>
                <w:rFonts w:ascii="Arial" w:hAnsi="Arial" w:cs="Arial"/>
                <w:sz w:val="16"/>
                <w:szCs w:val="16"/>
              </w:rPr>
              <w:t>w tym amortyzacja</w:t>
            </w:r>
          </w:p>
        </w:tc>
        <w:tc>
          <w:tcPr>
            <w:tcW w:w="1239"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sz w:val="16"/>
                <w:szCs w:val="16"/>
              </w:rPr>
            </w:pPr>
            <w:r w:rsidRPr="00F06708">
              <w:rPr>
                <w:rFonts w:ascii="Arial" w:hAnsi="Arial" w:cs="Arial"/>
                <w:sz w:val="16"/>
                <w:szCs w:val="16"/>
              </w:rPr>
              <w:t>2 561</w:t>
            </w:r>
          </w:p>
        </w:tc>
        <w:tc>
          <w:tcPr>
            <w:tcW w:w="1093"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sz w:val="16"/>
                <w:szCs w:val="16"/>
              </w:rPr>
            </w:pPr>
            <w:r w:rsidRPr="00F06708">
              <w:rPr>
                <w:rFonts w:ascii="Arial" w:hAnsi="Arial" w:cs="Arial"/>
                <w:sz w:val="16"/>
                <w:szCs w:val="16"/>
              </w:rPr>
              <w:t>34</w:t>
            </w:r>
          </w:p>
        </w:tc>
        <w:tc>
          <w:tcPr>
            <w:tcW w:w="1493"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sz w:val="16"/>
                <w:szCs w:val="16"/>
              </w:rPr>
            </w:pPr>
            <w:r w:rsidRPr="00F06708">
              <w:rPr>
                <w:rFonts w:ascii="Arial" w:hAnsi="Arial" w:cs="Arial"/>
                <w:sz w:val="16"/>
                <w:szCs w:val="16"/>
              </w:rPr>
              <w:t>-</w:t>
            </w:r>
          </w:p>
        </w:tc>
        <w:tc>
          <w:tcPr>
            <w:tcW w:w="742"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sz w:val="16"/>
                <w:szCs w:val="16"/>
              </w:rPr>
            </w:pPr>
            <w:r w:rsidRPr="00F06708">
              <w:rPr>
                <w:rFonts w:ascii="Arial" w:hAnsi="Arial" w:cs="Arial"/>
                <w:sz w:val="16"/>
                <w:szCs w:val="16"/>
              </w:rPr>
              <w:t>2 595</w:t>
            </w:r>
          </w:p>
        </w:tc>
      </w:tr>
      <w:tr w:rsidR="00497EE3" w:rsidRPr="00F06708" w:rsidTr="00FB7083">
        <w:trPr>
          <w:trHeight w:val="283"/>
        </w:trPr>
        <w:tc>
          <w:tcPr>
            <w:tcW w:w="4033" w:type="dxa"/>
            <w:tcBorders>
              <w:top w:val="nil"/>
              <w:left w:val="nil"/>
              <w:bottom w:val="nil"/>
              <w:right w:val="nil"/>
            </w:tcBorders>
            <w:shd w:val="clear" w:color="auto" w:fill="auto"/>
            <w:noWrap/>
            <w:vAlign w:val="bottom"/>
            <w:hideMark/>
          </w:tcPr>
          <w:p w:rsidR="00497EE3" w:rsidRPr="00F06708" w:rsidRDefault="00497EE3" w:rsidP="00497EE3">
            <w:pPr>
              <w:rPr>
                <w:rFonts w:ascii="Arial" w:hAnsi="Arial" w:cs="Arial"/>
                <w:b/>
                <w:bCs/>
                <w:sz w:val="16"/>
                <w:szCs w:val="16"/>
              </w:rPr>
            </w:pPr>
            <w:r w:rsidRPr="00F06708">
              <w:rPr>
                <w:rFonts w:ascii="Arial" w:hAnsi="Arial" w:cs="Arial"/>
                <w:b/>
                <w:bCs/>
                <w:sz w:val="16"/>
                <w:szCs w:val="16"/>
              </w:rPr>
              <w:t>Zysk brutto ze sprzedaży</w:t>
            </w:r>
          </w:p>
        </w:tc>
        <w:tc>
          <w:tcPr>
            <w:tcW w:w="1239"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b/>
                <w:sz w:val="16"/>
                <w:szCs w:val="16"/>
              </w:rPr>
            </w:pPr>
            <w:r w:rsidRPr="00F06708">
              <w:rPr>
                <w:rFonts w:ascii="Arial" w:hAnsi="Arial" w:cs="Arial"/>
                <w:b/>
                <w:sz w:val="16"/>
                <w:szCs w:val="16"/>
              </w:rPr>
              <w:t>3 361</w:t>
            </w:r>
          </w:p>
        </w:tc>
        <w:tc>
          <w:tcPr>
            <w:tcW w:w="1093"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b/>
                <w:sz w:val="16"/>
                <w:szCs w:val="16"/>
              </w:rPr>
            </w:pPr>
            <w:r w:rsidRPr="00F06708">
              <w:rPr>
                <w:rFonts w:ascii="Arial" w:hAnsi="Arial" w:cs="Arial"/>
                <w:b/>
                <w:sz w:val="16"/>
                <w:szCs w:val="16"/>
              </w:rPr>
              <w:t>1 077</w:t>
            </w:r>
          </w:p>
        </w:tc>
        <w:tc>
          <w:tcPr>
            <w:tcW w:w="1493"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b/>
                <w:sz w:val="16"/>
                <w:szCs w:val="16"/>
              </w:rPr>
            </w:pPr>
            <w:r w:rsidRPr="00F06708">
              <w:rPr>
                <w:rFonts w:ascii="Arial" w:hAnsi="Arial" w:cs="Arial"/>
                <w:b/>
                <w:sz w:val="16"/>
                <w:szCs w:val="16"/>
              </w:rPr>
              <w:t>-</w:t>
            </w:r>
          </w:p>
        </w:tc>
        <w:tc>
          <w:tcPr>
            <w:tcW w:w="742"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b/>
                <w:sz w:val="16"/>
                <w:szCs w:val="16"/>
              </w:rPr>
            </w:pPr>
            <w:r w:rsidRPr="00F06708">
              <w:rPr>
                <w:rFonts w:ascii="Arial" w:hAnsi="Arial" w:cs="Arial"/>
                <w:b/>
                <w:sz w:val="16"/>
                <w:szCs w:val="16"/>
              </w:rPr>
              <w:t>4 437</w:t>
            </w:r>
          </w:p>
        </w:tc>
      </w:tr>
      <w:tr w:rsidR="00497EE3" w:rsidRPr="00F06708" w:rsidTr="00FB7083">
        <w:trPr>
          <w:trHeight w:val="283"/>
        </w:trPr>
        <w:tc>
          <w:tcPr>
            <w:tcW w:w="4033" w:type="dxa"/>
            <w:tcBorders>
              <w:top w:val="nil"/>
              <w:left w:val="nil"/>
              <w:bottom w:val="nil"/>
              <w:right w:val="nil"/>
            </w:tcBorders>
            <w:shd w:val="clear" w:color="auto" w:fill="auto"/>
            <w:noWrap/>
            <w:vAlign w:val="bottom"/>
            <w:hideMark/>
          </w:tcPr>
          <w:p w:rsidR="00497EE3" w:rsidRPr="00F06708" w:rsidRDefault="00497EE3" w:rsidP="00497EE3">
            <w:pPr>
              <w:rPr>
                <w:rFonts w:ascii="Arial" w:hAnsi="Arial" w:cs="Arial"/>
                <w:sz w:val="16"/>
                <w:szCs w:val="16"/>
              </w:rPr>
            </w:pPr>
            <w:r w:rsidRPr="00F06708">
              <w:rPr>
                <w:rFonts w:ascii="Arial" w:hAnsi="Arial" w:cs="Arial"/>
                <w:sz w:val="16"/>
                <w:szCs w:val="16"/>
              </w:rPr>
              <w:t>Koszty sprzedaży i zarządu</w:t>
            </w:r>
          </w:p>
        </w:tc>
        <w:tc>
          <w:tcPr>
            <w:tcW w:w="1239"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sz w:val="16"/>
                <w:szCs w:val="16"/>
              </w:rPr>
            </w:pPr>
          </w:p>
        </w:tc>
        <w:tc>
          <w:tcPr>
            <w:tcW w:w="1093"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sz w:val="16"/>
                <w:szCs w:val="16"/>
              </w:rPr>
            </w:pPr>
          </w:p>
        </w:tc>
        <w:tc>
          <w:tcPr>
            <w:tcW w:w="1493" w:type="dxa"/>
            <w:tcBorders>
              <w:top w:val="nil"/>
              <w:left w:val="nil"/>
              <w:bottom w:val="nil"/>
              <w:right w:val="nil"/>
            </w:tcBorders>
            <w:shd w:val="clear" w:color="000000" w:fill="FFFFFF"/>
            <w:noWrap/>
            <w:vAlign w:val="bottom"/>
            <w:hideMark/>
          </w:tcPr>
          <w:p w:rsidR="00497EE3" w:rsidRPr="00F06708" w:rsidRDefault="00497EE3" w:rsidP="00497EE3">
            <w:pPr>
              <w:jc w:val="right"/>
              <w:rPr>
                <w:rFonts w:ascii="Arial" w:hAnsi="Arial" w:cs="Arial"/>
                <w:sz w:val="16"/>
                <w:szCs w:val="16"/>
              </w:rPr>
            </w:pPr>
            <w:r w:rsidRPr="00F06708">
              <w:rPr>
                <w:rFonts w:ascii="Arial" w:hAnsi="Arial" w:cs="Arial"/>
                <w:sz w:val="16"/>
                <w:szCs w:val="16"/>
              </w:rPr>
              <w:t>4 843</w:t>
            </w:r>
          </w:p>
        </w:tc>
        <w:tc>
          <w:tcPr>
            <w:tcW w:w="742"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sz w:val="16"/>
                <w:szCs w:val="16"/>
              </w:rPr>
            </w:pPr>
            <w:r w:rsidRPr="00F06708">
              <w:rPr>
                <w:rFonts w:ascii="Arial" w:hAnsi="Arial" w:cs="Arial"/>
                <w:sz w:val="16"/>
                <w:szCs w:val="16"/>
              </w:rPr>
              <w:t>4 843</w:t>
            </w:r>
          </w:p>
        </w:tc>
      </w:tr>
      <w:tr w:rsidR="00497EE3" w:rsidRPr="00F06708" w:rsidTr="00FB7083">
        <w:trPr>
          <w:trHeight w:val="283"/>
        </w:trPr>
        <w:tc>
          <w:tcPr>
            <w:tcW w:w="4033" w:type="dxa"/>
            <w:tcBorders>
              <w:top w:val="nil"/>
              <w:left w:val="nil"/>
              <w:bottom w:val="nil"/>
              <w:right w:val="nil"/>
            </w:tcBorders>
            <w:shd w:val="clear" w:color="auto" w:fill="auto"/>
            <w:noWrap/>
            <w:vAlign w:val="bottom"/>
            <w:hideMark/>
          </w:tcPr>
          <w:p w:rsidR="00497EE3" w:rsidRPr="00F06708" w:rsidRDefault="00497EE3" w:rsidP="00497EE3">
            <w:pPr>
              <w:rPr>
                <w:rFonts w:ascii="Arial" w:hAnsi="Arial" w:cs="Arial"/>
                <w:sz w:val="16"/>
                <w:szCs w:val="16"/>
              </w:rPr>
            </w:pPr>
            <w:r w:rsidRPr="00F06708">
              <w:rPr>
                <w:rFonts w:ascii="Arial" w:hAnsi="Arial" w:cs="Arial"/>
                <w:sz w:val="16"/>
                <w:szCs w:val="16"/>
              </w:rPr>
              <w:t>w tym amortyzacja</w:t>
            </w:r>
          </w:p>
        </w:tc>
        <w:tc>
          <w:tcPr>
            <w:tcW w:w="1239" w:type="dxa"/>
            <w:tcBorders>
              <w:top w:val="nil"/>
              <w:left w:val="nil"/>
              <w:bottom w:val="nil"/>
              <w:right w:val="nil"/>
            </w:tcBorders>
            <w:shd w:val="clear" w:color="auto" w:fill="auto"/>
            <w:noWrap/>
            <w:vAlign w:val="bottom"/>
            <w:hideMark/>
          </w:tcPr>
          <w:p w:rsidR="00497EE3" w:rsidRPr="00F06708" w:rsidRDefault="00497EE3" w:rsidP="00497EE3">
            <w:pPr>
              <w:rPr>
                <w:rFonts w:ascii="Arial" w:hAnsi="Arial" w:cs="Arial"/>
                <w:sz w:val="16"/>
                <w:szCs w:val="16"/>
              </w:rPr>
            </w:pPr>
          </w:p>
        </w:tc>
        <w:tc>
          <w:tcPr>
            <w:tcW w:w="1093" w:type="dxa"/>
            <w:tcBorders>
              <w:top w:val="nil"/>
              <w:left w:val="nil"/>
              <w:bottom w:val="nil"/>
              <w:right w:val="nil"/>
            </w:tcBorders>
            <w:shd w:val="clear" w:color="auto" w:fill="auto"/>
            <w:noWrap/>
            <w:vAlign w:val="bottom"/>
            <w:hideMark/>
          </w:tcPr>
          <w:p w:rsidR="00497EE3" w:rsidRPr="00F06708" w:rsidRDefault="00497EE3" w:rsidP="00497EE3">
            <w:pPr>
              <w:rPr>
                <w:rFonts w:ascii="Arial" w:hAnsi="Arial" w:cs="Arial"/>
                <w:sz w:val="16"/>
                <w:szCs w:val="16"/>
              </w:rPr>
            </w:pPr>
          </w:p>
        </w:tc>
        <w:tc>
          <w:tcPr>
            <w:tcW w:w="1493"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sz w:val="16"/>
                <w:szCs w:val="16"/>
              </w:rPr>
            </w:pPr>
            <w:r w:rsidRPr="00F06708">
              <w:rPr>
                <w:rFonts w:ascii="Arial" w:hAnsi="Arial" w:cs="Arial"/>
                <w:sz w:val="16"/>
                <w:szCs w:val="16"/>
              </w:rPr>
              <w:t>225</w:t>
            </w:r>
          </w:p>
        </w:tc>
        <w:tc>
          <w:tcPr>
            <w:tcW w:w="742"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sz w:val="16"/>
                <w:szCs w:val="16"/>
              </w:rPr>
            </w:pPr>
            <w:r w:rsidRPr="00F06708">
              <w:rPr>
                <w:rFonts w:ascii="Arial" w:hAnsi="Arial" w:cs="Arial"/>
                <w:sz w:val="16"/>
                <w:szCs w:val="16"/>
              </w:rPr>
              <w:t>225</w:t>
            </w:r>
          </w:p>
        </w:tc>
      </w:tr>
      <w:tr w:rsidR="00497EE3" w:rsidRPr="00F06708" w:rsidTr="00FB7083">
        <w:trPr>
          <w:trHeight w:val="283"/>
        </w:trPr>
        <w:tc>
          <w:tcPr>
            <w:tcW w:w="5272" w:type="dxa"/>
            <w:gridSpan w:val="2"/>
            <w:tcBorders>
              <w:top w:val="nil"/>
              <w:left w:val="nil"/>
              <w:bottom w:val="nil"/>
              <w:right w:val="nil"/>
            </w:tcBorders>
            <w:shd w:val="clear" w:color="auto" w:fill="auto"/>
            <w:noWrap/>
            <w:vAlign w:val="bottom"/>
            <w:hideMark/>
          </w:tcPr>
          <w:p w:rsidR="00497EE3" w:rsidRPr="00F06708" w:rsidRDefault="00497EE3" w:rsidP="00497EE3">
            <w:pPr>
              <w:rPr>
                <w:rFonts w:ascii="Arial" w:hAnsi="Arial" w:cs="Arial"/>
                <w:sz w:val="16"/>
                <w:szCs w:val="16"/>
              </w:rPr>
            </w:pPr>
            <w:r w:rsidRPr="00F06708">
              <w:rPr>
                <w:rFonts w:ascii="Arial" w:hAnsi="Arial" w:cs="Arial"/>
                <w:sz w:val="16"/>
                <w:szCs w:val="16"/>
              </w:rPr>
              <w:t>Saldo pozostałych przychodów i kosztów operacyjnych</w:t>
            </w:r>
          </w:p>
        </w:tc>
        <w:tc>
          <w:tcPr>
            <w:tcW w:w="1093"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sz w:val="16"/>
                <w:szCs w:val="16"/>
              </w:rPr>
            </w:pPr>
          </w:p>
        </w:tc>
        <w:tc>
          <w:tcPr>
            <w:tcW w:w="1493" w:type="dxa"/>
            <w:tcBorders>
              <w:top w:val="nil"/>
              <w:left w:val="nil"/>
              <w:bottom w:val="nil"/>
              <w:right w:val="nil"/>
            </w:tcBorders>
            <w:shd w:val="clear" w:color="000000" w:fill="FFFFFF"/>
            <w:noWrap/>
            <w:vAlign w:val="bottom"/>
            <w:hideMark/>
          </w:tcPr>
          <w:p w:rsidR="00497EE3" w:rsidRPr="00F06708" w:rsidRDefault="00497EE3" w:rsidP="00497EE3">
            <w:pPr>
              <w:jc w:val="right"/>
              <w:rPr>
                <w:rFonts w:ascii="Arial" w:hAnsi="Arial" w:cs="Arial"/>
                <w:sz w:val="16"/>
                <w:szCs w:val="16"/>
              </w:rPr>
            </w:pPr>
          </w:p>
        </w:tc>
        <w:tc>
          <w:tcPr>
            <w:tcW w:w="742"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sz w:val="16"/>
                <w:szCs w:val="16"/>
              </w:rPr>
            </w:pPr>
            <w:r w:rsidRPr="00F06708">
              <w:rPr>
                <w:rFonts w:ascii="Arial" w:hAnsi="Arial" w:cs="Arial"/>
                <w:sz w:val="16"/>
                <w:szCs w:val="16"/>
              </w:rPr>
              <w:t>-5 610</w:t>
            </w:r>
          </w:p>
        </w:tc>
      </w:tr>
      <w:tr w:rsidR="00497EE3" w:rsidRPr="00F06708" w:rsidTr="00FB7083">
        <w:trPr>
          <w:trHeight w:val="283"/>
        </w:trPr>
        <w:tc>
          <w:tcPr>
            <w:tcW w:w="4033" w:type="dxa"/>
            <w:tcBorders>
              <w:top w:val="nil"/>
              <w:left w:val="nil"/>
              <w:bottom w:val="nil"/>
              <w:right w:val="nil"/>
            </w:tcBorders>
            <w:shd w:val="clear" w:color="auto" w:fill="auto"/>
            <w:noWrap/>
            <w:vAlign w:val="bottom"/>
            <w:hideMark/>
          </w:tcPr>
          <w:p w:rsidR="00497EE3" w:rsidRPr="00F06708" w:rsidRDefault="00497EE3" w:rsidP="00497EE3">
            <w:pPr>
              <w:rPr>
                <w:rFonts w:ascii="Arial" w:hAnsi="Arial" w:cs="Arial"/>
                <w:b/>
                <w:bCs/>
                <w:sz w:val="16"/>
                <w:szCs w:val="16"/>
              </w:rPr>
            </w:pPr>
            <w:r w:rsidRPr="00F06708">
              <w:rPr>
                <w:rFonts w:ascii="Arial" w:hAnsi="Arial" w:cs="Arial"/>
                <w:b/>
                <w:bCs/>
                <w:sz w:val="16"/>
                <w:szCs w:val="16"/>
              </w:rPr>
              <w:t>Zysk operacyjny</w:t>
            </w:r>
          </w:p>
        </w:tc>
        <w:tc>
          <w:tcPr>
            <w:tcW w:w="1239"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b/>
                <w:sz w:val="16"/>
                <w:szCs w:val="16"/>
              </w:rPr>
            </w:pPr>
            <w:r w:rsidRPr="00F06708">
              <w:rPr>
                <w:rFonts w:ascii="Arial" w:hAnsi="Arial" w:cs="Arial"/>
                <w:b/>
                <w:sz w:val="16"/>
                <w:szCs w:val="16"/>
              </w:rPr>
              <w:t>3 361</w:t>
            </w:r>
          </w:p>
        </w:tc>
        <w:tc>
          <w:tcPr>
            <w:tcW w:w="1093"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b/>
                <w:sz w:val="16"/>
                <w:szCs w:val="16"/>
              </w:rPr>
            </w:pPr>
            <w:r w:rsidRPr="00F06708">
              <w:rPr>
                <w:rFonts w:ascii="Arial" w:hAnsi="Arial" w:cs="Arial"/>
                <w:b/>
                <w:sz w:val="16"/>
                <w:szCs w:val="16"/>
              </w:rPr>
              <w:t>1 077</w:t>
            </w:r>
          </w:p>
        </w:tc>
        <w:tc>
          <w:tcPr>
            <w:tcW w:w="1493"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b/>
                <w:sz w:val="16"/>
                <w:szCs w:val="16"/>
              </w:rPr>
            </w:pPr>
            <w:r w:rsidRPr="00F06708">
              <w:rPr>
                <w:rFonts w:ascii="Arial" w:hAnsi="Arial" w:cs="Arial"/>
                <w:b/>
                <w:sz w:val="16"/>
                <w:szCs w:val="16"/>
              </w:rPr>
              <w:t>-10 453</w:t>
            </w:r>
          </w:p>
        </w:tc>
        <w:tc>
          <w:tcPr>
            <w:tcW w:w="742"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b/>
                <w:sz w:val="16"/>
                <w:szCs w:val="16"/>
              </w:rPr>
            </w:pPr>
            <w:r w:rsidRPr="00F06708">
              <w:rPr>
                <w:rFonts w:ascii="Arial" w:hAnsi="Arial" w:cs="Arial"/>
                <w:b/>
                <w:sz w:val="16"/>
                <w:szCs w:val="16"/>
              </w:rPr>
              <w:t>-6 016</w:t>
            </w:r>
          </w:p>
        </w:tc>
      </w:tr>
      <w:tr w:rsidR="00497EE3" w:rsidRPr="00F06708" w:rsidTr="00FB7083">
        <w:trPr>
          <w:trHeight w:val="283"/>
        </w:trPr>
        <w:tc>
          <w:tcPr>
            <w:tcW w:w="4033" w:type="dxa"/>
            <w:tcBorders>
              <w:top w:val="nil"/>
              <w:left w:val="nil"/>
              <w:bottom w:val="nil"/>
              <w:right w:val="nil"/>
            </w:tcBorders>
            <w:shd w:val="clear" w:color="auto" w:fill="auto"/>
            <w:noWrap/>
            <w:vAlign w:val="bottom"/>
            <w:hideMark/>
          </w:tcPr>
          <w:p w:rsidR="00497EE3" w:rsidRPr="00F06708" w:rsidRDefault="00497EE3" w:rsidP="00497EE3">
            <w:pPr>
              <w:rPr>
                <w:rFonts w:ascii="Arial" w:hAnsi="Arial" w:cs="Arial"/>
                <w:sz w:val="16"/>
                <w:szCs w:val="16"/>
              </w:rPr>
            </w:pPr>
            <w:r w:rsidRPr="00F06708">
              <w:rPr>
                <w:rFonts w:ascii="Arial" w:hAnsi="Arial" w:cs="Arial"/>
                <w:sz w:val="16"/>
                <w:szCs w:val="16"/>
              </w:rPr>
              <w:t>Saldo przychodów i kosztów finansowych</w:t>
            </w:r>
          </w:p>
        </w:tc>
        <w:tc>
          <w:tcPr>
            <w:tcW w:w="1239"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sz w:val="16"/>
                <w:szCs w:val="16"/>
              </w:rPr>
            </w:pPr>
          </w:p>
        </w:tc>
        <w:tc>
          <w:tcPr>
            <w:tcW w:w="1093"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sz w:val="16"/>
                <w:szCs w:val="16"/>
              </w:rPr>
            </w:pPr>
          </w:p>
        </w:tc>
        <w:tc>
          <w:tcPr>
            <w:tcW w:w="1493"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sz w:val="16"/>
                <w:szCs w:val="16"/>
              </w:rPr>
            </w:pPr>
            <w:r w:rsidRPr="00F06708">
              <w:rPr>
                <w:rFonts w:ascii="Arial" w:hAnsi="Arial" w:cs="Arial"/>
                <w:sz w:val="16"/>
                <w:szCs w:val="16"/>
              </w:rPr>
              <w:t>-835</w:t>
            </w:r>
          </w:p>
        </w:tc>
        <w:tc>
          <w:tcPr>
            <w:tcW w:w="742"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sz w:val="16"/>
                <w:szCs w:val="16"/>
              </w:rPr>
            </w:pPr>
            <w:r w:rsidRPr="00F06708">
              <w:rPr>
                <w:rFonts w:ascii="Arial" w:hAnsi="Arial" w:cs="Arial"/>
                <w:sz w:val="16"/>
                <w:szCs w:val="16"/>
              </w:rPr>
              <w:t>-835</w:t>
            </w:r>
          </w:p>
        </w:tc>
      </w:tr>
      <w:tr w:rsidR="00497EE3" w:rsidRPr="00F06708" w:rsidTr="00FB7083">
        <w:trPr>
          <w:trHeight w:val="283"/>
        </w:trPr>
        <w:tc>
          <w:tcPr>
            <w:tcW w:w="4033" w:type="dxa"/>
            <w:tcBorders>
              <w:top w:val="nil"/>
              <w:left w:val="nil"/>
              <w:bottom w:val="nil"/>
              <w:right w:val="nil"/>
            </w:tcBorders>
            <w:shd w:val="clear" w:color="auto" w:fill="auto"/>
            <w:noWrap/>
            <w:vAlign w:val="bottom"/>
            <w:hideMark/>
          </w:tcPr>
          <w:p w:rsidR="00497EE3" w:rsidRPr="00F06708" w:rsidRDefault="00497EE3" w:rsidP="00497EE3">
            <w:pPr>
              <w:rPr>
                <w:rFonts w:ascii="Arial" w:hAnsi="Arial" w:cs="Arial"/>
                <w:b/>
                <w:bCs/>
                <w:sz w:val="16"/>
                <w:szCs w:val="16"/>
              </w:rPr>
            </w:pPr>
            <w:r w:rsidRPr="00F06708">
              <w:rPr>
                <w:rFonts w:ascii="Arial" w:hAnsi="Arial" w:cs="Arial"/>
                <w:b/>
                <w:bCs/>
                <w:sz w:val="16"/>
                <w:szCs w:val="16"/>
              </w:rPr>
              <w:t>Zysk  przed opodatkowaniem</w:t>
            </w:r>
          </w:p>
        </w:tc>
        <w:tc>
          <w:tcPr>
            <w:tcW w:w="1239"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b/>
                <w:sz w:val="16"/>
                <w:szCs w:val="16"/>
              </w:rPr>
            </w:pPr>
            <w:r w:rsidRPr="00F06708">
              <w:rPr>
                <w:rFonts w:ascii="Arial" w:hAnsi="Arial" w:cs="Arial"/>
                <w:b/>
                <w:sz w:val="16"/>
                <w:szCs w:val="16"/>
              </w:rPr>
              <w:t>3 361</w:t>
            </w:r>
          </w:p>
        </w:tc>
        <w:tc>
          <w:tcPr>
            <w:tcW w:w="1093"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b/>
                <w:sz w:val="16"/>
                <w:szCs w:val="16"/>
              </w:rPr>
            </w:pPr>
            <w:r w:rsidRPr="00F06708">
              <w:rPr>
                <w:rFonts w:ascii="Arial" w:hAnsi="Arial" w:cs="Arial"/>
                <w:b/>
                <w:sz w:val="16"/>
                <w:szCs w:val="16"/>
              </w:rPr>
              <w:t>1 077</w:t>
            </w:r>
          </w:p>
        </w:tc>
        <w:tc>
          <w:tcPr>
            <w:tcW w:w="1493"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b/>
                <w:sz w:val="16"/>
                <w:szCs w:val="16"/>
              </w:rPr>
            </w:pPr>
            <w:r w:rsidRPr="00F06708">
              <w:rPr>
                <w:rFonts w:ascii="Arial" w:hAnsi="Arial" w:cs="Arial"/>
                <w:b/>
                <w:sz w:val="16"/>
                <w:szCs w:val="16"/>
              </w:rPr>
              <w:t>-11 288</w:t>
            </w:r>
          </w:p>
        </w:tc>
        <w:tc>
          <w:tcPr>
            <w:tcW w:w="742"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b/>
                <w:sz w:val="16"/>
                <w:szCs w:val="16"/>
              </w:rPr>
            </w:pPr>
            <w:r w:rsidRPr="00F06708">
              <w:rPr>
                <w:rFonts w:ascii="Arial" w:hAnsi="Arial" w:cs="Arial"/>
                <w:b/>
                <w:sz w:val="16"/>
                <w:szCs w:val="16"/>
              </w:rPr>
              <w:t>-6 851</w:t>
            </w:r>
          </w:p>
        </w:tc>
      </w:tr>
      <w:tr w:rsidR="00497EE3" w:rsidRPr="00F06708" w:rsidTr="00FB7083">
        <w:trPr>
          <w:trHeight w:val="283"/>
        </w:trPr>
        <w:tc>
          <w:tcPr>
            <w:tcW w:w="4033" w:type="dxa"/>
            <w:tcBorders>
              <w:top w:val="nil"/>
              <w:left w:val="nil"/>
              <w:bottom w:val="nil"/>
              <w:right w:val="nil"/>
            </w:tcBorders>
            <w:shd w:val="clear" w:color="auto" w:fill="auto"/>
            <w:noWrap/>
            <w:vAlign w:val="bottom"/>
            <w:hideMark/>
          </w:tcPr>
          <w:p w:rsidR="00497EE3" w:rsidRPr="00F06708" w:rsidRDefault="00497EE3" w:rsidP="00497EE3">
            <w:pPr>
              <w:rPr>
                <w:rFonts w:ascii="Arial" w:hAnsi="Arial" w:cs="Arial"/>
                <w:sz w:val="16"/>
                <w:szCs w:val="16"/>
              </w:rPr>
            </w:pPr>
            <w:r w:rsidRPr="00F06708">
              <w:rPr>
                <w:rFonts w:ascii="Arial" w:hAnsi="Arial" w:cs="Arial"/>
                <w:sz w:val="16"/>
                <w:szCs w:val="16"/>
              </w:rPr>
              <w:t xml:space="preserve">Podatek dochodowy </w:t>
            </w:r>
          </w:p>
        </w:tc>
        <w:tc>
          <w:tcPr>
            <w:tcW w:w="1239" w:type="dxa"/>
            <w:tcBorders>
              <w:top w:val="nil"/>
              <w:left w:val="nil"/>
              <w:bottom w:val="nil"/>
              <w:right w:val="nil"/>
            </w:tcBorders>
            <w:shd w:val="clear" w:color="auto" w:fill="auto"/>
            <w:noWrap/>
            <w:vAlign w:val="bottom"/>
            <w:hideMark/>
          </w:tcPr>
          <w:p w:rsidR="00497EE3" w:rsidRPr="00F06708" w:rsidRDefault="003C41BA" w:rsidP="00497EE3">
            <w:pPr>
              <w:jc w:val="right"/>
              <w:rPr>
                <w:rFonts w:ascii="Arial" w:hAnsi="Arial" w:cs="Arial"/>
                <w:sz w:val="16"/>
                <w:szCs w:val="16"/>
              </w:rPr>
            </w:pPr>
            <w:r w:rsidRPr="00F06708">
              <w:rPr>
                <w:rFonts w:ascii="Arial" w:hAnsi="Arial" w:cs="Arial"/>
                <w:sz w:val="16"/>
                <w:szCs w:val="16"/>
              </w:rPr>
              <w:t>-</w:t>
            </w:r>
          </w:p>
        </w:tc>
        <w:tc>
          <w:tcPr>
            <w:tcW w:w="1093" w:type="dxa"/>
            <w:tcBorders>
              <w:top w:val="nil"/>
              <w:left w:val="nil"/>
              <w:bottom w:val="nil"/>
              <w:right w:val="nil"/>
            </w:tcBorders>
            <w:shd w:val="clear" w:color="auto" w:fill="auto"/>
            <w:noWrap/>
            <w:vAlign w:val="bottom"/>
            <w:hideMark/>
          </w:tcPr>
          <w:p w:rsidR="00497EE3" w:rsidRPr="00F06708" w:rsidRDefault="003C41BA" w:rsidP="00497EE3">
            <w:pPr>
              <w:jc w:val="right"/>
              <w:rPr>
                <w:rFonts w:ascii="Arial" w:hAnsi="Arial" w:cs="Arial"/>
                <w:sz w:val="16"/>
                <w:szCs w:val="16"/>
              </w:rPr>
            </w:pPr>
            <w:r w:rsidRPr="00F06708">
              <w:rPr>
                <w:rFonts w:ascii="Arial" w:hAnsi="Arial" w:cs="Arial"/>
                <w:sz w:val="16"/>
                <w:szCs w:val="16"/>
              </w:rPr>
              <w:t>-</w:t>
            </w:r>
          </w:p>
        </w:tc>
        <w:tc>
          <w:tcPr>
            <w:tcW w:w="1493"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sz w:val="16"/>
                <w:szCs w:val="16"/>
              </w:rPr>
            </w:pPr>
            <w:r w:rsidRPr="00F06708">
              <w:rPr>
                <w:rFonts w:ascii="Arial" w:hAnsi="Arial" w:cs="Arial"/>
                <w:sz w:val="16"/>
                <w:szCs w:val="16"/>
              </w:rPr>
              <w:t>-31</w:t>
            </w:r>
          </w:p>
        </w:tc>
        <w:tc>
          <w:tcPr>
            <w:tcW w:w="742"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sz w:val="16"/>
                <w:szCs w:val="16"/>
              </w:rPr>
            </w:pPr>
            <w:r w:rsidRPr="00F06708">
              <w:rPr>
                <w:rFonts w:ascii="Arial" w:hAnsi="Arial" w:cs="Arial"/>
                <w:sz w:val="16"/>
                <w:szCs w:val="16"/>
              </w:rPr>
              <w:t>-31</w:t>
            </w:r>
          </w:p>
        </w:tc>
      </w:tr>
      <w:tr w:rsidR="00497EE3" w:rsidRPr="00F06708" w:rsidTr="00FB7083">
        <w:trPr>
          <w:trHeight w:val="283"/>
        </w:trPr>
        <w:tc>
          <w:tcPr>
            <w:tcW w:w="4033" w:type="dxa"/>
            <w:tcBorders>
              <w:top w:val="nil"/>
              <w:left w:val="nil"/>
              <w:bottom w:val="nil"/>
              <w:right w:val="nil"/>
            </w:tcBorders>
            <w:shd w:val="clear" w:color="auto" w:fill="auto"/>
            <w:noWrap/>
            <w:vAlign w:val="bottom"/>
            <w:hideMark/>
          </w:tcPr>
          <w:p w:rsidR="00497EE3" w:rsidRPr="00F06708" w:rsidRDefault="00497EE3" w:rsidP="00497EE3">
            <w:pPr>
              <w:rPr>
                <w:rFonts w:ascii="Arial" w:hAnsi="Arial" w:cs="Arial"/>
                <w:b/>
                <w:bCs/>
                <w:sz w:val="16"/>
                <w:szCs w:val="16"/>
              </w:rPr>
            </w:pPr>
            <w:r w:rsidRPr="00F06708">
              <w:rPr>
                <w:rFonts w:ascii="Arial" w:hAnsi="Arial" w:cs="Arial"/>
                <w:b/>
                <w:bCs/>
                <w:sz w:val="16"/>
                <w:szCs w:val="16"/>
              </w:rPr>
              <w:t>Zysk netto</w:t>
            </w:r>
          </w:p>
        </w:tc>
        <w:tc>
          <w:tcPr>
            <w:tcW w:w="1239"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b/>
                <w:sz w:val="16"/>
                <w:szCs w:val="16"/>
              </w:rPr>
            </w:pPr>
            <w:r w:rsidRPr="00F06708">
              <w:rPr>
                <w:rFonts w:ascii="Arial" w:hAnsi="Arial" w:cs="Arial"/>
                <w:b/>
                <w:sz w:val="16"/>
                <w:szCs w:val="16"/>
              </w:rPr>
              <w:t>3 361</w:t>
            </w:r>
          </w:p>
        </w:tc>
        <w:tc>
          <w:tcPr>
            <w:tcW w:w="1093"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b/>
                <w:sz w:val="16"/>
                <w:szCs w:val="16"/>
              </w:rPr>
            </w:pPr>
            <w:r w:rsidRPr="00F06708">
              <w:rPr>
                <w:rFonts w:ascii="Arial" w:hAnsi="Arial" w:cs="Arial"/>
                <w:b/>
                <w:sz w:val="16"/>
                <w:szCs w:val="16"/>
              </w:rPr>
              <w:t>1 077</w:t>
            </w:r>
          </w:p>
        </w:tc>
        <w:tc>
          <w:tcPr>
            <w:tcW w:w="1493"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b/>
                <w:sz w:val="16"/>
                <w:szCs w:val="16"/>
              </w:rPr>
            </w:pPr>
            <w:r w:rsidRPr="00F06708">
              <w:rPr>
                <w:rFonts w:ascii="Arial" w:hAnsi="Arial" w:cs="Arial"/>
                <w:b/>
                <w:sz w:val="16"/>
                <w:szCs w:val="16"/>
              </w:rPr>
              <w:t>-11 257</w:t>
            </w:r>
          </w:p>
        </w:tc>
        <w:tc>
          <w:tcPr>
            <w:tcW w:w="742" w:type="dxa"/>
            <w:tcBorders>
              <w:top w:val="nil"/>
              <w:left w:val="nil"/>
              <w:bottom w:val="nil"/>
              <w:right w:val="nil"/>
            </w:tcBorders>
            <w:shd w:val="clear" w:color="auto" w:fill="auto"/>
            <w:noWrap/>
            <w:vAlign w:val="bottom"/>
            <w:hideMark/>
          </w:tcPr>
          <w:p w:rsidR="00497EE3" w:rsidRPr="00F06708" w:rsidRDefault="00497EE3" w:rsidP="00497EE3">
            <w:pPr>
              <w:jc w:val="right"/>
              <w:rPr>
                <w:rFonts w:ascii="Arial" w:hAnsi="Arial" w:cs="Arial"/>
                <w:b/>
                <w:sz w:val="16"/>
                <w:szCs w:val="16"/>
              </w:rPr>
            </w:pPr>
            <w:r w:rsidRPr="00F06708">
              <w:rPr>
                <w:rFonts w:ascii="Arial" w:hAnsi="Arial" w:cs="Arial"/>
                <w:b/>
                <w:sz w:val="16"/>
                <w:szCs w:val="16"/>
              </w:rPr>
              <w:t>-6 820</w:t>
            </w:r>
          </w:p>
        </w:tc>
      </w:tr>
    </w:tbl>
    <w:p w:rsidR="005D3822" w:rsidRDefault="005D3822" w:rsidP="005D3822">
      <w:pPr>
        <w:tabs>
          <w:tab w:val="left" w:pos="540"/>
        </w:tabs>
        <w:spacing w:line="260" w:lineRule="exact"/>
        <w:jc w:val="both"/>
        <w:rPr>
          <w:rFonts w:ascii="Arial" w:hAnsi="Arial" w:cs="Arial"/>
          <w:sz w:val="18"/>
          <w:szCs w:val="18"/>
        </w:rPr>
      </w:pPr>
    </w:p>
    <w:p w:rsidR="005D3822" w:rsidRDefault="005D3822" w:rsidP="005D3822">
      <w:pPr>
        <w:tabs>
          <w:tab w:val="left" w:pos="540"/>
        </w:tabs>
        <w:spacing w:line="260" w:lineRule="exact"/>
        <w:jc w:val="both"/>
        <w:rPr>
          <w:rFonts w:ascii="Arial" w:hAnsi="Arial" w:cs="Arial"/>
          <w:sz w:val="18"/>
          <w:szCs w:val="18"/>
        </w:rPr>
      </w:pPr>
      <w:r w:rsidRPr="00F31D8E">
        <w:rPr>
          <w:rFonts w:ascii="Arial" w:hAnsi="Arial" w:cs="Arial"/>
          <w:sz w:val="18"/>
          <w:szCs w:val="18"/>
        </w:rPr>
        <w:t>W grupie pozostałych segmentów nie występuje taki, z którego sprzedaż jest wyższa niż 10% łącznej sprzedaży Spółki.</w:t>
      </w:r>
      <w:r w:rsidR="00F06708">
        <w:rPr>
          <w:rFonts w:ascii="Arial" w:hAnsi="Arial" w:cs="Arial"/>
          <w:sz w:val="18"/>
          <w:szCs w:val="18"/>
        </w:rPr>
        <w:t xml:space="preserve"> </w:t>
      </w:r>
      <w:r w:rsidRPr="00F31D8E">
        <w:rPr>
          <w:rFonts w:ascii="Arial" w:hAnsi="Arial" w:cs="Arial"/>
          <w:sz w:val="18"/>
          <w:szCs w:val="18"/>
        </w:rPr>
        <w:t xml:space="preserve">Główny decydent nie dokonuje przeglądu aktywów i zobowiązań dla poszczególnych segmentów, </w:t>
      </w:r>
      <w:r w:rsidR="00F06708">
        <w:rPr>
          <w:rFonts w:ascii="Arial" w:hAnsi="Arial" w:cs="Arial"/>
          <w:sz w:val="18"/>
          <w:szCs w:val="18"/>
        </w:rPr>
        <w:br/>
      </w:r>
      <w:r w:rsidRPr="00F31D8E">
        <w:rPr>
          <w:rFonts w:ascii="Arial" w:hAnsi="Arial" w:cs="Arial"/>
          <w:sz w:val="18"/>
          <w:szCs w:val="18"/>
        </w:rPr>
        <w:t>a jedynie dla Spółki łącznie.</w:t>
      </w:r>
    </w:p>
    <w:p w:rsidR="005D3822" w:rsidRDefault="005D3822" w:rsidP="005D3822">
      <w:pPr>
        <w:tabs>
          <w:tab w:val="left" w:pos="540"/>
        </w:tabs>
        <w:spacing w:line="260" w:lineRule="exact"/>
        <w:jc w:val="both"/>
        <w:rPr>
          <w:rFonts w:ascii="Arial" w:hAnsi="Arial" w:cs="Arial"/>
          <w:b/>
          <w:sz w:val="18"/>
          <w:szCs w:val="18"/>
        </w:rPr>
      </w:pPr>
    </w:p>
    <w:p w:rsidR="005D3822" w:rsidRPr="00F31D8E" w:rsidRDefault="005D3822" w:rsidP="005D3822">
      <w:pPr>
        <w:tabs>
          <w:tab w:val="left" w:pos="540"/>
        </w:tabs>
        <w:spacing w:line="260" w:lineRule="exact"/>
        <w:jc w:val="both"/>
        <w:rPr>
          <w:rFonts w:ascii="Arial" w:hAnsi="Arial" w:cs="Arial"/>
          <w:b/>
          <w:sz w:val="18"/>
          <w:szCs w:val="18"/>
        </w:rPr>
      </w:pPr>
      <w:r>
        <w:rPr>
          <w:rFonts w:ascii="Arial" w:hAnsi="Arial" w:cs="Arial"/>
          <w:b/>
          <w:sz w:val="18"/>
          <w:szCs w:val="18"/>
        </w:rPr>
        <w:t>IX</w:t>
      </w:r>
      <w:r w:rsidRPr="00F31D8E">
        <w:rPr>
          <w:rFonts w:ascii="Arial" w:hAnsi="Arial" w:cs="Arial"/>
          <w:b/>
          <w:sz w:val="18"/>
          <w:szCs w:val="18"/>
        </w:rPr>
        <w:t xml:space="preserve">. Zdarzenia po dniu bilansowym. </w:t>
      </w:r>
    </w:p>
    <w:p w:rsidR="005D3822" w:rsidRPr="000E0157" w:rsidRDefault="005D3822" w:rsidP="005D3822">
      <w:pPr>
        <w:tabs>
          <w:tab w:val="left" w:pos="540"/>
        </w:tabs>
        <w:spacing w:line="260" w:lineRule="exact"/>
        <w:jc w:val="both"/>
        <w:rPr>
          <w:rFonts w:ascii="Arial" w:hAnsi="Arial" w:cs="Arial"/>
          <w:sz w:val="18"/>
          <w:szCs w:val="18"/>
        </w:rPr>
      </w:pPr>
    </w:p>
    <w:p w:rsidR="005D3822" w:rsidRPr="003C0E18" w:rsidRDefault="005D3822" w:rsidP="005D3822">
      <w:pPr>
        <w:tabs>
          <w:tab w:val="left" w:pos="540"/>
        </w:tabs>
        <w:spacing w:line="260" w:lineRule="exact"/>
        <w:jc w:val="both"/>
        <w:rPr>
          <w:rFonts w:ascii="Arial" w:hAnsi="Arial" w:cs="Arial"/>
          <w:sz w:val="18"/>
          <w:szCs w:val="18"/>
        </w:rPr>
      </w:pPr>
      <w:r w:rsidRPr="003C0E18">
        <w:rPr>
          <w:rFonts w:ascii="Arial" w:hAnsi="Arial" w:cs="Arial"/>
          <w:sz w:val="18"/>
          <w:szCs w:val="18"/>
        </w:rPr>
        <w:t xml:space="preserve">Po dniu, na który sporządzono sprawozdania finansowe, nie wystąpiły zdarzenia, które nie zostały ujęte </w:t>
      </w:r>
      <w:r w:rsidRPr="003C0E18">
        <w:rPr>
          <w:rFonts w:ascii="Arial" w:hAnsi="Arial" w:cs="Arial"/>
          <w:sz w:val="18"/>
          <w:szCs w:val="18"/>
        </w:rPr>
        <w:br/>
      </w:r>
      <w:r w:rsidR="006D578F">
        <w:rPr>
          <w:rFonts w:ascii="Arial" w:hAnsi="Arial" w:cs="Arial"/>
          <w:sz w:val="18"/>
          <w:szCs w:val="18"/>
        </w:rPr>
        <w:t>w skróconym sprawozdaniu, a mogłyby</w:t>
      </w:r>
      <w:r w:rsidRPr="003C0E18">
        <w:rPr>
          <w:rFonts w:ascii="Arial" w:hAnsi="Arial" w:cs="Arial"/>
          <w:sz w:val="18"/>
          <w:szCs w:val="18"/>
        </w:rPr>
        <w:t xml:space="preserve"> w znaczący sposób wpłynąć na wyniki finansowe Spółki.</w:t>
      </w:r>
    </w:p>
    <w:p w:rsidR="005D3822" w:rsidRDefault="005D3822" w:rsidP="005D3822">
      <w:pPr>
        <w:rPr>
          <w:rFonts w:ascii="Arial" w:hAnsi="Arial" w:cs="Arial"/>
          <w:b/>
          <w:sz w:val="18"/>
          <w:szCs w:val="18"/>
        </w:rPr>
      </w:pPr>
    </w:p>
    <w:p w:rsidR="005D3822" w:rsidRPr="00F31D8E" w:rsidRDefault="005D3822" w:rsidP="005D3822">
      <w:pPr>
        <w:tabs>
          <w:tab w:val="left" w:pos="540"/>
        </w:tabs>
        <w:spacing w:line="260" w:lineRule="exact"/>
        <w:jc w:val="both"/>
        <w:rPr>
          <w:rFonts w:ascii="Arial" w:hAnsi="Arial" w:cs="Arial"/>
          <w:b/>
          <w:sz w:val="18"/>
          <w:szCs w:val="18"/>
        </w:rPr>
      </w:pPr>
      <w:r w:rsidRPr="00F31D8E">
        <w:rPr>
          <w:rFonts w:ascii="Arial" w:hAnsi="Arial" w:cs="Arial"/>
          <w:b/>
          <w:sz w:val="18"/>
          <w:szCs w:val="18"/>
        </w:rPr>
        <w:t>X. Wskazanie skutków zmian w strukturze Organizacji, w tym w wyniku połączenia jednostek gospodarczych, przejęcia lub sprzedaży jednostek, inwestycji długoterminowych, podziału, restrukturyzacji i zaniechania działalności.</w:t>
      </w:r>
    </w:p>
    <w:p w:rsidR="005D3822" w:rsidRPr="00F31D8E" w:rsidRDefault="005D3822" w:rsidP="005D3822">
      <w:pPr>
        <w:tabs>
          <w:tab w:val="left" w:pos="540"/>
        </w:tabs>
        <w:spacing w:line="260" w:lineRule="exact"/>
        <w:jc w:val="both"/>
        <w:rPr>
          <w:rFonts w:ascii="Arial" w:hAnsi="Arial" w:cs="Arial"/>
          <w:sz w:val="18"/>
          <w:szCs w:val="18"/>
        </w:rPr>
      </w:pPr>
    </w:p>
    <w:p w:rsidR="005D3822" w:rsidRPr="00661ED4" w:rsidRDefault="005D3822" w:rsidP="005D3822">
      <w:pPr>
        <w:tabs>
          <w:tab w:val="left" w:pos="540"/>
        </w:tabs>
        <w:spacing w:line="260" w:lineRule="exact"/>
        <w:jc w:val="both"/>
        <w:rPr>
          <w:rFonts w:ascii="Arial" w:hAnsi="Arial" w:cs="Arial"/>
          <w:sz w:val="18"/>
          <w:szCs w:val="18"/>
        </w:rPr>
      </w:pPr>
      <w:r w:rsidRPr="00661ED4">
        <w:rPr>
          <w:rFonts w:ascii="Arial" w:hAnsi="Arial" w:cs="Arial"/>
          <w:sz w:val="18"/>
          <w:szCs w:val="18"/>
        </w:rPr>
        <w:t>W prezentowanym okresie sprawozdawczym nie nastąpiły zmiany w strukturze Organizacji w wyniku połączenia jednostek gospodarczych, przejęcia lub sprzedaży jednostek, inwestycji długoterminowych, podziału, restrukturyzacji i zaniechania działalności.</w:t>
      </w:r>
    </w:p>
    <w:p w:rsidR="000D373B" w:rsidRDefault="000D373B">
      <w:pPr>
        <w:rPr>
          <w:rFonts w:ascii="Arial" w:hAnsi="Arial" w:cs="Arial"/>
          <w:b/>
          <w:sz w:val="18"/>
          <w:szCs w:val="18"/>
        </w:rPr>
      </w:pPr>
    </w:p>
    <w:p w:rsidR="005D3822" w:rsidRPr="00F31D8E" w:rsidRDefault="005D3822" w:rsidP="005D3822">
      <w:pPr>
        <w:tabs>
          <w:tab w:val="left" w:pos="540"/>
        </w:tabs>
        <w:spacing w:line="260" w:lineRule="exact"/>
        <w:jc w:val="both"/>
        <w:rPr>
          <w:rFonts w:ascii="Arial" w:hAnsi="Arial" w:cs="Arial"/>
          <w:b/>
          <w:sz w:val="18"/>
          <w:szCs w:val="18"/>
        </w:rPr>
      </w:pPr>
      <w:r w:rsidRPr="00F31D8E">
        <w:rPr>
          <w:rFonts w:ascii="Arial" w:hAnsi="Arial" w:cs="Arial"/>
          <w:b/>
          <w:sz w:val="18"/>
          <w:szCs w:val="18"/>
        </w:rPr>
        <w:t>X</w:t>
      </w:r>
      <w:r>
        <w:rPr>
          <w:rFonts w:ascii="Arial" w:hAnsi="Arial" w:cs="Arial"/>
          <w:b/>
          <w:sz w:val="18"/>
          <w:szCs w:val="18"/>
        </w:rPr>
        <w:t>I</w:t>
      </w:r>
      <w:r w:rsidRPr="00F31D8E">
        <w:rPr>
          <w:rFonts w:ascii="Arial" w:hAnsi="Arial" w:cs="Arial"/>
          <w:b/>
          <w:sz w:val="18"/>
          <w:szCs w:val="18"/>
        </w:rPr>
        <w:t>. Informacje dotyczące zmian zobowiązań warunkowych lub aktywów warunkowych, które nastąpiły od czasu zakończenia ostatniego roku bilansowego.</w:t>
      </w:r>
    </w:p>
    <w:p w:rsidR="005D3822" w:rsidRPr="00F31D8E" w:rsidRDefault="005D3822" w:rsidP="005D3822">
      <w:pPr>
        <w:tabs>
          <w:tab w:val="left" w:pos="540"/>
        </w:tabs>
        <w:spacing w:line="260" w:lineRule="exact"/>
        <w:jc w:val="both"/>
        <w:rPr>
          <w:rFonts w:ascii="Arial" w:hAnsi="Arial" w:cs="Arial"/>
          <w:sz w:val="18"/>
          <w:szCs w:val="18"/>
        </w:rPr>
      </w:pPr>
    </w:p>
    <w:p w:rsidR="005D3822" w:rsidRDefault="005D3822" w:rsidP="005D3822">
      <w:pPr>
        <w:tabs>
          <w:tab w:val="left" w:pos="540"/>
        </w:tabs>
        <w:spacing w:line="260" w:lineRule="exact"/>
        <w:jc w:val="both"/>
        <w:rPr>
          <w:rFonts w:ascii="Arial" w:hAnsi="Arial" w:cs="Arial"/>
          <w:sz w:val="18"/>
          <w:szCs w:val="18"/>
        </w:rPr>
      </w:pPr>
      <w:r w:rsidRPr="00AC2108">
        <w:rPr>
          <w:rFonts w:ascii="Arial" w:hAnsi="Arial" w:cs="Arial"/>
          <w:sz w:val="18"/>
          <w:szCs w:val="18"/>
        </w:rPr>
        <w:t xml:space="preserve">Na koniec okresu sprawozdawczego dokonano szacunków aktywów i zobowiązań warunkowych, które ujęto </w:t>
      </w:r>
      <w:r w:rsidRPr="00AC2108">
        <w:rPr>
          <w:rFonts w:ascii="Arial" w:hAnsi="Arial" w:cs="Arial"/>
          <w:sz w:val="18"/>
          <w:szCs w:val="18"/>
        </w:rPr>
        <w:br/>
        <w:t>w księgach pozabilansowych.</w:t>
      </w:r>
    </w:p>
    <w:tbl>
      <w:tblPr>
        <w:tblW w:w="8081" w:type="dxa"/>
        <w:tblInd w:w="55" w:type="dxa"/>
        <w:tblCellMar>
          <w:left w:w="0" w:type="dxa"/>
          <w:right w:w="0" w:type="dxa"/>
        </w:tblCellMar>
        <w:tblLook w:val="04A0" w:firstRow="1" w:lastRow="0" w:firstColumn="1" w:lastColumn="0" w:noHBand="0" w:noVBand="1"/>
      </w:tblPr>
      <w:tblGrid>
        <w:gridCol w:w="360"/>
        <w:gridCol w:w="4050"/>
        <w:gridCol w:w="2551"/>
        <w:gridCol w:w="1120"/>
      </w:tblGrid>
      <w:tr w:rsidR="000A05FB" w:rsidRPr="00F06708" w:rsidTr="00FB7083">
        <w:trPr>
          <w:trHeight w:val="247"/>
        </w:trPr>
        <w:tc>
          <w:tcPr>
            <w:tcW w:w="360" w:type="dxa"/>
            <w:noWrap/>
            <w:tcMar>
              <w:top w:w="0" w:type="dxa"/>
              <w:left w:w="70" w:type="dxa"/>
              <w:bottom w:w="0" w:type="dxa"/>
              <w:right w:w="70" w:type="dxa"/>
            </w:tcMar>
            <w:vAlign w:val="bottom"/>
            <w:hideMark/>
          </w:tcPr>
          <w:p w:rsidR="000A05FB" w:rsidRPr="00F06708" w:rsidRDefault="000A05FB" w:rsidP="00FB7083">
            <w:pPr>
              <w:rPr>
                <w:sz w:val="16"/>
                <w:szCs w:val="16"/>
              </w:rPr>
            </w:pPr>
          </w:p>
        </w:tc>
        <w:tc>
          <w:tcPr>
            <w:tcW w:w="4050" w:type="dxa"/>
            <w:noWrap/>
            <w:tcMar>
              <w:top w:w="0" w:type="dxa"/>
              <w:left w:w="70" w:type="dxa"/>
              <w:bottom w:w="0" w:type="dxa"/>
              <w:right w:w="70" w:type="dxa"/>
            </w:tcMar>
            <w:vAlign w:val="bottom"/>
            <w:hideMark/>
          </w:tcPr>
          <w:p w:rsidR="000A05FB" w:rsidRPr="00F06708" w:rsidRDefault="000A05FB" w:rsidP="00FB7083">
            <w:pPr>
              <w:rPr>
                <w:sz w:val="16"/>
                <w:szCs w:val="16"/>
              </w:rPr>
            </w:pPr>
          </w:p>
        </w:tc>
        <w:tc>
          <w:tcPr>
            <w:tcW w:w="2551" w:type="dxa"/>
            <w:tcMar>
              <w:top w:w="0" w:type="dxa"/>
              <w:left w:w="70" w:type="dxa"/>
              <w:bottom w:w="0" w:type="dxa"/>
              <w:right w:w="70" w:type="dxa"/>
            </w:tcMar>
            <w:vAlign w:val="center"/>
            <w:hideMark/>
          </w:tcPr>
          <w:p w:rsidR="000A05FB" w:rsidRPr="00F06708" w:rsidRDefault="000A05FB" w:rsidP="003C41BA">
            <w:pPr>
              <w:jc w:val="center"/>
              <w:rPr>
                <w:rFonts w:ascii="Arial" w:eastAsiaTheme="minorHAnsi" w:hAnsi="Arial" w:cs="Arial"/>
                <w:b/>
                <w:bCs/>
                <w:sz w:val="16"/>
                <w:szCs w:val="16"/>
                <w:lang w:eastAsia="en-US"/>
              </w:rPr>
            </w:pPr>
            <w:r w:rsidRPr="00F06708">
              <w:rPr>
                <w:rFonts w:ascii="Arial" w:hAnsi="Arial" w:cs="Arial"/>
                <w:b/>
                <w:bCs/>
                <w:sz w:val="16"/>
                <w:szCs w:val="16"/>
              </w:rPr>
              <w:t>Należności / Zobowiązania</w:t>
            </w:r>
          </w:p>
        </w:tc>
        <w:tc>
          <w:tcPr>
            <w:tcW w:w="1120" w:type="dxa"/>
            <w:tcMar>
              <w:top w:w="0" w:type="dxa"/>
              <w:left w:w="70" w:type="dxa"/>
              <w:bottom w:w="0" w:type="dxa"/>
              <w:right w:w="70" w:type="dxa"/>
            </w:tcMar>
            <w:vAlign w:val="center"/>
            <w:hideMark/>
          </w:tcPr>
          <w:p w:rsidR="000A05FB" w:rsidRPr="00F06708" w:rsidRDefault="000A05FB" w:rsidP="003C41BA">
            <w:pPr>
              <w:jc w:val="center"/>
              <w:rPr>
                <w:rFonts w:ascii="Arial" w:eastAsiaTheme="minorHAnsi" w:hAnsi="Arial" w:cs="Arial"/>
                <w:b/>
                <w:bCs/>
                <w:sz w:val="16"/>
                <w:szCs w:val="16"/>
                <w:lang w:eastAsia="en-US"/>
              </w:rPr>
            </w:pPr>
            <w:r w:rsidRPr="00F06708">
              <w:rPr>
                <w:rFonts w:ascii="Arial" w:hAnsi="Arial" w:cs="Arial"/>
                <w:b/>
                <w:bCs/>
                <w:sz w:val="16"/>
                <w:szCs w:val="16"/>
              </w:rPr>
              <w:t>Zmiana</w:t>
            </w:r>
          </w:p>
        </w:tc>
      </w:tr>
      <w:tr w:rsidR="000A05FB" w:rsidRPr="00F06708" w:rsidTr="00FB7083">
        <w:trPr>
          <w:trHeight w:val="88"/>
        </w:trPr>
        <w:tc>
          <w:tcPr>
            <w:tcW w:w="360" w:type="dxa"/>
            <w:noWrap/>
            <w:tcMar>
              <w:top w:w="0" w:type="dxa"/>
              <w:left w:w="70" w:type="dxa"/>
              <w:bottom w:w="0" w:type="dxa"/>
              <w:right w:w="70" w:type="dxa"/>
            </w:tcMar>
            <w:vAlign w:val="center"/>
            <w:hideMark/>
          </w:tcPr>
          <w:p w:rsidR="000A05FB" w:rsidRPr="00F06708" w:rsidRDefault="000A05FB" w:rsidP="00FB7083">
            <w:pPr>
              <w:rPr>
                <w:rFonts w:ascii="Arial" w:eastAsiaTheme="minorHAnsi" w:hAnsi="Arial" w:cs="Arial"/>
                <w:b/>
                <w:bCs/>
                <w:sz w:val="16"/>
                <w:szCs w:val="16"/>
                <w:lang w:eastAsia="en-US"/>
              </w:rPr>
            </w:pPr>
            <w:r w:rsidRPr="00F06708">
              <w:rPr>
                <w:rFonts w:ascii="Arial" w:hAnsi="Arial" w:cs="Arial"/>
                <w:b/>
                <w:bCs/>
                <w:sz w:val="16"/>
                <w:szCs w:val="16"/>
              </w:rPr>
              <w:t>1.</w:t>
            </w:r>
          </w:p>
        </w:tc>
        <w:tc>
          <w:tcPr>
            <w:tcW w:w="4050" w:type="dxa"/>
            <w:tcMar>
              <w:top w:w="0" w:type="dxa"/>
              <w:left w:w="70" w:type="dxa"/>
              <w:bottom w:w="0" w:type="dxa"/>
              <w:right w:w="70" w:type="dxa"/>
            </w:tcMar>
            <w:vAlign w:val="center"/>
            <w:hideMark/>
          </w:tcPr>
          <w:p w:rsidR="000A05FB" w:rsidRPr="00F06708" w:rsidRDefault="000A05FB" w:rsidP="00FB7083">
            <w:pPr>
              <w:rPr>
                <w:rFonts w:ascii="Arial" w:eastAsiaTheme="minorHAnsi" w:hAnsi="Arial" w:cs="Arial"/>
                <w:b/>
                <w:bCs/>
                <w:sz w:val="16"/>
                <w:szCs w:val="16"/>
                <w:lang w:eastAsia="en-US"/>
              </w:rPr>
            </w:pPr>
            <w:r w:rsidRPr="00F06708">
              <w:rPr>
                <w:rFonts w:ascii="Arial" w:hAnsi="Arial" w:cs="Arial"/>
                <w:b/>
                <w:bCs/>
                <w:sz w:val="16"/>
                <w:szCs w:val="16"/>
              </w:rPr>
              <w:t>Należności warunkowe</w:t>
            </w:r>
          </w:p>
        </w:tc>
        <w:tc>
          <w:tcPr>
            <w:tcW w:w="2551" w:type="dxa"/>
            <w:noWrap/>
            <w:tcMar>
              <w:top w:w="0" w:type="dxa"/>
              <w:left w:w="70" w:type="dxa"/>
              <w:bottom w:w="0" w:type="dxa"/>
              <w:right w:w="70" w:type="dxa"/>
            </w:tcMar>
            <w:vAlign w:val="center"/>
          </w:tcPr>
          <w:p w:rsidR="000A05FB" w:rsidRPr="00F06708" w:rsidRDefault="000A05FB" w:rsidP="003C41BA">
            <w:pPr>
              <w:jc w:val="center"/>
              <w:rPr>
                <w:rFonts w:ascii="Arial" w:eastAsiaTheme="minorHAnsi" w:hAnsi="Arial" w:cs="Arial"/>
                <w:b/>
                <w:bCs/>
                <w:sz w:val="16"/>
                <w:szCs w:val="16"/>
                <w:lang w:eastAsia="en-US"/>
              </w:rPr>
            </w:pPr>
            <w:r w:rsidRPr="00F06708">
              <w:rPr>
                <w:rFonts w:ascii="Arial" w:eastAsiaTheme="minorHAnsi" w:hAnsi="Arial" w:cs="Arial"/>
                <w:b/>
                <w:bCs/>
                <w:sz w:val="16"/>
                <w:szCs w:val="16"/>
                <w:lang w:eastAsia="en-US"/>
              </w:rPr>
              <w:t>1 001</w:t>
            </w:r>
          </w:p>
        </w:tc>
        <w:tc>
          <w:tcPr>
            <w:tcW w:w="1120" w:type="dxa"/>
            <w:noWrap/>
            <w:tcMar>
              <w:top w:w="0" w:type="dxa"/>
              <w:left w:w="70" w:type="dxa"/>
              <w:bottom w:w="0" w:type="dxa"/>
              <w:right w:w="70" w:type="dxa"/>
            </w:tcMar>
            <w:vAlign w:val="center"/>
            <w:hideMark/>
          </w:tcPr>
          <w:p w:rsidR="000A05FB" w:rsidRPr="00F06708" w:rsidRDefault="000A05FB" w:rsidP="000A05FB">
            <w:pPr>
              <w:jc w:val="center"/>
              <w:rPr>
                <w:rFonts w:ascii="Arial" w:eastAsiaTheme="minorHAnsi" w:hAnsi="Arial" w:cs="Arial"/>
                <w:b/>
                <w:bCs/>
                <w:sz w:val="16"/>
                <w:szCs w:val="16"/>
                <w:lang w:eastAsia="en-US"/>
              </w:rPr>
            </w:pPr>
            <w:r w:rsidRPr="00F06708">
              <w:rPr>
                <w:rFonts w:ascii="Arial" w:eastAsiaTheme="minorHAnsi" w:hAnsi="Arial" w:cs="Arial"/>
                <w:b/>
                <w:bCs/>
                <w:sz w:val="16"/>
                <w:szCs w:val="16"/>
                <w:lang w:eastAsia="en-US"/>
              </w:rPr>
              <w:t>-1 712</w:t>
            </w:r>
          </w:p>
        </w:tc>
      </w:tr>
      <w:tr w:rsidR="000A05FB" w:rsidRPr="00F06708" w:rsidTr="00FB7083">
        <w:trPr>
          <w:trHeight w:val="300"/>
        </w:trPr>
        <w:tc>
          <w:tcPr>
            <w:tcW w:w="360" w:type="dxa"/>
            <w:noWrap/>
            <w:tcMar>
              <w:top w:w="0" w:type="dxa"/>
              <w:left w:w="70" w:type="dxa"/>
              <w:bottom w:w="0" w:type="dxa"/>
              <w:right w:w="70" w:type="dxa"/>
            </w:tcMar>
            <w:vAlign w:val="center"/>
            <w:hideMark/>
          </w:tcPr>
          <w:p w:rsidR="000A05FB" w:rsidRPr="00F06708" w:rsidRDefault="000A05FB" w:rsidP="00FB7083">
            <w:pPr>
              <w:jc w:val="right"/>
              <w:rPr>
                <w:rFonts w:ascii="Arial" w:eastAsiaTheme="minorHAnsi" w:hAnsi="Arial" w:cs="Arial"/>
                <w:sz w:val="16"/>
                <w:szCs w:val="16"/>
                <w:lang w:eastAsia="en-US"/>
              </w:rPr>
            </w:pPr>
            <w:r w:rsidRPr="00F06708">
              <w:rPr>
                <w:rFonts w:ascii="Arial" w:hAnsi="Arial" w:cs="Arial"/>
                <w:sz w:val="16"/>
                <w:szCs w:val="16"/>
              </w:rPr>
              <w:t>-</w:t>
            </w:r>
          </w:p>
        </w:tc>
        <w:tc>
          <w:tcPr>
            <w:tcW w:w="4050" w:type="dxa"/>
            <w:tcMar>
              <w:top w:w="0" w:type="dxa"/>
              <w:left w:w="70" w:type="dxa"/>
              <w:bottom w:w="0" w:type="dxa"/>
              <w:right w:w="70" w:type="dxa"/>
            </w:tcMar>
            <w:vAlign w:val="center"/>
            <w:hideMark/>
          </w:tcPr>
          <w:p w:rsidR="000A05FB" w:rsidRPr="00F06708" w:rsidRDefault="000A05FB" w:rsidP="00FB7083">
            <w:pPr>
              <w:rPr>
                <w:rFonts w:ascii="Arial" w:eastAsiaTheme="minorHAnsi" w:hAnsi="Arial" w:cs="Arial"/>
                <w:sz w:val="16"/>
                <w:szCs w:val="16"/>
                <w:lang w:eastAsia="en-US"/>
              </w:rPr>
            </w:pPr>
            <w:r w:rsidRPr="00F06708">
              <w:rPr>
                <w:rFonts w:ascii="Arial" w:hAnsi="Arial" w:cs="Arial"/>
                <w:sz w:val="16"/>
                <w:szCs w:val="16"/>
              </w:rPr>
              <w:t xml:space="preserve">otrzymane gwarancje </w:t>
            </w:r>
          </w:p>
        </w:tc>
        <w:tc>
          <w:tcPr>
            <w:tcW w:w="2551" w:type="dxa"/>
            <w:noWrap/>
            <w:tcMar>
              <w:top w:w="0" w:type="dxa"/>
              <w:left w:w="70" w:type="dxa"/>
              <w:bottom w:w="0" w:type="dxa"/>
              <w:right w:w="70" w:type="dxa"/>
            </w:tcMar>
            <w:vAlign w:val="center"/>
            <w:hideMark/>
          </w:tcPr>
          <w:p w:rsidR="000A05FB" w:rsidRPr="00F06708" w:rsidRDefault="000A05FB" w:rsidP="000A05FB">
            <w:pPr>
              <w:jc w:val="center"/>
              <w:rPr>
                <w:rFonts w:ascii="Arial" w:eastAsiaTheme="minorHAnsi" w:hAnsi="Arial" w:cs="Arial"/>
                <w:sz w:val="16"/>
                <w:szCs w:val="16"/>
                <w:lang w:eastAsia="en-US"/>
              </w:rPr>
            </w:pPr>
            <w:r w:rsidRPr="00F06708">
              <w:rPr>
                <w:rFonts w:ascii="Arial" w:eastAsiaTheme="minorHAnsi" w:hAnsi="Arial" w:cs="Arial"/>
                <w:sz w:val="16"/>
                <w:szCs w:val="16"/>
                <w:lang w:eastAsia="en-US"/>
              </w:rPr>
              <w:t>1 001</w:t>
            </w:r>
          </w:p>
        </w:tc>
        <w:tc>
          <w:tcPr>
            <w:tcW w:w="1120" w:type="dxa"/>
            <w:noWrap/>
            <w:tcMar>
              <w:top w:w="0" w:type="dxa"/>
              <w:left w:w="70" w:type="dxa"/>
              <w:bottom w:w="0" w:type="dxa"/>
              <w:right w:w="70" w:type="dxa"/>
            </w:tcMar>
            <w:vAlign w:val="center"/>
            <w:hideMark/>
          </w:tcPr>
          <w:p w:rsidR="000A05FB" w:rsidRPr="00F06708" w:rsidRDefault="000A05FB" w:rsidP="003C41BA">
            <w:pPr>
              <w:jc w:val="center"/>
              <w:rPr>
                <w:rFonts w:ascii="Arial" w:eastAsiaTheme="minorHAnsi" w:hAnsi="Arial" w:cs="Arial"/>
                <w:sz w:val="16"/>
                <w:szCs w:val="16"/>
                <w:lang w:eastAsia="en-US"/>
              </w:rPr>
            </w:pPr>
            <w:r w:rsidRPr="00F06708">
              <w:rPr>
                <w:rFonts w:ascii="Arial" w:eastAsiaTheme="minorHAnsi" w:hAnsi="Arial" w:cs="Arial"/>
                <w:sz w:val="16"/>
                <w:szCs w:val="16"/>
                <w:lang w:eastAsia="en-US"/>
              </w:rPr>
              <w:t>-1 712</w:t>
            </w:r>
          </w:p>
        </w:tc>
      </w:tr>
      <w:tr w:rsidR="000A05FB" w:rsidRPr="00F06708" w:rsidTr="00FB7083">
        <w:trPr>
          <w:trHeight w:val="300"/>
        </w:trPr>
        <w:tc>
          <w:tcPr>
            <w:tcW w:w="360" w:type="dxa"/>
            <w:noWrap/>
            <w:tcMar>
              <w:top w:w="0" w:type="dxa"/>
              <w:left w:w="70" w:type="dxa"/>
              <w:bottom w:w="0" w:type="dxa"/>
              <w:right w:w="70" w:type="dxa"/>
            </w:tcMar>
            <w:vAlign w:val="center"/>
            <w:hideMark/>
          </w:tcPr>
          <w:p w:rsidR="000A05FB" w:rsidRPr="00F06708" w:rsidRDefault="000A05FB" w:rsidP="00FB7083">
            <w:pPr>
              <w:jc w:val="right"/>
              <w:rPr>
                <w:rFonts w:ascii="Arial" w:eastAsiaTheme="minorHAnsi" w:hAnsi="Arial" w:cs="Arial"/>
                <w:sz w:val="16"/>
                <w:szCs w:val="16"/>
                <w:lang w:eastAsia="en-US"/>
              </w:rPr>
            </w:pPr>
            <w:r w:rsidRPr="00F06708">
              <w:rPr>
                <w:rFonts w:ascii="Arial" w:hAnsi="Arial" w:cs="Arial"/>
                <w:sz w:val="16"/>
                <w:szCs w:val="16"/>
              </w:rPr>
              <w:t>-</w:t>
            </w:r>
          </w:p>
        </w:tc>
        <w:tc>
          <w:tcPr>
            <w:tcW w:w="4050" w:type="dxa"/>
            <w:tcMar>
              <w:top w:w="0" w:type="dxa"/>
              <w:left w:w="70" w:type="dxa"/>
              <w:bottom w:w="0" w:type="dxa"/>
              <w:right w:w="70" w:type="dxa"/>
            </w:tcMar>
            <w:vAlign w:val="center"/>
            <w:hideMark/>
          </w:tcPr>
          <w:p w:rsidR="000A05FB" w:rsidRPr="00F06708" w:rsidRDefault="000A05FB" w:rsidP="00FB7083">
            <w:pPr>
              <w:rPr>
                <w:rFonts w:ascii="Arial" w:eastAsiaTheme="minorHAnsi" w:hAnsi="Arial" w:cs="Arial"/>
                <w:sz w:val="16"/>
                <w:szCs w:val="16"/>
                <w:lang w:eastAsia="en-US"/>
              </w:rPr>
            </w:pPr>
            <w:r w:rsidRPr="00F06708">
              <w:rPr>
                <w:rFonts w:ascii="Arial" w:hAnsi="Arial" w:cs="Arial"/>
                <w:sz w:val="16"/>
                <w:szCs w:val="16"/>
              </w:rPr>
              <w:t>kary warunkowe</w:t>
            </w:r>
          </w:p>
        </w:tc>
        <w:tc>
          <w:tcPr>
            <w:tcW w:w="2551" w:type="dxa"/>
            <w:noWrap/>
            <w:tcMar>
              <w:top w:w="0" w:type="dxa"/>
              <w:left w:w="70" w:type="dxa"/>
              <w:bottom w:w="0" w:type="dxa"/>
              <w:right w:w="70" w:type="dxa"/>
            </w:tcMar>
            <w:vAlign w:val="center"/>
            <w:hideMark/>
          </w:tcPr>
          <w:p w:rsidR="000A05FB" w:rsidRPr="00F06708" w:rsidRDefault="003C41BA" w:rsidP="003C41BA">
            <w:pPr>
              <w:jc w:val="center"/>
              <w:rPr>
                <w:rFonts w:ascii="Arial" w:eastAsiaTheme="minorHAnsi" w:hAnsi="Arial" w:cs="Arial"/>
                <w:sz w:val="16"/>
                <w:szCs w:val="16"/>
                <w:lang w:eastAsia="en-US"/>
              </w:rPr>
            </w:pPr>
            <w:r w:rsidRPr="00F06708">
              <w:rPr>
                <w:rFonts w:ascii="Arial" w:eastAsiaTheme="minorHAnsi" w:hAnsi="Arial" w:cs="Arial"/>
                <w:sz w:val="16"/>
                <w:szCs w:val="16"/>
                <w:lang w:eastAsia="en-US"/>
              </w:rPr>
              <w:t>-</w:t>
            </w:r>
          </w:p>
        </w:tc>
        <w:tc>
          <w:tcPr>
            <w:tcW w:w="1120" w:type="dxa"/>
            <w:noWrap/>
            <w:tcMar>
              <w:top w:w="0" w:type="dxa"/>
              <w:left w:w="70" w:type="dxa"/>
              <w:bottom w:w="0" w:type="dxa"/>
              <w:right w:w="70" w:type="dxa"/>
            </w:tcMar>
            <w:vAlign w:val="center"/>
            <w:hideMark/>
          </w:tcPr>
          <w:p w:rsidR="000A05FB" w:rsidRPr="00F06708" w:rsidRDefault="003C41BA" w:rsidP="003C41BA">
            <w:pPr>
              <w:jc w:val="center"/>
              <w:rPr>
                <w:rFonts w:ascii="Arial" w:eastAsiaTheme="minorHAnsi" w:hAnsi="Arial" w:cs="Arial"/>
                <w:sz w:val="16"/>
                <w:szCs w:val="16"/>
                <w:lang w:eastAsia="en-US"/>
              </w:rPr>
            </w:pPr>
            <w:r w:rsidRPr="00F06708">
              <w:rPr>
                <w:rFonts w:ascii="Arial" w:eastAsiaTheme="minorHAnsi" w:hAnsi="Arial" w:cs="Arial"/>
                <w:sz w:val="16"/>
                <w:szCs w:val="16"/>
                <w:lang w:eastAsia="en-US"/>
              </w:rPr>
              <w:t>-</w:t>
            </w:r>
          </w:p>
        </w:tc>
      </w:tr>
      <w:tr w:rsidR="000A05FB" w:rsidRPr="00F06708" w:rsidTr="00FB7083">
        <w:trPr>
          <w:trHeight w:val="300"/>
        </w:trPr>
        <w:tc>
          <w:tcPr>
            <w:tcW w:w="360" w:type="dxa"/>
            <w:noWrap/>
            <w:tcMar>
              <w:top w:w="0" w:type="dxa"/>
              <w:left w:w="70" w:type="dxa"/>
              <w:bottom w:w="0" w:type="dxa"/>
              <w:right w:w="70" w:type="dxa"/>
            </w:tcMar>
            <w:vAlign w:val="center"/>
            <w:hideMark/>
          </w:tcPr>
          <w:p w:rsidR="000A05FB" w:rsidRPr="00F06708" w:rsidRDefault="000A05FB" w:rsidP="00FB7083">
            <w:pPr>
              <w:rPr>
                <w:rFonts w:ascii="Arial" w:eastAsiaTheme="minorHAnsi" w:hAnsi="Arial" w:cs="Arial"/>
                <w:b/>
                <w:bCs/>
                <w:sz w:val="16"/>
                <w:szCs w:val="16"/>
                <w:lang w:eastAsia="en-US"/>
              </w:rPr>
            </w:pPr>
            <w:r w:rsidRPr="00F06708">
              <w:rPr>
                <w:rFonts w:ascii="Arial" w:hAnsi="Arial" w:cs="Arial"/>
                <w:b/>
                <w:bCs/>
                <w:sz w:val="16"/>
                <w:szCs w:val="16"/>
              </w:rPr>
              <w:t>2.</w:t>
            </w:r>
          </w:p>
        </w:tc>
        <w:tc>
          <w:tcPr>
            <w:tcW w:w="4050" w:type="dxa"/>
            <w:tcMar>
              <w:top w:w="0" w:type="dxa"/>
              <w:left w:w="70" w:type="dxa"/>
              <w:bottom w:w="0" w:type="dxa"/>
              <w:right w:w="70" w:type="dxa"/>
            </w:tcMar>
            <w:vAlign w:val="center"/>
            <w:hideMark/>
          </w:tcPr>
          <w:p w:rsidR="000A05FB" w:rsidRPr="00F06708" w:rsidRDefault="000A05FB" w:rsidP="00FB7083">
            <w:pPr>
              <w:rPr>
                <w:rFonts w:ascii="Arial" w:eastAsiaTheme="minorHAnsi" w:hAnsi="Arial" w:cs="Arial"/>
                <w:b/>
                <w:bCs/>
                <w:sz w:val="16"/>
                <w:szCs w:val="16"/>
                <w:lang w:eastAsia="en-US"/>
              </w:rPr>
            </w:pPr>
            <w:r w:rsidRPr="00F06708">
              <w:rPr>
                <w:rFonts w:ascii="Arial" w:hAnsi="Arial" w:cs="Arial"/>
                <w:b/>
                <w:bCs/>
                <w:sz w:val="16"/>
                <w:szCs w:val="16"/>
              </w:rPr>
              <w:t>Zobowiązania pozabilansowe</w:t>
            </w:r>
          </w:p>
        </w:tc>
        <w:tc>
          <w:tcPr>
            <w:tcW w:w="2551" w:type="dxa"/>
            <w:noWrap/>
            <w:tcMar>
              <w:top w:w="0" w:type="dxa"/>
              <w:left w:w="70" w:type="dxa"/>
              <w:bottom w:w="0" w:type="dxa"/>
              <w:right w:w="70" w:type="dxa"/>
            </w:tcMar>
            <w:vAlign w:val="center"/>
            <w:hideMark/>
          </w:tcPr>
          <w:p w:rsidR="000A05FB" w:rsidRPr="00F06708" w:rsidRDefault="000A05FB" w:rsidP="003C41BA">
            <w:pPr>
              <w:jc w:val="center"/>
              <w:rPr>
                <w:rFonts w:ascii="Arial" w:eastAsiaTheme="minorHAnsi" w:hAnsi="Arial" w:cs="Arial"/>
                <w:b/>
                <w:bCs/>
                <w:sz w:val="16"/>
                <w:szCs w:val="16"/>
                <w:lang w:eastAsia="en-US"/>
              </w:rPr>
            </w:pPr>
            <w:r w:rsidRPr="00F06708">
              <w:rPr>
                <w:rFonts w:ascii="Arial" w:eastAsiaTheme="minorHAnsi" w:hAnsi="Arial" w:cs="Arial"/>
                <w:b/>
                <w:bCs/>
                <w:sz w:val="16"/>
                <w:szCs w:val="16"/>
                <w:lang w:eastAsia="en-US"/>
              </w:rPr>
              <w:t>201 393</w:t>
            </w:r>
          </w:p>
        </w:tc>
        <w:tc>
          <w:tcPr>
            <w:tcW w:w="1120" w:type="dxa"/>
            <w:noWrap/>
            <w:tcMar>
              <w:top w:w="0" w:type="dxa"/>
              <w:left w:w="70" w:type="dxa"/>
              <w:bottom w:w="0" w:type="dxa"/>
              <w:right w:w="70" w:type="dxa"/>
            </w:tcMar>
            <w:vAlign w:val="center"/>
            <w:hideMark/>
          </w:tcPr>
          <w:p w:rsidR="000A05FB" w:rsidRPr="00F06708" w:rsidRDefault="000A05FB" w:rsidP="003C41BA">
            <w:pPr>
              <w:jc w:val="center"/>
              <w:rPr>
                <w:rFonts w:ascii="Arial" w:eastAsiaTheme="minorHAnsi" w:hAnsi="Arial" w:cs="Arial"/>
                <w:b/>
                <w:bCs/>
                <w:sz w:val="16"/>
                <w:szCs w:val="16"/>
                <w:lang w:eastAsia="en-US"/>
              </w:rPr>
            </w:pPr>
            <w:r w:rsidRPr="00F06708">
              <w:rPr>
                <w:rFonts w:ascii="Arial" w:eastAsiaTheme="minorHAnsi" w:hAnsi="Arial" w:cs="Arial"/>
                <w:b/>
                <w:bCs/>
                <w:sz w:val="16"/>
                <w:szCs w:val="16"/>
                <w:lang w:eastAsia="en-US"/>
              </w:rPr>
              <w:t>275</w:t>
            </w:r>
          </w:p>
        </w:tc>
      </w:tr>
      <w:tr w:rsidR="000A05FB" w:rsidRPr="00F06708" w:rsidTr="00FB7083">
        <w:trPr>
          <w:trHeight w:val="585"/>
        </w:trPr>
        <w:tc>
          <w:tcPr>
            <w:tcW w:w="360" w:type="dxa"/>
            <w:noWrap/>
            <w:tcMar>
              <w:top w:w="0" w:type="dxa"/>
              <w:left w:w="70" w:type="dxa"/>
              <w:bottom w:w="0" w:type="dxa"/>
              <w:right w:w="70" w:type="dxa"/>
            </w:tcMar>
            <w:vAlign w:val="center"/>
            <w:hideMark/>
          </w:tcPr>
          <w:p w:rsidR="000A05FB" w:rsidRPr="00F06708" w:rsidRDefault="000A05FB" w:rsidP="00FB7083">
            <w:pPr>
              <w:jc w:val="center"/>
              <w:rPr>
                <w:rFonts w:ascii="Arial" w:eastAsiaTheme="minorHAnsi" w:hAnsi="Arial" w:cs="Arial"/>
                <w:sz w:val="16"/>
                <w:szCs w:val="16"/>
                <w:lang w:eastAsia="en-US"/>
              </w:rPr>
            </w:pPr>
            <w:r w:rsidRPr="00F06708">
              <w:rPr>
                <w:rFonts w:ascii="Arial" w:hAnsi="Arial" w:cs="Arial"/>
                <w:sz w:val="16"/>
                <w:szCs w:val="16"/>
              </w:rPr>
              <w:t>-</w:t>
            </w:r>
          </w:p>
        </w:tc>
        <w:tc>
          <w:tcPr>
            <w:tcW w:w="4050" w:type="dxa"/>
            <w:tcMar>
              <w:top w:w="0" w:type="dxa"/>
              <w:left w:w="70" w:type="dxa"/>
              <w:bottom w:w="0" w:type="dxa"/>
              <w:right w:w="70" w:type="dxa"/>
            </w:tcMar>
            <w:vAlign w:val="center"/>
            <w:hideMark/>
          </w:tcPr>
          <w:p w:rsidR="000A05FB" w:rsidRPr="00F06708" w:rsidRDefault="000A05FB" w:rsidP="00FB7083">
            <w:pPr>
              <w:ind w:left="11" w:right="-353" w:hanging="11"/>
              <w:rPr>
                <w:rFonts w:ascii="Arial" w:eastAsiaTheme="minorHAnsi" w:hAnsi="Arial" w:cs="Arial"/>
                <w:sz w:val="16"/>
                <w:szCs w:val="16"/>
                <w:lang w:eastAsia="en-US"/>
              </w:rPr>
            </w:pPr>
            <w:r w:rsidRPr="00F06708">
              <w:rPr>
                <w:rFonts w:ascii="Arial" w:hAnsi="Arial" w:cs="Arial"/>
                <w:sz w:val="16"/>
                <w:szCs w:val="16"/>
              </w:rPr>
              <w:t xml:space="preserve">zabezpieczenia ustanowione na majątku wynikające </w:t>
            </w:r>
            <w:r w:rsidRPr="00F06708">
              <w:rPr>
                <w:rFonts w:ascii="Arial" w:hAnsi="Arial" w:cs="Arial"/>
                <w:sz w:val="16"/>
                <w:szCs w:val="16"/>
              </w:rPr>
              <w:br/>
              <w:t xml:space="preserve">z zaciągniętych kredytów   </w:t>
            </w:r>
          </w:p>
        </w:tc>
        <w:tc>
          <w:tcPr>
            <w:tcW w:w="2551" w:type="dxa"/>
            <w:noWrap/>
            <w:tcMar>
              <w:top w:w="0" w:type="dxa"/>
              <w:left w:w="70" w:type="dxa"/>
              <w:bottom w:w="0" w:type="dxa"/>
              <w:right w:w="70" w:type="dxa"/>
            </w:tcMar>
            <w:vAlign w:val="center"/>
            <w:hideMark/>
          </w:tcPr>
          <w:p w:rsidR="000A05FB" w:rsidRPr="00F06708" w:rsidRDefault="000A05FB" w:rsidP="000A05FB">
            <w:pPr>
              <w:jc w:val="center"/>
              <w:rPr>
                <w:rFonts w:ascii="Arial" w:eastAsiaTheme="minorHAnsi" w:hAnsi="Arial" w:cs="Arial"/>
                <w:sz w:val="16"/>
                <w:szCs w:val="16"/>
                <w:lang w:eastAsia="en-US"/>
              </w:rPr>
            </w:pPr>
            <w:r w:rsidRPr="00F06708">
              <w:rPr>
                <w:rFonts w:ascii="Arial" w:eastAsiaTheme="minorHAnsi" w:hAnsi="Arial" w:cs="Arial"/>
                <w:sz w:val="16"/>
                <w:szCs w:val="16"/>
                <w:lang w:eastAsia="en-US"/>
              </w:rPr>
              <w:t>201 386</w:t>
            </w:r>
          </w:p>
        </w:tc>
        <w:tc>
          <w:tcPr>
            <w:tcW w:w="1120" w:type="dxa"/>
            <w:noWrap/>
            <w:tcMar>
              <w:top w:w="0" w:type="dxa"/>
              <w:left w:w="70" w:type="dxa"/>
              <w:bottom w:w="0" w:type="dxa"/>
              <w:right w:w="70" w:type="dxa"/>
            </w:tcMar>
            <w:vAlign w:val="center"/>
            <w:hideMark/>
          </w:tcPr>
          <w:p w:rsidR="000A05FB" w:rsidRPr="00F06708" w:rsidRDefault="000A05FB" w:rsidP="003C41BA">
            <w:pPr>
              <w:jc w:val="center"/>
              <w:rPr>
                <w:rFonts w:ascii="Arial" w:eastAsiaTheme="minorHAnsi" w:hAnsi="Arial" w:cs="Arial"/>
                <w:sz w:val="16"/>
                <w:szCs w:val="16"/>
                <w:lang w:eastAsia="en-US"/>
              </w:rPr>
            </w:pPr>
            <w:r w:rsidRPr="00F06708">
              <w:rPr>
                <w:rFonts w:ascii="Arial" w:eastAsiaTheme="minorHAnsi" w:hAnsi="Arial" w:cs="Arial"/>
                <w:sz w:val="16"/>
                <w:szCs w:val="16"/>
                <w:lang w:eastAsia="en-US"/>
              </w:rPr>
              <w:t>787</w:t>
            </w:r>
          </w:p>
        </w:tc>
      </w:tr>
      <w:tr w:rsidR="000A05FB" w:rsidRPr="00F06708" w:rsidTr="00FB7083">
        <w:trPr>
          <w:trHeight w:val="80"/>
        </w:trPr>
        <w:tc>
          <w:tcPr>
            <w:tcW w:w="360" w:type="dxa"/>
            <w:noWrap/>
            <w:tcMar>
              <w:top w:w="0" w:type="dxa"/>
              <w:left w:w="70" w:type="dxa"/>
              <w:bottom w:w="0" w:type="dxa"/>
              <w:right w:w="70" w:type="dxa"/>
            </w:tcMar>
            <w:vAlign w:val="center"/>
            <w:hideMark/>
          </w:tcPr>
          <w:p w:rsidR="000A05FB" w:rsidRPr="00F06708" w:rsidRDefault="000A05FB" w:rsidP="00FB7083">
            <w:pPr>
              <w:jc w:val="center"/>
              <w:rPr>
                <w:rFonts w:ascii="Arial" w:eastAsiaTheme="minorHAnsi" w:hAnsi="Arial" w:cs="Arial"/>
                <w:sz w:val="16"/>
                <w:szCs w:val="16"/>
                <w:lang w:eastAsia="en-US"/>
              </w:rPr>
            </w:pPr>
            <w:r w:rsidRPr="00F06708">
              <w:rPr>
                <w:rFonts w:ascii="Arial" w:hAnsi="Arial" w:cs="Arial"/>
                <w:sz w:val="16"/>
                <w:szCs w:val="16"/>
              </w:rPr>
              <w:t>-</w:t>
            </w:r>
          </w:p>
        </w:tc>
        <w:tc>
          <w:tcPr>
            <w:tcW w:w="4050" w:type="dxa"/>
            <w:tcMar>
              <w:top w:w="0" w:type="dxa"/>
              <w:left w:w="70" w:type="dxa"/>
              <w:bottom w:w="0" w:type="dxa"/>
              <w:right w:w="70" w:type="dxa"/>
            </w:tcMar>
            <w:vAlign w:val="center"/>
            <w:hideMark/>
          </w:tcPr>
          <w:p w:rsidR="000A05FB" w:rsidRPr="00F06708" w:rsidRDefault="000A05FB" w:rsidP="00FB7083">
            <w:pPr>
              <w:ind w:left="11" w:hanging="11"/>
              <w:rPr>
                <w:rFonts w:ascii="Arial" w:eastAsiaTheme="minorHAnsi" w:hAnsi="Arial" w:cs="Arial"/>
                <w:sz w:val="16"/>
                <w:szCs w:val="16"/>
                <w:lang w:eastAsia="en-US"/>
              </w:rPr>
            </w:pPr>
            <w:r w:rsidRPr="00F06708">
              <w:rPr>
                <w:rFonts w:ascii="Arial" w:hAnsi="Arial" w:cs="Arial"/>
                <w:sz w:val="16"/>
                <w:szCs w:val="16"/>
              </w:rPr>
              <w:t>gwarancje bankowe udzielone</w:t>
            </w:r>
          </w:p>
        </w:tc>
        <w:tc>
          <w:tcPr>
            <w:tcW w:w="2551" w:type="dxa"/>
            <w:noWrap/>
            <w:tcMar>
              <w:top w:w="0" w:type="dxa"/>
              <w:left w:w="70" w:type="dxa"/>
              <w:bottom w:w="0" w:type="dxa"/>
              <w:right w:w="70" w:type="dxa"/>
            </w:tcMar>
            <w:vAlign w:val="center"/>
            <w:hideMark/>
          </w:tcPr>
          <w:p w:rsidR="000A05FB" w:rsidRPr="00F06708" w:rsidRDefault="003C41BA" w:rsidP="003C41BA">
            <w:pPr>
              <w:jc w:val="center"/>
              <w:rPr>
                <w:rFonts w:ascii="Arial" w:hAnsi="Arial" w:cs="Arial"/>
                <w:sz w:val="16"/>
                <w:szCs w:val="16"/>
              </w:rPr>
            </w:pPr>
            <w:r w:rsidRPr="00F06708">
              <w:rPr>
                <w:rFonts w:ascii="Arial" w:hAnsi="Arial" w:cs="Arial"/>
                <w:sz w:val="16"/>
                <w:szCs w:val="16"/>
              </w:rPr>
              <w:t>-</w:t>
            </w:r>
          </w:p>
        </w:tc>
        <w:tc>
          <w:tcPr>
            <w:tcW w:w="1120" w:type="dxa"/>
            <w:noWrap/>
            <w:tcMar>
              <w:top w:w="0" w:type="dxa"/>
              <w:left w:w="70" w:type="dxa"/>
              <w:bottom w:w="0" w:type="dxa"/>
              <w:right w:w="70" w:type="dxa"/>
            </w:tcMar>
            <w:vAlign w:val="bottom"/>
          </w:tcPr>
          <w:p w:rsidR="000A05FB" w:rsidRPr="00F06708" w:rsidRDefault="000A05FB" w:rsidP="003C41BA">
            <w:pPr>
              <w:jc w:val="center"/>
              <w:rPr>
                <w:rFonts w:ascii="Arial" w:hAnsi="Arial" w:cs="Arial"/>
                <w:sz w:val="16"/>
                <w:szCs w:val="16"/>
              </w:rPr>
            </w:pPr>
            <w:r w:rsidRPr="00F06708">
              <w:rPr>
                <w:rFonts w:ascii="Arial" w:hAnsi="Arial" w:cs="Arial"/>
                <w:sz w:val="16"/>
                <w:szCs w:val="16"/>
              </w:rPr>
              <w:t>-246</w:t>
            </w:r>
          </w:p>
        </w:tc>
      </w:tr>
      <w:tr w:rsidR="000A05FB" w:rsidRPr="00F06708" w:rsidTr="00FB7083">
        <w:trPr>
          <w:trHeight w:val="157"/>
        </w:trPr>
        <w:tc>
          <w:tcPr>
            <w:tcW w:w="360" w:type="dxa"/>
            <w:noWrap/>
            <w:tcMar>
              <w:top w:w="0" w:type="dxa"/>
              <w:left w:w="70" w:type="dxa"/>
              <w:bottom w:w="0" w:type="dxa"/>
              <w:right w:w="70" w:type="dxa"/>
            </w:tcMar>
            <w:vAlign w:val="center"/>
            <w:hideMark/>
          </w:tcPr>
          <w:p w:rsidR="000A05FB" w:rsidRPr="00F06708" w:rsidRDefault="000A05FB" w:rsidP="00FB7083">
            <w:pPr>
              <w:jc w:val="center"/>
              <w:rPr>
                <w:rFonts w:ascii="Arial" w:eastAsiaTheme="minorHAnsi" w:hAnsi="Arial" w:cs="Arial"/>
                <w:sz w:val="16"/>
                <w:szCs w:val="16"/>
                <w:lang w:eastAsia="en-US"/>
              </w:rPr>
            </w:pPr>
            <w:r w:rsidRPr="00F06708">
              <w:rPr>
                <w:rFonts w:ascii="Arial" w:hAnsi="Arial" w:cs="Arial"/>
                <w:sz w:val="16"/>
                <w:szCs w:val="16"/>
              </w:rPr>
              <w:t>-</w:t>
            </w:r>
          </w:p>
        </w:tc>
        <w:tc>
          <w:tcPr>
            <w:tcW w:w="4050" w:type="dxa"/>
            <w:tcMar>
              <w:top w:w="0" w:type="dxa"/>
              <w:left w:w="70" w:type="dxa"/>
              <w:bottom w:w="0" w:type="dxa"/>
              <w:right w:w="70" w:type="dxa"/>
            </w:tcMar>
            <w:vAlign w:val="center"/>
            <w:hideMark/>
          </w:tcPr>
          <w:p w:rsidR="000A05FB" w:rsidRPr="00F06708" w:rsidRDefault="000A05FB" w:rsidP="00FB7083">
            <w:pPr>
              <w:ind w:left="11" w:hanging="11"/>
              <w:rPr>
                <w:rFonts w:ascii="Arial" w:eastAsiaTheme="minorHAnsi" w:hAnsi="Arial" w:cs="Arial"/>
                <w:sz w:val="16"/>
                <w:szCs w:val="16"/>
                <w:lang w:eastAsia="en-US"/>
              </w:rPr>
            </w:pPr>
            <w:r w:rsidRPr="00F06708">
              <w:rPr>
                <w:rFonts w:ascii="Arial" w:hAnsi="Arial" w:cs="Arial"/>
                <w:sz w:val="16"/>
                <w:szCs w:val="16"/>
              </w:rPr>
              <w:t>opłaty warunkowe za wycinkę drzew/krzewów</w:t>
            </w:r>
          </w:p>
        </w:tc>
        <w:tc>
          <w:tcPr>
            <w:tcW w:w="2551" w:type="dxa"/>
            <w:noWrap/>
            <w:tcMar>
              <w:top w:w="0" w:type="dxa"/>
              <w:left w:w="70" w:type="dxa"/>
              <w:bottom w:w="0" w:type="dxa"/>
              <w:right w:w="70" w:type="dxa"/>
            </w:tcMar>
            <w:vAlign w:val="center"/>
            <w:hideMark/>
          </w:tcPr>
          <w:p w:rsidR="000A05FB" w:rsidRPr="00F06708" w:rsidRDefault="000A05FB" w:rsidP="003C41BA">
            <w:pPr>
              <w:jc w:val="center"/>
              <w:rPr>
                <w:rFonts w:ascii="Arial" w:hAnsi="Arial" w:cs="Arial"/>
                <w:sz w:val="16"/>
                <w:szCs w:val="16"/>
              </w:rPr>
            </w:pPr>
            <w:r w:rsidRPr="00F06708">
              <w:rPr>
                <w:rFonts w:ascii="Arial" w:hAnsi="Arial" w:cs="Arial"/>
                <w:sz w:val="16"/>
                <w:szCs w:val="16"/>
              </w:rPr>
              <w:t>7</w:t>
            </w:r>
          </w:p>
        </w:tc>
        <w:tc>
          <w:tcPr>
            <w:tcW w:w="1120" w:type="dxa"/>
            <w:noWrap/>
            <w:tcMar>
              <w:top w:w="0" w:type="dxa"/>
              <w:left w:w="70" w:type="dxa"/>
              <w:bottom w:w="0" w:type="dxa"/>
              <w:right w:w="70" w:type="dxa"/>
            </w:tcMar>
            <w:vAlign w:val="bottom"/>
            <w:hideMark/>
          </w:tcPr>
          <w:p w:rsidR="000A05FB" w:rsidRPr="00F06708" w:rsidRDefault="000A05FB" w:rsidP="003C41BA">
            <w:pPr>
              <w:jc w:val="center"/>
              <w:rPr>
                <w:rFonts w:ascii="Arial" w:hAnsi="Arial" w:cs="Arial"/>
                <w:sz w:val="16"/>
                <w:szCs w:val="16"/>
              </w:rPr>
            </w:pPr>
            <w:r w:rsidRPr="00F06708">
              <w:rPr>
                <w:rFonts w:ascii="Arial" w:hAnsi="Arial" w:cs="Arial"/>
                <w:sz w:val="16"/>
                <w:szCs w:val="16"/>
              </w:rPr>
              <w:t>-266</w:t>
            </w:r>
          </w:p>
        </w:tc>
      </w:tr>
    </w:tbl>
    <w:p w:rsidR="005D3822" w:rsidRDefault="005D3822" w:rsidP="005D3822">
      <w:pPr>
        <w:jc w:val="both"/>
        <w:rPr>
          <w:rFonts w:ascii="Arial" w:hAnsi="Arial" w:cs="Arial"/>
          <w:sz w:val="18"/>
          <w:szCs w:val="18"/>
        </w:rPr>
      </w:pPr>
    </w:p>
    <w:p w:rsidR="005D3822" w:rsidRPr="00A96AEE" w:rsidRDefault="005D3822" w:rsidP="005D3822">
      <w:pPr>
        <w:jc w:val="both"/>
        <w:rPr>
          <w:rFonts w:ascii="Arial" w:hAnsi="Arial" w:cs="Arial"/>
          <w:sz w:val="18"/>
          <w:szCs w:val="18"/>
        </w:rPr>
      </w:pPr>
      <w:r w:rsidRPr="00A96AEE">
        <w:rPr>
          <w:rFonts w:ascii="Arial" w:hAnsi="Arial" w:cs="Arial"/>
          <w:sz w:val="18"/>
          <w:szCs w:val="18"/>
        </w:rPr>
        <w:t xml:space="preserve">Spółka na dzień bilansowy 30 </w:t>
      </w:r>
      <w:r>
        <w:rPr>
          <w:rFonts w:ascii="Arial" w:hAnsi="Arial" w:cs="Arial"/>
          <w:sz w:val="18"/>
          <w:szCs w:val="18"/>
        </w:rPr>
        <w:t>września 202</w:t>
      </w:r>
      <w:r w:rsidR="003C41BA">
        <w:rPr>
          <w:rFonts w:ascii="Arial" w:hAnsi="Arial" w:cs="Arial"/>
          <w:sz w:val="18"/>
          <w:szCs w:val="18"/>
        </w:rPr>
        <w:t>1</w:t>
      </w:r>
      <w:r w:rsidRPr="00A96AEE">
        <w:rPr>
          <w:rFonts w:ascii="Arial" w:hAnsi="Arial" w:cs="Arial"/>
          <w:sz w:val="18"/>
          <w:szCs w:val="18"/>
        </w:rPr>
        <w:t xml:space="preserve"> r. nie udzielała:</w:t>
      </w:r>
    </w:p>
    <w:p w:rsidR="005D3822" w:rsidRPr="00A96AEE" w:rsidRDefault="005D3822" w:rsidP="005D3822">
      <w:pPr>
        <w:numPr>
          <w:ilvl w:val="0"/>
          <w:numId w:val="36"/>
        </w:numPr>
        <w:jc w:val="both"/>
        <w:rPr>
          <w:rFonts w:ascii="Arial" w:hAnsi="Arial" w:cs="Arial"/>
          <w:sz w:val="18"/>
          <w:szCs w:val="18"/>
        </w:rPr>
      </w:pPr>
      <w:r w:rsidRPr="00A96AEE">
        <w:rPr>
          <w:rFonts w:ascii="Arial" w:hAnsi="Arial" w:cs="Arial"/>
          <w:sz w:val="18"/>
          <w:szCs w:val="18"/>
        </w:rPr>
        <w:t xml:space="preserve">kredytów, pożyczek i gwarancji, </w:t>
      </w:r>
    </w:p>
    <w:p w:rsidR="005D3822" w:rsidRPr="00ED2F2F" w:rsidRDefault="005D3822" w:rsidP="005D3822">
      <w:pPr>
        <w:numPr>
          <w:ilvl w:val="0"/>
          <w:numId w:val="36"/>
        </w:numPr>
        <w:spacing w:line="260" w:lineRule="exact"/>
        <w:jc w:val="both"/>
        <w:rPr>
          <w:rFonts w:ascii="Arial" w:hAnsi="Arial" w:cs="Arial"/>
          <w:b/>
          <w:bCs/>
          <w:sz w:val="18"/>
          <w:szCs w:val="18"/>
        </w:rPr>
      </w:pPr>
      <w:r w:rsidRPr="00ED2F2F">
        <w:rPr>
          <w:rFonts w:ascii="Arial" w:hAnsi="Arial" w:cs="Arial"/>
          <w:sz w:val="18"/>
          <w:szCs w:val="18"/>
        </w:rPr>
        <w:t>poręczeń z tytułu kredytów i pożyczek.</w:t>
      </w:r>
    </w:p>
    <w:p w:rsidR="005D3822" w:rsidRPr="00F31D8E" w:rsidRDefault="005D3822" w:rsidP="005D3822">
      <w:pPr>
        <w:rPr>
          <w:rFonts w:ascii="Arial" w:hAnsi="Arial" w:cs="Arial"/>
          <w:b/>
          <w:bCs/>
          <w:sz w:val="18"/>
          <w:szCs w:val="18"/>
        </w:rPr>
      </w:pPr>
    </w:p>
    <w:p w:rsidR="005D3822" w:rsidRPr="00F31D8E" w:rsidRDefault="005D3822" w:rsidP="005D3822">
      <w:pPr>
        <w:tabs>
          <w:tab w:val="left" w:pos="540"/>
        </w:tabs>
        <w:spacing w:line="260" w:lineRule="exact"/>
        <w:jc w:val="both"/>
        <w:rPr>
          <w:rFonts w:ascii="Arial" w:hAnsi="Arial" w:cs="Arial"/>
          <w:b/>
          <w:bCs/>
          <w:sz w:val="18"/>
          <w:szCs w:val="18"/>
        </w:rPr>
      </w:pPr>
      <w:r w:rsidRPr="00F31D8E">
        <w:rPr>
          <w:rFonts w:ascii="Arial" w:hAnsi="Arial" w:cs="Arial"/>
          <w:b/>
          <w:bCs/>
          <w:sz w:val="18"/>
          <w:szCs w:val="18"/>
        </w:rPr>
        <w:t>XI</w:t>
      </w:r>
      <w:r>
        <w:rPr>
          <w:rFonts w:ascii="Arial" w:hAnsi="Arial" w:cs="Arial"/>
          <w:b/>
          <w:bCs/>
          <w:sz w:val="18"/>
          <w:szCs w:val="18"/>
        </w:rPr>
        <w:t>I</w:t>
      </w:r>
      <w:r w:rsidRPr="00F31D8E">
        <w:rPr>
          <w:rFonts w:ascii="Arial" w:hAnsi="Arial" w:cs="Arial"/>
          <w:b/>
          <w:bCs/>
          <w:sz w:val="18"/>
          <w:szCs w:val="18"/>
        </w:rPr>
        <w:t>. Odpisanie wartości zapasów do wartości netto możliwej do uzyskania i odwrócenie takich odpisów.</w:t>
      </w:r>
    </w:p>
    <w:p w:rsidR="005D3822" w:rsidRPr="00F31D8E" w:rsidRDefault="005D3822" w:rsidP="005D3822">
      <w:pPr>
        <w:tabs>
          <w:tab w:val="left" w:pos="540"/>
        </w:tabs>
        <w:spacing w:line="260" w:lineRule="exact"/>
        <w:jc w:val="both"/>
        <w:rPr>
          <w:rFonts w:ascii="Arial" w:hAnsi="Arial" w:cs="Arial"/>
          <w:bCs/>
          <w:sz w:val="18"/>
          <w:szCs w:val="18"/>
        </w:rPr>
      </w:pPr>
      <w:r w:rsidRPr="00F31D8E">
        <w:rPr>
          <w:rFonts w:ascii="Arial" w:hAnsi="Arial" w:cs="Arial"/>
          <w:bCs/>
          <w:sz w:val="18"/>
          <w:szCs w:val="18"/>
        </w:rPr>
        <w:t>Nie wystąpiło.</w:t>
      </w:r>
    </w:p>
    <w:p w:rsidR="005D3822" w:rsidRPr="00F31D8E" w:rsidRDefault="005D3822" w:rsidP="005D3822">
      <w:pPr>
        <w:tabs>
          <w:tab w:val="left" w:pos="540"/>
        </w:tabs>
        <w:spacing w:line="260" w:lineRule="exact"/>
        <w:jc w:val="both"/>
        <w:rPr>
          <w:rFonts w:ascii="Arial" w:hAnsi="Arial" w:cs="Arial"/>
          <w:b/>
          <w:bCs/>
          <w:sz w:val="18"/>
          <w:szCs w:val="18"/>
        </w:rPr>
      </w:pPr>
    </w:p>
    <w:p w:rsidR="005D3822" w:rsidRPr="00F31D8E" w:rsidRDefault="005D3822" w:rsidP="005D3822">
      <w:pPr>
        <w:tabs>
          <w:tab w:val="left" w:pos="540"/>
        </w:tabs>
        <w:spacing w:line="260" w:lineRule="exact"/>
        <w:jc w:val="both"/>
        <w:rPr>
          <w:rFonts w:ascii="Arial" w:hAnsi="Arial" w:cs="Arial"/>
          <w:b/>
          <w:bCs/>
          <w:sz w:val="18"/>
          <w:szCs w:val="18"/>
        </w:rPr>
      </w:pPr>
      <w:r w:rsidRPr="00F31D8E">
        <w:rPr>
          <w:rFonts w:ascii="Arial" w:hAnsi="Arial" w:cs="Arial"/>
          <w:b/>
          <w:bCs/>
          <w:sz w:val="18"/>
          <w:szCs w:val="18"/>
        </w:rPr>
        <w:t>X</w:t>
      </w:r>
      <w:r>
        <w:rPr>
          <w:rFonts w:ascii="Arial" w:hAnsi="Arial" w:cs="Arial"/>
          <w:b/>
          <w:bCs/>
          <w:sz w:val="18"/>
          <w:szCs w:val="18"/>
        </w:rPr>
        <w:t>I</w:t>
      </w:r>
      <w:r w:rsidRPr="00F31D8E">
        <w:rPr>
          <w:rFonts w:ascii="Arial" w:hAnsi="Arial" w:cs="Arial"/>
          <w:b/>
          <w:bCs/>
          <w:sz w:val="18"/>
          <w:szCs w:val="18"/>
        </w:rPr>
        <w:t>II. Restrukturyzacja.</w:t>
      </w:r>
    </w:p>
    <w:p w:rsidR="005D3822" w:rsidRPr="00F31D8E" w:rsidRDefault="005D3822" w:rsidP="005D3822">
      <w:pPr>
        <w:tabs>
          <w:tab w:val="left" w:pos="540"/>
        </w:tabs>
        <w:spacing w:line="260" w:lineRule="exact"/>
        <w:jc w:val="both"/>
        <w:rPr>
          <w:rFonts w:ascii="Arial" w:hAnsi="Arial" w:cs="Arial"/>
          <w:sz w:val="18"/>
          <w:szCs w:val="18"/>
        </w:rPr>
      </w:pPr>
      <w:r w:rsidRPr="00F31D8E">
        <w:rPr>
          <w:rFonts w:ascii="Arial" w:hAnsi="Arial" w:cs="Arial"/>
          <w:sz w:val="18"/>
          <w:szCs w:val="18"/>
        </w:rPr>
        <w:t>W bieżącym okresie sprawozdawczym Spółka nie przeprowadzała restrukturyzacji</w:t>
      </w:r>
      <w:r w:rsidR="00031F1D">
        <w:rPr>
          <w:rFonts w:ascii="Arial" w:hAnsi="Arial" w:cs="Arial"/>
          <w:sz w:val="18"/>
          <w:szCs w:val="18"/>
        </w:rPr>
        <w:t>,</w:t>
      </w:r>
      <w:r w:rsidRPr="00F31D8E">
        <w:rPr>
          <w:rFonts w:ascii="Arial" w:hAnsi="Arial" w:cs="Arial"/>
          <w:sz w:val="18"/>
          <w:szCs w:val="18"/>
        </w:rPr>
        <w:t xml:space="preserve"> w związku z tym nie tworzono</w:t>
      </w:r>
      <w:r w:rsidRPr="00F31D8E">
        <w:rPr>
          <w:rFonts w:ascii="Arial" w:hAnsi="Arial" w:cs="Arial"/>
          <w:sz w:val="18"/>
          <w:szCs w:val="18"/>
        </w:rPr>
        <w:br/>
        <w:t xml:space="preserve"> i nie rozwiązywano rezerw na koszty restrukturyzacji.</w:t>
      </w:r>
    </w:p>
    <w:p w:rsidR="005D3822" w:rsidRPr="00F31D8E" w:rsidRDefault="005D3822" w:rsidP="005D3822">
      <w:pPr>
        <w:tabs>
          <w:tab w:val="left" w:pos="540"/>
        </w:tabs>
        <w:spacing w:line="260" w:lineRule="exact"/>
        <w:jc w:val="both"/>
        <w:rPr>
          <w:rFonts w:ascii="Arial" w:hAnsi="Arial" w:cs="Arial"/>
          <w:b/>
          <w:bCs/>
          <w:sz w:val="18"/>
          <w:szCs w:val="18"/>
        </w:rPr>
      </w:pPr>
    </w:p>
    <w:p w:rsidR="005D3822" w:rsidRPr="00666494" w:rsidRDefault="005D3822" w:rsidP="005D3822">
      <w:pPr>
        <w:tabs>
          <w:tab w:val="left" w:pos="540"/>
        </w:tabs>
        <w:spacing w:line="260" w:lineRule="exact"/>
        <w:jc w:val="both"/>
        <w:rPr>
          <w:rFonts w:ascii="Arial" w:hAnsi="Arial" w:cs="Arial"/>
          <w:b/>
          <w:bCs/>
          <w:sz w:val="18"/>
          <w:szCs w:val="18"/>
        </w:rPr>
      </w:pPr>
      <w:r w:rsidRPr="00F31D8E">
        <w:rPr>
          <w:rFonts w:ascii="Arial" w:hAnsi="Arial" w:cs="Arial"/>
          <w:b/>
          <w:bCs/>
          <w:sz w:val="18"/>
          <w:szCs w:val="18"/>
        </w:rPr>
        <w:t>XI</w:t>
      </w:r>
      <w:r>
        <w:rPr>
          <w:rFonts w:ascii="Arial" w:hAnsi="Arial" w:cs="Arial"/>
          <w:b/>
          <w:bCs/>
          <w:sz w:val="18"/>
          <w:szCs w:val="18"/>
        </w:rPr>
        <w:t>V</w:t>
      </w:r>
      <w:r w:rsidRPr="00F31D8E">
        <w:rPr>
          <w:rFonts w:ascii="Arial" w:hAnsi="Arial" w:cs="Arial"/>
          <w:b/>
          <w:bCs/>
          <w:sz w:val="18"/>
          <w:szCs w:val="18"/>
        </w:rPr>
        <w:t xml:space="preserve">. </w:t>
      </w:r>
      <w:r w:rsidRPr="00666494">
        <w:rPr>
          <w:rFonts w:ascii="Arial" w:hAnsi="Arial" w:cs="Arial"/>
          <w:b/>
          <w:bCs/>
          <w:sz w:val="18"/>
          <w:szCs w:val="18"/>
        </w:rPr>
        <w:t>Nabycie i sprzedaż rzeczowych aktywów trwałych.</w:t>
      </w:r>
    </w:p>
    <w:p w:rsidR="003C41BA" w:rsidRPr="003C41BA" w:rsidRDefault="003C41BA" w:rsidP="003C41BA">
      <w:pPr>
        <w:tabs>
          <w:tab w:val="left" w:pos="540"/>
        </w:tabs>
        <w:spacing w:line="260" w:lineRule="exact"/>
        <w:jc w:val="both"/>
        <w:rPr>
          <w:rFonts w:ascii="Arial" w:hAnsi="Arial" w:cs="Arial"/>
          <w:sz w:val="18"/>
          <w:szCs w:val="18"/>
        </w:rPr>
      </w:pPr>
      <w:r w:rsidRPr="003C41BA">
        <w:rPr>
          <w:rFonts w:ascii="Arial" w:hAnsi="Arial" w:cs="Arial"/>
          <w:sz w:val="18"/>
          <w:szCs w:val="18"/>
        </w:rPr>
        <w:t>W okresie od 1.01.2021 r. do 30.09.2021 r. na zwiększenia rzeczowych aktywów trwałych przyjęto  9  748  tys. zł, natomiast na zmniejszenie  z tytułu likwidacji 409 tys. zł , z tytułu przeklasyfikowania do aktywów przez</w:t>
      </w:r>
      <w:r>
        <w:rPr>
          <w:rFonts w:ascii="Arial" w:hAnsi="Arial" w:cs="Arial"/>
          <w:sz w:val="18"/>
          <w:szCs w:val="18"/>
        </w:rPr>
        <w:t>naczonych do sprzedaży 3 074 tys</w:t>
      </w:r>
      <w:r w:rsidRPr="003C41BA">
        <w:rPr>
          <w:rFonts w:ascii="Arial" w:hAnsi="Arial" w:cs="Arial"/>
          <w:sz w:val="18"/>
          <w:szCs w:val="18"/>
        </w:rPr>
        <w:t>.</w:t>
      </w:r>
      <w:r>
        <w:rPr>
          <w:rFonts w:ascii="Arial" w:hAnsi="Arial" w:cs="Arial"/>
          <w:sz w:val="18"/>
          <w:szCs w:val="18"/>
        </w:rPr>
        <w:t xml:space="preserve"> </w:t>
      </w:r>
      <w:r w:rsidRPr="003C41BA">
        <w:rPr>
          <w:rFonts w:ascii="Arial" w:hAnsi="Arial" w:cs="Arial"/>
          <w:sz w:val="18"/>
          <w:szCs w:val="18"/>
        </w:rPr>
        <w:t>zł. Natomiast w okresie od 1.01.2020r. do 30.09.2020 r. na zwiększenia rzeczowych aktywów trwałych przyjęto: 36 567 tys. zł, natomiast na zmniejszenie  2 497 tys. zł.</w:t>
      </w:r>
    </w:p>
    <w:p w:rsidR="003C41BA" w:rsidRPr="003C41BA" w:rsidRDefault="003C41BA" w:rsidP="003C41BA">
      <w:pPr>
        <w:tabs>
          <w:tab w:val="left" w:pos="540"/>
        </w:tabs>
        <w:spacing w:line="260" w:lineRule="exact"/>
        <w:jc w:val="both"/>
        <w:rPr>
          <w:rFonts w:ascii="Arial" w:hAnsi="Arial" w:cs="Arial"/>
          <w:sz w:val="18"/>
          <w:szCs w:val="18"/>
        </w:rPr>
      </w:pPr>
      <w:r w:rsidRPr="003C41BA">
        <w:rPr>
          <w:rFonts w:ascii="Arial" w:hAnsi="Arial" w:cs="Arial"/>
          <w:sz w:val="18"/>
          <w:szCs w:val="18"/>
        </w:rPr>
        <w:t>Wynik na sprzedaży rzeczowych aktywów trwałych na 30.09.2021 r. wynosił 0 tys. zł. (na 30.09.2020 r. wynik na sprzedaży rzeczowych aktywów trwałych wyniósł: 0 zł).</w:t>
      </w:r>
    </w:p>
    <w:p w:rsidR="005D3822" w:rsidRDefault="003C41BA" w:rsidP="003C41BA">
      <w:pPr>
        <w:tabs>
          <w:tab w:val="left" w:pos="540"/>
        </w:tabs>
        <w:spacing w:line="260" w:lineRule="exact"/>
        <w:jc w:val="both"/>
        <w:rPr>
          <w:rFonts w:ascii="Arial" w:hAnsi="Arial" w:cs="Arial"/>
          <w:sz w:val="18"/>
          <w:szCs w:val="18"/>
        </w:rPr>
      </w:pPr>
      <w:r w:rsidRPr="003C41BA">
        <w:rPr>
          <w:rFonts w:ascii="Arial" w:hAnsi="Arial" w:cs="Arial"/>
          <w:sz w:val="18"/>
          <w:szCs w:val="18"/>
        </w:rPr>
        <w:t>Narastająco na dzień 30.09.2021 r. wartość rzeczowych aktywów trwałych netto wyniosła: 150 490 tys. zł. natomiast na 30.09.2020 r. wynosiła: 139 484 tys. zł</w:t>
      </w:r>
    </w:p>
    <w:p w:rsidR="003C41BA" w:rsidRPr="00666494" w:rsidRDefault="003C41BA" w:rsidP="00207526">
      <w:pPr>
        <w:tabs>
          <w:tab w:val="left" w:pos="540"/>
        </w:tabs>
        <w:spacing w:line="260" w:lineRule="exact"/>
        <w:jc w:val="both"/>
        <w:rPr>
          <w:rFonts w:ascii="Arial" w:hAnsi="Arial" w:cs="Arial"/>
          <w:b/>
          <w:bCs/>
          <w:sz w:val="18"/>
          <w:szCs w:val="18"/>
        </w:rPr>
      </w:pPr>
    </w:p>
    <w:p w:rsidR="005D3822" w:rsidRDefault="005D3822" w:rsidP="005D3822">
      <w:pPr>
        <w:tabs>
          <w:tab w:val="left" w:pos="540"/>
        </w:tabs>
        <w:spacing w:line="260" w:lineRule="exact"/>
        <w:jc w:val="both"/>
        <w:rPr>
          <w:rFonts w:ascii="Arial" w:hAnsi="Arial" w:cs="Arial"/>
          <w:b/>
          <w:bCs/>
          <w:sz w:val="18"/>
          <w:szCs w:val="18"/>
        </w:rPr>
      </w:pPr>
      <w:r w:rsidRPr="0066570B">
        <w:rPr>
          <w:rFonts w:ascii="Arial" w:hAnsi="Arial" w:cs="Arial"/>
          <w:b/>
          <w:bCs/>
          <w:sz w:val="18"/>
          <w:szCs w:val="18"/>
        </w:rPr>
        <w:t xml:space="preserve">Zmiana wartości rzeczowych aktywów trwałych w okresie od 1 stycznia </w:t>
      </w:r>
      <w:r>
        <w:rPr>
          <w:rFonts w:ascii="Arial" w:hAnsi="Arial" w:cs="Arial"/>
          <w:b/>
          <w:bCs/>
          <w:sz w:val="18"/>
          <w:szCs w:val="18"/>
        </w:rPr>
        <w:t>202</w:t>
      </w:r>
      <w:r w:rsidR="003C41BA">
        <w:rPr>
          <w:rFonts w:ascii="Arial" w:hAnsi="Arial" w:cs="Arial"/>
          <w:b/>
          <w:bCs/>
          <w:sz w:val="18"/>
          <w:szCs w:val="18"/>
        </w:rPr>
        <w:t>1</w:t>
      </w:r>
      <w:r w:rsidRPr="0066570B">
        <w:rPr>
          <w:rFonts w:ascii="Arial" w:hAnsi="Arial" w:cs="Arial"/>
          <w:b/>
          <w:bCs/>
          <w:sz w:val="18"/>
          <w:szCs w:val="18"/>
        </w:rPr>
        <w:t xml:space="preserve"> r. do 30 września </w:t>
      </w:r>
      <w:r>
        <w:rPr>
          <w:rFonts w:ascii="Arial" w:hAnsi="Arial" w:cs="Arial"/>
          <w:b/>
          <w:bCs/>
          <w:sz w:val="18"/>
          <w:szCs w:val="18"/>
        </w:rPr>
        <w:t>202</w:t>
      </w:r>
      <w:r w:rsidR="003C41BA">
        <w:rPr>
          <w:rFonts w:ascii="Arial" w:hAnsi="Arial" w:cs="Arial"/>
          <w:b/>
          <w:bCs/>
          <w:sz w:val="18"/>
          <w:szCs w:val="18"/>
        </w:rPr>
        <w:t>1</w:t>
      </w:r>
      <w:r w:rsidRPr="0066570B">
        <w:rPr>
          <w:rFonts w:ascii="Arial" w:hAnsi="Arial" w:cs="Arial"/>
          <w:b/>
          <w:bCs/>
          <w:sz w:val="18"/>
          <w:szCs w:val="18"/>
        </w:rPr>
        <w:t xml:space="preserve"> r.</w:t>
      </w:r>
    </w:p>
    <w:p w:rsidR="003C41BA" w:rsidRDefault="003C41BA" w:rsidP="005D3822">
      <w:pPr>
        <w:tabs>
          <w:tab w:val="left" w:pos="540"/>
        </w:tabs>
        <w:spacing w:line="260" w:lineRule="exact"/>
        <w:jc w:val="both"/>
        <w:rPr>
          <w:rFonts w:ascii="Arial" w:hAnsi="Arial" w:cs="Arial"/>
          <w:b/>
          <w:bCs/>
          <w:sz w:val="18"/>
          <w:szCs w:val="18"/>
        </w:rPr>
      </w:pPr>
    </w:p>
    <w:tbl>
      <w:tblPr>
        <w:tblW w:w="9513" w:type="dxa"/>
        <w:tblInd w:w="55" w:type="dxa"/>
        <w:tblLayout w:type="fixed"/>
        <w:tblCellMar>
          <w:left w:w="70" w:type="dxa"/>
          <w:right w:w="70" w:type="dxa"/>
        </w:tblCellMar>
        <w:tblLook w:val="04A0" w:firstRow="1" w:lastRow="0" w:firstColumn="1" w:lastColumn="0" w:noHBand="0" w:noVBand="1"/>
      </w:tblPr>
      <w:tblGrid>
        <w:gridCol w:w="2850"/>
        <w:gridCol w:w="709"/>
        <w:gridCol w:w="1134"/>
        <w:gridCol w:w="992"/>
        <w:gridCol w:w="1134"/>
        <w:gridCol w:w="851"/>
        <w:gridCol w:w="992"/>
        <w:gridCol w:w="851"/>
      </w:tblGrid>
      <w:tr w:rsidR="003C41BA" w:rsidTr="00C42EEA">
        <w:trPr>
          <w:trHeight w:val="227"/>
        </w:trPr>
        <w:tc>
          <w:tcPr>
            <w:tcW w:w="2850" w:type="dxa"/>
            <w:tcBorders>
              <w:top w:val="nil"/>
              <w:left w:val="nil"/>
              <w:bottom w:val="nil"/>
              <w:right w:val="nil"/>
            </w:tcBorders>
            <w:shd w:val="clear" w:color="auto" w:fill="auto"/>
            <w:noWrap/>
            <w:vAlign w:val="bottom"/>
            <w:hideMark/>
          </w:tcPr>
          <w:p w:rsidR="003C41BA" w:rsidRDefault="003C41BA">
            <w:pPr>
              <w:rPr>
                <w:color w:val="000000"/>
                <w:sz w:val="20"/>
                <w:szCs w:val="20"/>
              </w:rPr>
            </w:pPr>
          </w:p>
        </w:tc>
        <w:tc>
          <w:tcPr>
            <w:tcW w:w="709" w:type="dxa"/>
            <w:tcBorders>
              <w:top w:val="nil"/>
              <w:left w:val="nil"/>
              <w:bottom w:val="nil"/>
              <w:right w:val="nil"/>
            </w:tcBorders>
            <w:shd w:val="clear" w:color="auto" w:fill="auto"/>
            <w:noWrap/>
            <w:vAlign w:val="center"/>
            <w:hideMark/>
          </w:tcPr>
          <w:p w:rsidR="003C41BA" w:rsidRPr="003C41BA" w:rsidRDefault="003C41BA">
            <w:pPr>
              <w:jc w:val="center"/>
              <w:rPr>
                <w:rFonts w:ascii="Arial" w:hAnsi="Arial" w:cs="Arial"/>
                <w:b/>
                <w:bCs/>
                <w:color w:val="000000"/>
                <w:sz w:val="16"/>
                <w:szCs w:val="18"/>
              </w:rPr>
            </w:pPr>
            <w:r w:rsidRPr="003C41BA">
              <w:rPr>
                <w:rFonts w:ascii="Arial" w:hAnsi="Arial" w:cs="Arial"/>
                <w:b/>
                <w:bCs/>
                <w:color w:val="000000"/>
                <w:sz w:val="16"/>
                <w:szCs w:val="18"/>
              </w:rPr>
              <w:t>Grunty</w:t>
            </w:r>
          </w:p>
        </w:tc>
        <w:tc>
          <w:tcPr>
            <w:tcW w:w="1134" w:type="dxa"/>
            <w:tcBorders>
              <w:top w:val="nil"/>
              <w:left w:val="nil"/>
              <w:bottom w:val="nil"/>
              <w:right w:val="nil"/>
            </w:tcBorders>
            <w:shd w:val="clear" w:color="auto" w:fill="auto"/>
            <w:noWrap/>
            <w:vAlign w:val="center"/>
            <w:hideMark/>
          </w:tcPr>
          <w:p w:rsidR="003C41BA" w:rsidRPr="003C41BA" w:rsidRDefault="003C41BA">
            <w:pPr>
              <w:jc w:val="center"/>
              <w:rPr>
                <w:rFonts w:ascii="Arial" w:hAnsi="Arial" w:cs="Arial"/>
                <w:b/>
                <w:bCs/>
                <w:color w:val="000000"/>
                <w:sz w:val="16"/>
                <w:szCs w:val="18"/>
              </w:rPr>
            </w:pPr>
            <w:r w:rsidRPr="003C41BA">
              <w:rPr>
                <w:rFonts w:ascii="Arial" w:hAnsi="Arial" w:cs="Arial"/>
                <w:b/>
                <w:bCs/>
                <w:color w:val="000000"/>
                <w:sz w:val="16"/>
                <w:szCs w:val="18"/>
              </w:rPr>
              <w:t>Budynki</w:t>
            </w:r>
          </w:p>
        </w:tc>
        <w:tc>
          <w:tcPr>
            <w:tcW w:w="992" w:type="dxa"/>
            <w:tcBorders>
              <w:top w:val="nil"/>
              <w:left w:val="nil"/>
              <w:bottom w:val="nil"/>
              <w:right w:val="nil"/>
            </w:tcBorders>
            <w:shd w:val="clear" w:color="auto" w:fill="auto"/>
            <w:noWrap/>
            <w:vAlign w:val="center"/>
            <w:hideMark/>
          </w:tcPr>
          <w:p w:rsidR="003C41BA" w:rsidRPr="003C41BA" w:rsidRDefault="003C41BA">
            <w:pPr>
              <w:jc w:val="center"/>
              <w:rPr>
                <w:rFonts w:ascii="Arial" w:hAnsi="Arial" w:cs="Arial"/>
                <w:b/>
                <w:bCs/>
                <w:color w:val="000000"/>
                <w:sz w:val="16"/>
                <w:szCs w:val="18"/>
              </w:rPr>
            </w:pPr>
            <w:r w:rsidRPr="003C41BA">
              <w:rPr>
                <w:rFonts w:ascii="Arial" w:hAnsi="Arial" w:cs="Arial"/>
                <w:b/>
                <w:bCs/>
                <w:color w:val="000000"/>
                <w:sz w:val="16"/>
                <w:szCs w:val="18"/>
              </w:rPr>
              <w:t>Urządzenia techniczne</w:t>
            </w:r>
          </w:p>
        </w:tc>
        <w:tc>
          <w:tcPr>
            <w:tcW w:w="1134" w:type="dxa"/>
            <w:tcBorders>
              <w:top w:val="nil"/>
              <w:left w:val="nil"/>
              <w:bottom w:val="nil"/>
              <w:right w:val="nil"/>
            </w:tcBorders>
            <w:shd w:val="clear" w:color="auto" w:fill="auto"/>
            <w:noWrap/>
            <w:vAlign w:val="center"/>
            <w:hideMark/>
          </w:tcPr>
          <w:p w:rsidR="003C41BA" w:rsidRPr="003C41BA" w:rsidRDefault="003C41BA">
            <w:pPr>
              <w:jc w:val="center"/>
              <w:rPr>
                <w:rFonts w:ascii="Arial" w:hAnsi="Arial" w:cs="Arial"/>
                <w:b/>
                <w:bCs/>
                <w:color w:val="000000"/>
                <w:sz w:val="16"/>
                <w:szCs w:val="18"/>
              </w:rPr>
            </w:pPr>
            <w:r w:rsidRPr="003C41BA">
              <w:rPr>
                <w:rFonts w:ascii="Arial" w:hAnsi="Arial" w:cs="Arial"/>
                <w:b/>
                <w:bCs/>
                <w:color w:val="000000"/>
                <w:sz w:val="16"/>
                <w:szCs w:val="18"/>
              </w:rPr>
              <w:t>Środki transportu</w:t>
            </w:r>
          </w:p>
        </w:tc>
        <w:tc>
          <w:tcPr>
            <w:tcW w:w="851" w:type="dxa"/>
            <w:tcBorders>
              <w:top w:val="nil"/>
              <w:left w:val="nil"/>
              <w:bottom w:val="nil"/>
              <w:right w:val="nil"/>
            </w:tcBorders>
            <w:shd w:val="clear" w:color="auto" w:fill="auto"/>
            <w:noWrap/>
            <w:vAlign w:val="center"/>
            <w:hideMark/>
          </w:tcPr>
          <w:p w:rsidR="003C41BA" w:rsidRPr="003C41BA" w:rsidRDefault="003C41BA">
            <w:pPr>
              <w:jc w:val="center"/>
              <w:rPr>
                <w:rFonts w:ascii="Arial" w:hAnsi="Arial" w:cs="Arial"/>
                <w:b/>
                <w:bCs/>
                <w:color w:val="000000"/>
                <w:sz w:val="16"/>
                <w:szCs w:val="18"/>
              </w:rPr>
            </w:pPr>
            <w:r w:rsidRPr="003C41BA">
              <w:rPr>
                <w:rFonts w:ascii="Arial" w:hAnsi="Arial" w:cs="Arial"/>
                <w:b/>
                <w:bCs/>
                <w:color w:val="000000"/>
                <w:sz w:val="16"/>
                <w:szCs w:val="18"/>
              </w:rPr>
              <w:t>Inne środki trwałe</w:t>
            </w:r>
          </w:p>
        </w:tc>
        <w:tc>
          <w:tcPr>
            <w:tcW w:w="992" w:type="dxa"/>
            <w:tcBorders>
              <w:top w:val="nil"/>
              <w:left w:val="nil"/>
              <w:bottom w:val="nil"/>
              <w:right w:val="nil"/>
            </w:tcBorders>
            <w:shd w:val="clear" w:color="auto" w:fill="auto"/>
            <w:noWrap/>
            <w:vAlign w:val="center"/>
            <w:hideMark/>
          </w:tcPr>
          <w:p w:rsidR="003C41BA" w:rsidRPr="003C41BA" w:rsidRDefault="003C41BA">
            <w:pPr>
              <w:jc w:val="center"/>
              <w:rPr>
                <w:rFonts w:ascii="Arial" w:hAnsi="Arial" w:cs="Arial"/>
                <w:b/>
                <w:bCs/>
                <w:color w:val="000000"/>
                <w:sz w:val="16"/>
                <w:szCs w:val="18"/>
              </w:rPr>
            </w:pPr>
            <w:r w:rsidRPr="003C41BA">
              <w:rPr>
                <w:rFonts w:ascii="Arial" w:hAnsi="Arial" w:cs="Arial"/>
                <w:b/>
                <w:bCs/>
                <w:color w:val="000000"/>
                <w:sz w:val="16"/>
                <w:szCs w:val="18"/>
              </w:rPr>
              <w:t>Środki trwałe</w:t>
            </w:r>
          </w:p>
        </w:tc>
        <w:tc>
          <w:tcPr>
            <w:tcW w:w="851" w:type="dxa"/>
            <w:tcBorders>
              <w:top w:val="nil"/>
              <w:left w:val="nil"/>
              <w:bottom w:val="nil"/>
              <w:right w:val="nil"/>
            </w:tcBorders>
            <w:shd w:val="clear" w:color="auto" w:fill="auto"/>
            <w:noWrap/>
            <w:vAlign w:val="center"/>
            <w:hideMark/>
          </w:tcPr>
          <w:p w:rsidR="003C41BA" w:rsidRPr="003C41BA" w:rsidRDefault="003C41BA">
            <w:pPr>
              <w:jc w:val="center"/>
              <w:rPr>
                <w:rFonts w:ascii="Arial" w:hAnsi="Arial" w:cs="Arial"/>
                <w:b/>
                <w:bCs/>
                <w:color w:val="000000"/>
                <w:sz w:val="16"/>
                <w:szCs w:val="18"/>
              </w:rPr>
            </w:pPr>
            <w:r w:rsidRPr="003C41BA">
              <w:rPr>
                <w:rFonts w:ascii="Arial" w:hAnsi="Arial" w:cs="Arial"/>
                <w:b/>
                <w:bCs/>
                <w:color w:val="000000"/>
                <w:sz w:val="16"/>
                <w:szCs w:val="18"/>
              </w:rPr>
              <w:t>Ogółem</w:t>
            </w:r>
          </w:p>
        </w:tc>
      </w:tr>
      <w:tr w:rsidR="003C41BA" w:rsidTr="00C42EEA">
        <w:trPr>
          <w:trHeight w:val="227"/>
        </w:trPr>
        <w:tc>
          <w:tcPr>
            <w:tcW w:w="2850" w:type="dxa"/>
            <w:tcBorders>
              <w:top w:val="nil"/>
              <w:left w:val="nil"/>
              <w:bottom w:val="single" w:sz="4" w:space="0" w:color="auto"/>
              <w:right w:val="nil"/>
            </w:tcBorders>
            <w:shd w:val="clear" w:color="auto" w:fill="auto"/>
            <w:noWrap/>
            <w:vAlign w:val="bottom"/>
            <w:hideMark/>
          </w:tcPr>
          <w:p w:rsidR="003C41BA" w:rsidRDefault="003C41BA">
            <w:pPr>
              <w:rPr>
                <w:color w:val="000000"/>
                <w:sz w:val="20"/>
                <w:szCs w:val="20"/>
              </w:rPr>
            </w:pPr>
          </w:p>
        </w:tc>
        <w:tc>
          <w:tcPr>
            <w:tcW w:w="709" w:type="dxa"/>
            <w:tcBorders>
              <w:top w:val="nil"/>
              <w:left w:val="nil"/>
              <w:bottom w:val="single" w:sz="4" w:space="0" w:color="auto"/>
              <w:right w:val="nil"/>
            </w:tcBorders>
            <w:shd w:val="clear" w:color="auto" w:fill="auto"/>
            <w:noWrap/>
            <w:vAlign w:val="bottom"/>
            <w:hideMark/>
          </w:tcPr>
          <w:p w:rsidR="003C41BA" w:rsidRPr="003C41BA" w:rsidRDefault="003C41BA">
            <w:pPr>
              <w:rPr>
                <w:color w:val="000000"/>
                <w:sz w:val="16"/>
                <w:szCs w:val="20"/>
              </w:rPr>
            </w:pPr>
          </w:p>
        </w:tc>
        <w:tc>
          <w:tcPr>
            <w:tcW w:w="1134" w:type="dxa"/>
            <w:tcBorders>
              <w:top w:val="nil"/>
              <w:left w:val="nil"/>
              <w:bottom w:val="single" w:sz="4" w:space="0" w:color="auto"/>
              <w:right w:val="nil"/>
            </w:tcBorders>
            <w:shd w:val="clear" w:color="auto" w:fill="auto"/>
            <w:noWrap/>
            <w:vAlign w:val="center"/>
            <w:hideMark/>
          </w:tcPr>
          <w:p w:rsidR="003C41BA" w:rsidRPr="003C41BA" w:rsidRDefault="003C41BA">
            <w:pPr>
              <w:jc w:val="center"/>
              <w:rPr>
                <w:rFonts w:ascii="Arial" w:hAnsi="Arial" w:cs="Arial"/>
                <w:b/>
                <w:bCs/>
                <w:color w:val="000000"/>
                <w:sz w:val="16"/>
                <w:szCs w:val="18"/>
              </w:rPr>
            </w:pPr>
            <w:r w:rsidRPr="003C41BA">
              <w:rPr>
                <w:rFonts w:ascii="Arial" w:hAnsi="Arial" w:cs="Arial"/>
                <w:b/>
                <w:bCs/>
                <w:color w:val="000000"/>
                <w:sz w:val="16"/>
                <w:szCs w:val="18"/>
              </w:rPr>
              <w:t>i budowle</w:t>
            </w:r>
          </w:p>
        </w:tc>
        <w:tc>
          <w:tcPr>
            <w:tcW w:w="992" w:type="dxa"/>
            <w:tcBorders>
              <w:top w:val="nil"/>
              <w:left w:val="nil"/>
              <w:bottom w:val="single" w:sz="4" w:space="0" w:color="auto"/>
              <w:right w:val="nil"/>
            </w:tcBorders>
            <w:shd w:val="clear" w:color="auto" w:fill="auto"/>
            <w:noWrap/>
            <w:vAlign w:val="center"/>
            <w:hideMark/>
          </w:tcPr>
          <w:p w:rsidR="003C41BA" w:rsidRPr="003C41BA" w:rsidRDefault="003C41BA">
            <w:pPr>
              <w:jc w:val="center"/>
              <w:rPr>
                <w:rFonts w:ascii="Arial" w:hAnsi="Arial" w:cs="Arial"/>
                <w:b/>
                <w:bCs/>
                <w:color w:val="000000"/>
                <w:sz w:val="16"/>
                <w:szCs w:val="18"/>
              </w:rPr>
            </w:pPr>
            <w:r w:rsidRPr="003C41BA">
              <w:rPr>
                <w:rFonts w:ascii="Arial" w:hAnsi="Arial" w:cs="Arial"/>
                <w:b/>
                <w:bCs/>
                <w:color w:val="000000"/>
                <w:sz w:val="16"/>
                <w:szCs w:val="18"/>
              </w:rPr>
              <w:t>i maszyny</w:t>
            </w:r>
          </w:p>
        </w:tc>
        <w:tc>
          <w:tcPr>
            <w:tcW w:w="1134" w:type="dxa"/>
            <w:tcBorders>
              <w:top w:val="nil"/>
              <w:left w:val="nil"/>
              <w:bottom w:val="single" w:sz="4" w:space="0" w:color="auto"/>
              <w:right w:val="nil"/>
            </w:tcBorders>
            <w:shd w:val="clear" w:color="auto" w:fill="auto"/>
            <w:noWrap/>
            <w:vAlign w:val="bottom"/>
            <w:hideMark/>
          </w:tcPr>
          <w:p w:rsidR="003C41BA" w:rsidRPr="003C41BA" w:rsidRDefault="003C41BA">
            <w:pPr>
              <w:rPr>
                <w:color w:val="000000"/>
                <w:sz w:val="16"/>
                <w:szCs w:val="20"/>
              </w:rPr>
            </w:pPr>
          </w:p>
        </w:tc>
        <w:tc>
          <w:tcPr>
            <w:tcW w:w="851" w:type="dxa"/>
            <w:tcBorders>
              <w:top w:val="nil"/>
              <w:left w:val="nil"/>
              <w:bottom w:val="single" w:sz="4" w:space="0" w:color="auto"/>
              <w:right w:val="nil"/>
            </w:tcBorders>
            <w:shd w:val="clear" w:color="auto" w:fill="auto"/>
            <w:noWrap/>
            <w:vAlign w:val="bottom"/>
            <w:hideMark/>
          </w:tcPr>
          <w:p w:rsidR="003C41BA" w:rsidRPr="003C41BA" w:rsidRDefault="003C41BA">
            <w:pPr>
              <w:rPr>
                <w:color w:val="000000"/>
                <w:sz w:val="16"/>
                <w:szCs w:val="20"/>
              </w:rPr>
            </w:pPr>
          </w:p>
        </w:tc>
        <w:tc>
          <w:tcPr>
            <w:tcW w:w="992" w:type="dxa"/>
            <w:tcBorders>
              <w:top w:val="nil"/>
              <w:left w:val="nil"/>
              <w:bottom w:val="single" w:sz="4" w:space="0" w:color="auto"/>
              <w:right w:val="nil"/>
            </w:tcBorders>
            <w:shd w:val="clear" w:color="auto" w:fill="auto"/>
            <w:noWrap/>
            <w:vAlign w:val="center"/>
            <w:hideMark/>
          </w:tcPr>
          <w:p w:rsidR="003C41BA" w:rsidRPr="003C41BA" w:rsidRDefault="003C41BA">
            <w:pPr>
              <w:jc w:val="center"/>
              <w:rPr>
                <w:rFonts w:ascii="Arial" w:hAnsi="Arial" w:cs="Arial"/>
                <w:b/>
                <w:bCs/>
                <w:color w:val="000000"/>
                <w:sz w:val="16"/>
                <w:szCs w:val="18"/>
              </w:rPr>
            </w:pPr>
            <w:r w:rsidRPr="003C41BA">
              <w:rPr>
                <w:rFonts w:ascii="Arial" w:hAnsi="Arial" w:cs="Arial"/>
                <w:b/>
                <w:bCs/>
                <w:color w:val="000000"/>
                <w:sz w:val="16"/>
                <w:szCs w:val="18"/>
              </w:rPr>
              <w:t>w budowie</w:t>
            </w:r>
          </w:p>
        </w:tc>
        <w:tc>
          <w:tcPr>
            <w:tcW w:w="851" w:type="dxa"/>
            <w:tcBorders>
              <w:top w:val="nil"/>
              <w:left w:val="nil"/>
              <w:bottom w:val="single" w:sz="4" w:space="0" w:color="auto"/>
              <w:right w:val="nil"/>
            </w:tcBorders>
            <w:shd w:val="clear" w:color="auto" w:fill="auto"/>
            <w:noWrap/>
            <w:vAlign w:val="bottom"/>
            <w:hideMark/>
          </w:tcPr>
          <w:p w:rsidR="003C41BA" w:rsidRPr="003C41BA" w:rsidRDefault="003C41BA">
            <w:pPr>
              <w:rPr>
                <w:color w:val="000000"/>
                <w:sz w:val="16"/>
                <w:szCs w:val="20"/>
              </w:rPr>
            </w:pPr>
          </w:p>
        </w:tc>
      </w:tr>
      <w:tr w:rsidR="003C41BA" w:rsidTr="00C42EEA">
        <w:trPr>
          <w:trHeight w:val="227"/>
        </w:trPr>
        <w:tc>
          <w:tcPr>
            <w:tcW w:w="2850" w:type="dxa"/>
            <w:tcBorders>
              <w:top w:val="single" w:sz="4" w:space="0" w:color="auto"/>
              <w:left w:val="nil"/>
              <w:bottom w:val="nil"/>
              <w:right w:val="nil"/>
            </w:tcBorders>
            <w:shd w:val="clear" w:color="auto" w:fill="auto"/>
            <w:vAlign w:val="center"/>
            <w:hideMark/>
          </w:tcPr>
          <w:p w:rsidR="003C41BA" w:rsidRPr="003C41BA" w:rsidRDefault="003C41BA">
            <w:pPr>
              <w:rPr>
                <w:rFonts w:ascii="Arial" w:hAnsi="Arial" w:cs="Arial"/>
                <w:color w:val="000000"/>
                <w:sz w:val="16"/>
                <w:szCs w:val="16"/>
              </w:rPr>
            </w:pPr>
            <w:r w:rsidRPr="003C41BA">
              <w:rPr>
                <w:rFonts w:ascii="Arial" w:hAnsi="Arial" w:cs="Arial"/>
                <w:color w:val="000000"/>
                <w:sz w:val="16"/>
                <w:szCs w:val="16"/>
              </w:rPr>
              <w:t>Stan na 31 grudnia 2020 r.</w:t>
            </w:r>
          </w:p>
        </w:tc>
        <w:tc>
          <w:tcPr>
            <w:tcW w:w="709" w:type="dxa"/>
            <w:tcBorders>
              <w:top w:val="single" w:sz="4" w:space="0" w:color="auto"/>
              <w:left w:val="nil"/>
              <w:bottom w:val="nil"/>
              <w:right w:val="nil"/>
            </w:tcBorders>
            <w:shd w:val="clear" w:color="auto" w:fill="auto"/>
            <w:noWrap/>
            <w:vAlign w:val="bottom"/>
            <w:hideMark/>
          </w:tcPr>
          <w:p w:rsidR="003C41BA" w:rsidRPr="003C41BA" w:rsidRDefault="003C41BA">
            <w:pPr>
              <w:rPr>
                <w:rFonts w:ascii="Arial" w:hAnsi="Arial" w:cs="Arial"/>
                <w:color w:val="000000"/>
                <w:sz w:val="16"/>
                <w:szCs w:val="16"/>
              </w:rPr>
            </w:pPr>
          </w:p>
        </w:tc>
        <w:tc>
          <w:tcPr>
            <w:tcW w:w="1134" w:type="dxa"/>
            <w:tcBorders>
              <w:top w:val="single" w:sz="4" w:space="0" w:color="auto"/>
              <w:left w:val="nil"/>
              <w:bottom w:val="nil"/>
              <w:right w:val="nil"/>
            </w:tcBorders>
            <w:shd w:val="clear" w:color="auto" w:fill="auto"/>
            <w:noWrap/>
            <w:vAlign w:val="bottom"/>
            <w:hideMark/>
          </w:tcPr>
          <w:p w:rsidR="003C41BA" w:rsidRPr="003C41BA" w:rsidRDefault="003C41BA">
            <w:pPr>
              <w:rPr>
                <w:rFonts w:ascii="Arial" w:hAnsi="Arial" w:cs="Arial"/>
                <w:color w:val="000000"/>
                <w:sz w:val="16"/>
                <w:szCs w:val="16"/>
              </w:rPr>
            </w:pPr>
          </w:p>
        </w:tc>
        <w:tc>
          <w:tcPr>
            <w:tcW w:w="992" w:type="dxa"/>
            <w:tcBorders>
              <w:top w:val="single" w:sz="4" w:space="0" w:color="auto"/>
              <w:left w:val="nil"/>
              <w:bottom w:val="nil"/>
              <w:right w:val="nil"/>
            </w:tcBorders>
            <w:shd w:val="clear" w:color="auto" w:fill="auto"/>
            <w:noWrap/>
            <w:vAlign w:val="bottom"/>
            <w:hideMark/>
          </w:tcPr>
          <w:p w:rsidR="003C41BA" w:rsidRPr="003C41BA" w:rsidRDefault="003C41BA">
            <w:pPr>
              <w:rPr>
                <w:rFonts w:ascii="Arial" w:hAnsi="Arial" w:cs="Arial"/>
                <w:color w:val="000000"/>
                <w:sz w:val="16"/>
                <w:szCs w:val="16"/>
              </w:rPr>
            </w:pPr>
          </w:p>
        </w:tc>
        <w:tc>
          <w:tcPr>
            <w:tcW w:w="1134" w:type="dxa"/>
            <w:tcBorders>
              <w:top w:val="single" w:sz="4" w:space="0" w:color="auto"/>
              <w:left w:val="nil"/>
              <w:bottom w:val="nil"/>
              <w:right w:val="nil"/>
            </w:tcBorders>
            <w:shd w:val="clear" w:color="auto" w:fill="auto"/>
            <w:noWrap/>
            <w:vAlign w:val="bottom"/>
            <w:hideMark/>
          </w:tcPr>
          <w:p w:rsidR="003C41BA" w:rsidRPr="003C41BA" w:rsidRDefault="003C41BA">
            <w:pPr>
              <w:rPr>
                <w:rFonts w:ascii="Arial" w:hAnsi="Arial" w:cs="Arial"/>
                <w:color w:val="000000"/>
                <w:sz w:val="16"/>
                <w:szCs w:val="16"/>
              </w:rPr>
            </w:pPr>
          </w:p>
        </w:tc>
        <w:tc>
          <w:tcPr>
            <w:tcW w:w="851" w:type="dxa"/>
            <w:tcBorders>
              <w:top w:val="single" w:sz="4" w:space="0" w:color="auto"/>
              <w:left w:val="nil"/>
              <w:bottom w:val="nil"/>
              <w:right w:val="nil"/>
            </w:tcBorders>
            <w:shd w:val="clear" w:color="auto" w:fill="auto"/>
            <w:noWrap/>
            <w:vAlign w:val="bottom"/>
            <w:hideMark/>
          </w:tcPr>
          <w:p w:rsidR="003C41BA" w:rsidRPr="003C41BA" w:rsidRDefault="003C41BA">
            <w:pPr>
              <w:rPr>
                <w:rFonts w:ascii="Arial" w:hAnsi="Arial" w:cs="Arial"/>
                <w:color w:val="000000"/>
                <w:sz w:val="16"/>
                <w:szCs w:val="16"/>
              </w:rPr>
            </w:pPr>
          </w:p>
        </w:tc>
        <w:tc>
          <w:tcPr>
            <w:tcW w:w="992" w:type="dxa"/>
            <w:tcBorders>
              <w:top w:val="single" w:sz="4" w:space="0" w:color="auto"/>
              <w:left w:val="nil"/>
              <w:bottom w:val="nil"/>
              <w:right w:val="nil"/>
            </w:tcBorders>
            <w:shd w:val="clear" w:color="auto" w:fill="auto"/>
            <w:noWrap/>
            <w:vAlign w:val="bottom"/>
            <w:hideMark/>
          </w:tcPr>
          <w:p w:rsidR="003C41BA" w:rsidRPr="003C41BA" w:rsidRDefault="003C41BA">
            <w:pPr>
              <w:rPr>
                <w:rFonts w:ascii="Arial" w:hAnsi="Arial" w:cs="Arial"/>
                <w:color w:val="000000"/>
                <w:sz w:val="16"/>
                <w:szCs w:val="16"/>
              </w:rPr>
            </w:pPr>
          </w:p>
        </w:tc>
        <w:tc>
          <w:tcPr>
            <w:tcW w:w="851" w:type="dxa"/>
            <w:tcBorders>
              <w:top w:val="single" w:sz="4" w:space="0" w:color="auto"/>
              <w:left w:val="nil"/>
              <w:bottom w:val="nil"/>
              <w:right w:val="nil"/>
            </w:tcBorders>
            <w:shd w:val="clear" w:color="auto" w:fill="auto"/>
            <w:noWrap/>
            <w:vAlign w:val="bottom"/>
            <w:hideMark/>
          </w:tcPr>
          <w:p w:rsidR="003C41BA" w:rsidRPr="003C41BA" w:rsidRDefault="003C41BA">
            <w:pPr>
              <w:rPr>
                <w:rFonts w:ascii="Arial" w:hAnsi="Arial" w:cs="Arial"/>
                <w:color w:val="000000"/>
                <w:sz w:val="16"/>
                <w:szCs w:val="16"/>
              </w:rPr>
            </w:pPr>
          </w:p>
        </w:tc>
      </w:tr>
      <w:tr w:rsidR="003C41BA" w:rsidTr="00C42EEA">
        <w:trPr>
          <w:trHeight w:val="227"/>
        </w:trPr>
        <w:tc>
          <w:tcPr>
            <w:tcW w:w="2850" w:type="dxa"/>
            <w:tcBorders>
              <w:top w:val="nil"/>
              <w:left w:val="nil"/>
              <w:bottom w:val="nil"/>
              <w:right w:val="nil"/>
            </w:tcBorders>
            <w:shd w:val="clear" w:color="auto" w:fill="auto"/>
            <w:vAlign w:val="center"/>
            <w:hideMark/>
          </w:tcPr>
          <w:p w:rsidR="003C41BA" w:rsidRPr="003C41BA" w:rsidRDefault="003C41BA">
            <w:pPr>
              <w:rPr>
                <w:rFonts w:ascii="Arial" w:hAnsi="Arial" w:cs="Arial"/>
                <w:color w:val="000000"/>
                <w:sz w:val="16"/>
                <w:szCs w:val="16"/>
              </w:rPr>
            </w:pPr>
            <w:r w:rsidRPr="003C41BA">
              <w:rPr>
                <w:rFonts w:ascii="Arial" w:hAnsi="Arial" w:cs="Arial"/>
                <w:color w:val="000000"/>
                <w:sz w:val="16"/>
                <w:szCs w:val="16"/>
              </w:rPr>
              <w:t>Wartość brutto</w:t>
            </w:r>
          </w:p>
        </w:tc>
        <w:tc>
          <w:tcPr>
            <w:tcW w:w="709"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7 083</w:t>
            </w:r>
          </w:p>
        </w:tc>
        <w:tc>
          <w:tcPr>
            <w:tcW w:w="1134"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138 838</w:t>
            </w:r>
          </w:p>
        </w:tc>
        <w:tc>
          <w:tcPr>
            <w:tcW w:w="992"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9 037</w:t>
            </w:r>
          </w:p>
        </w:tc>
        <w:tc>
          <w:tcPr>
            <w:tcW w:w="1134"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924</w:t>
            </w:r>
          </w:p>
        </w:tc>
        <w:tc>
          <w:tcPr>
            <w:tcW w:w="851"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10 284</w:t>
            </w:r>
          </w:p>
        </w:tc>
        <w:tc>
          <w:tcPr>
            <w:tcW w:w="992"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36 114</w:t>
            </w:r>
          </w:p>
        </w:tc>
        <w:tc>
          <w:tcPr>
            <w:tcW w:w="851"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202 281</w:t>
            </w:r>
          </w:p>
        </w:tc>
      </w:tr>
      <w:tr w:rsidR="003C41BA" w:rsidTr="00C42EEA">
        <w:trPr>
          <w:trHeight w:val="227"/>
        </w:trPr>
        <w:tc>
          <w:tcPr>
            <w:tcW w:w="2850" w:type="dxa"/>
            <w:tcBorders>
              <w:top w:val="nil"/>
              <w:left w:val="nil"/>
              <w:bottom w:val="nil"/>
              <w:right w:val="nil"/>
            </w:tcBorders>
            <w:shd w:val="clear" w:color="auto" w:fill="auto"/>
            <w:vAlign w:val="center"/>
            <w:hideMark/>
          </w:tcPr>
          <w:p w:rsidR="003C41BA" w:rsidRPr="003C41BA" w:rsidRDefault="003C41BA">
            <w:pPr>
              <w:rPr>
                <w:rFonts w:ascii="Arial" w:hAnsi="Arial" w:cs="Arial"/>
                <w:color w:val="000000"/>
                <w:sz w:val="16"/>
                <w:szCs w:val="16"/>
              </w:rPr>
            </w:pPr>
            <w:r w:rsidRPr="003C41BA">
              <w:rPr>
                <w:rFonts w:ascii="Arial" w:hAnsi="Arial" w:cs="Arial"/>
                <w:color w:val="000000"/>
                <w:sz w:val="16"/>
                <w:szCs w:val="16"/>
              </w:rPr>
              <w:t>Umorzenie</w:t>
            </w:r>
          </w:p>
        </w:tc>
        <w:tc>
          <w:tcPr>
            <w:tcW w:w="709"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-38 573</w:t>
            </w:r>
          </w:p>
        </w:tc>
        <w:tc>
          <w:tcPr>
            <w:tcW w:w="992"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-7 133</w:t>
            </w:r>
          </w:p>
        </w:tc>
        <w:tc>
          <w:tcPr>
            <w:tcW w:w="1134"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-690</w:t>
            </w:r>
          </w:p>
        </w:tc>
        <w:tc>
          <w:tcPr>
            <w:tcW w:w="851"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-9 348</w:t>
            </w:r>
          </w:p>
        </w:tc>
        <w:tc>
          <w:tcPr>
            <w:tcW w:w="992"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Pr>
                <w:rFonts w:ascii="Arial" w:hAnsi="Arial" w:cs="Arial"/>
                <w:color w:val="000000"/>
                <w:sz w:val="16"/>
                <w:szCs w:val="16"/>
              </w:rPr>
              <w:t>-</w:t>
            </w:r>
          </w:p>
        </w:tc>
        <w:tc>
          <w:tcPr>
            <w:tcW w:w="851"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-55 744</w:t>
            </w:r>
          </w:p>
        </w:tc>
      </w:tr>
      <w:tr w:rsidR="003C41BA" w:rsidTr="00C42EEA">
        <w:trPr>
          <w:trHeight w:val="227"/>
        </w:trPr>
        <w:tc>
          <w:tcPr>
            <w:tcW w:w="2850" w:type="dxa"/>
            <w:tcBorders>
              <w:top w:val="nil"/>
              <w:left w:val="nil"/>
              <w:bottom w:val="single" w:sz="8" w:space="0" w:color="auto"/>
              <w:right w:val="nil"/>
            </w:tcBorders>
            <w:shd w:val="clear" w:color="auto" w:fill="auto"/>
            <w:vAlign w:val="center"/>
            <w:hideMark/>
          </w:tcPr>
          <w:p w:rsidR="003C41BA" w:rsidRPr="003C41BA" w:rsidRDefault="003C41BA">
            <w:pPr>
              <w:rPr>
                <w:rFonts w:ascii="Arial" w:hAnsi="Arial" w:cs="Arial"/>
                <w:color w:val="000000"/>
                <w:sz w:val="16"/>
                <w:szCs w:val="16"/>
              </w:rPr>
            </w:pPr>
            <w:r w:rsidRPr="003C41BA">
              <w:rPr>
                <w:rFonts w:ascii="Arial" w:hAnsi="Arial" w:cs="Arial"/>
                <w:color w:val="000000"/>
                <w:sz w:val="16"/>
                <w:szCs w:val="16"/>
              </w:rPr>
              <w:t xml:space="preserve">Wartość księgowa netto  środków trwałych </w:t>
            </w:r>
          </w:p>
        </w:tc>
        <w:tc>
          <w:tcPr>
            <w:tcW w:w="709" w:type="dxa"/>
            <w:tcBorders>
              <w:top w:val="nil"/>
              <w:left w:val="nil"/>
              <w:bottom w:val="single" w:sz="8" w:space="0" w:color="auto"/>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7 083</w:t>
            </w:r>
          </w:p>
        </w:tc>
        <w:tc>
          <w:tcPr>
            <w:tcW w:w="1134" w:type="dxa"/>
            <w:tcBorders>
              <w:top w:val="nil"/>
              <w:left w:val="nil"/>
              <w:bottom w:val="single" w:sz="8" w:space="0" w:color="auto"/>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100 265</w:t>
            </w:r>
          </w:p>
        </w:tc>
        <w:tc>
          <w:tcPr>
            <w:tcW w:w="992" w:type="dxa"/>
            <w:tcBorders>
              <w:top w:val="nil"/>
              <w:left w:val="nil"/>
              <w:bottom w:val="single" w:sz="8" w:space="0" w:color="auto"/>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1 905</w:t>
            </w:r>
          </w:p>
        </w:tc>
        <w:tc>
          <w:tcPr>
            <w:tcW w:w="1134" w:type="dxa"/>
            <w:tcBorders>
              <w:top w:val="nil"/>
              <w:left w:val="nil"/>
              <w:bottom w:val="single" w:sz="8" w:space="0" w:color="auto"/>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233</w:t>
            </w:r>
          </w:p>
        </w:tc>
        <w:tc>
          <w:tcPr>
            <w:tcW w:w="851" w:type="dxa"/>
            <w:tcBorders>
              <w:top w:val="nil"/>
              <w:left w:val="nil"/>
              <w:bottom w:val="single" w:sz="8" w:space="0" w:color="auto"/>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936</w:t>
            </w:r>
          </w:p>
        </w:tc>
        <w:tc>
          <w:tcPr>
            <w:tcW w:w="992" w:type="dxa"/>
            <w:tcBorders>
              <w:top w:val="nil"/>
              <w:left w:val="nil"/>
              <w:bottom w:val="single" w:sz="8" w:space="0" w:color="auto"/>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36 114</w:t>
            </w:r>
          </w:p>
        </w:tc>
        <w:tc>
          <w:tcPr>
            <w:tcW w:w="851" w:type="dxa"/>
            <w:tcBorders>
              <w:top w:val="nil"/>
              <w:left w:val="nil"/>
              <w:bottom w:val="single" w:sz="8" w:space="0" w:color="auto"/>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146 537</w:t>
            </w:r>
          </w:p>
        </w:tc>
      </w:tr>
      <w:tr w:rsidR="003C41BA" w:rsidTr="00C42EEA">
        <w:trPr>
          <w:trHeight w:val="227"/>
        </w:trPr>
        <w:tc>
          <w:tcPr>
            <w:tcW w:w="2850" w:type="dxa"/>
            <w:tcBorders>
              <w:top w:val="nil"/>
              <w:left w:val="nil"/>
              <w:bottom w:val="nil"/>
              <w:right w:val="nil"/>
            </w:tcBorders>
            <w:shd w:val="clear" w:color="auto" w:fill="auto"/>
            <w:vAlign w:val="center"/>
            <w:hideMark/>
          </w:tcPr>
          <w:p w:rsidR="003C41BA" w:rsidRPr="003C41BA" w:rsidRDefault="003C41BA">
            <w:pPr>
              <w:rPr>
                <w:rFonts w:ascii="Arial" w:hAnsi="Arial" w:cs="Arial"/>
                <w:color w:val="000000"/>
                <w:sz w:val="16"/>
                <w:szCs w:val="16"/>
              </w:rPr>
            </w:pPr>
            <w:r w:rsidRPr="003C41BA">
              <w:rPr>
                <w:rFonts w:ascii="Arial" w:hAnsi="Arial" w:cs="Arial"/>
                <w:color w:val="000000"/>
                <w:sz w:val="16"/>
                <w:szCs w:val="16"/>
              </w:rPr>
              <w:t xml:space="preserve">      w tym wartość księgowa netto środków trwałych</w:t>
            </w:r>
            <w:r>
              <w:rPr>
                <w:rFonts w:ascii="Arial" w:hAnsi="Arial" w:cs="Arial"/>
                <w:color w:val="000000"/>
                <w:sz w:val="16"/>
                <w:szCs w:val="16"/>
              </w:rPr>
              <w:t xml:space="preserve"> </w:t>
            </w:r>
            <w:r w:rsidRPr="003C41BA">
              <w:rPr>
                <w:rFonts w:ascii="Arial" w:hAnsi="Arial" w:cs="Arial"/>
                <w:color w:val="000000"/>
                <w:sz w:val="16"/>
                <w:szCs w:val="16"/>
              </w:rPr>
              <w:t>w leasingu</w:t>
            </w:r>
          </w:p>
        </w:tc>
        <w:tc>
          <w:tcPr>
            <w:tcW w:w="709" w:type="dxa"/>
            <w:vMerge w:val="restart"/>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6 764</w:t>
            </w:r>
          </w:p>
        </w:tc>
        <w:tc>
          <w:tcPr>
            <w:tcW w:w="1134" w:type="dxa"/>
            <w:vMerge w:val="restart"/>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420</w:t>
            </w:r>
          </w:p>
        </w:tc>
        <w:tc>
          <w:tcPr>
            <w:tcW w:w="992" w:type="dxa"/>
            <w:vMerge w:val="restart"/>
            <w:tcBorders>
              <w:top w:val="nil"/>
              <w:left w:val="nil"/>
              <w:bottom w:val="nil"/>
              <w:right w:val="nil"/>
            </w:tcBorders>
            <w:shd w:val="clear" w:color="auto" w:fill="auto"/>
            <w:noWrap/>
            <w:vAlign w:val="bottom"/>
            <w:hideMark/>
          </w:tcPr>
          <w:p w:rsidR="003C41BA" w:rsidRPr="003C41BA" w:rsidRDefault="003C41BA">
            <w:pPr>
              <w:rPr>
                <w:rFonts w:ascii="Arial" w:hAnsi="Arial" w:cs="Arial"/>
                <w:color w:val="000000"/>
                <w:sz w:val="16"/>
                <w:szCs w:val="16"/>
              </w:rPr>
            </w:pPr>
            <w:r w:rsidRPr="003C41BA">
              <w:rPr>
                <w:rFonts w:ascii="Arial" w:hAnsi="Arial" w:cs="Arial"/>
                <w:color w:val="000000"/>
                <w:sz w:val="16"/>
                <w:szCs w:val="16"/>
              </w:rPr>
              <w:t> </w:t>
            </w:r>
          </w:p>
        </w:tc>
        <w:tc>
          <w:tcPr>
            <w:tcW w:w="1134" w:type="dxa"/>
            <w:vMerge w:val="restart"/>
            <w:tcBorders>
              <w:top w:val="nil"/>
              <w:left w:val="nil"/>
              <w:bottom w:val="nil"/>
              <w:right w:val="nil"/>
            </w:tcBorders>
            <w:shd w:val="clear" w:color="auto" w:fill="auto"/>
            <w:noWrap/>
            <w:vAlign w:val="bottom"/>
            <w:hideMark/>
          </w:tcPr>
          <w:p w:rsidR="003C41BA" w:rsidRPr="003C41BA" w:rsidRDefault="003C41BA">
            <w:pPr>
              <w:rPr>
                <w:rFonts w:ascii="Arial" w:hAnsi="Arial" w:cs="Arial"/>
                <w:color w:val="000000"/>
                <w:sz w:val="16"/>
                <w:szCs w:val="16"/>
              </w:rPr>
            </w:pPr>
            <w:r w:rsidRPr="003C41BA">
              <w:rPr>
                <w:rFonts w:ascii="Arial" w:hAnsi="Arial" w:cs="Arial"/>
                <w:color w:val="000000"/>
                <w:sz w:val="16"/>
                <w:szCs w:val="16"/>
              </w:rPr>
              <w:t> </w:t>
            </w:r>
          </w:p>
        </w:tc>
        <w:tc>
          <w:tcPr>
            <w:tcW w:w="851" w:type="dxa"/>
            <w:vMerge w:val="restart"/>
            <w:tcBorders>
              <w:top w:val="nil"/>
              <w:left w:val="nil"/>
              <w:bottom w:val="nil"/>
              <w:right w:val="nil"/>
            </w:tcBorders>
            <w:shd w:val="clear" w:color="auto" w:fill="auto"/>
            <w:noWrap/>
            <w:vAlign w:val="bottom"/>
            <w:hideMark/>
          </w:tcPr>
          <w:p w:rsidR="003C41BA" w:rsidRPr="003C41BA" w:rsidRDefault="003C41BA">
            <w:pPr>
              <w:rPr>
                <w:rFonts w:ascii="Arial" w:hAnsi="Arial" w:cs="Arial"/>
                <w:color w:val="000000"/>
                <w:sz w:val="16"/>
                <w:szCs w:val="16"/>
              </w:rPr>
            </w:pPr>
            <w:r w:rsidRPr="003C41BA">
              <w:rPr>
                <w:rFonts w:ascii="Arial" w:hAnsi="Arial" w:cs="Arial"/>
                <w:color w:val="000000"/>
                <w:sz w:val="16"/>
                <w:szCs w:val="16"/>
              </w:rPr>
              <w:t> </w:t>
            </w:r>
          </w:p>
        </w:tc>
        <w:tc>
          <w:tcPr>
            <w:tcW w:w="992" w:type="dxa"/>
            <w:vMerge w:val="restart"/>
            <w:tcBorders>
              <w:top w:val="nil"/>
              <w:left w:val="nil"/>
              <w:bottom w:val="nil"/>
              <w:right w:val="nil"/>
            </w:tcBorders>
            <w:shd w:val="clear" w:color="auto" w:fill="auto"/>
            <w:noWrap/>
            <w:vAlign w:val="bottom"/>
            <w:hideMark/>
          </w:tcPr>
          <w:p w:rsidR="003C41BA" w:rsidRPr="003C41BA" w:rsidRDefault="003C41BA">
            <w:pPr>
              <w:rPr>
                <w:rFonts w:ascii="Arial" w:hAnsi="Arial" w:cs="Arial"/>
                <w:color w:val="000000"/>
                <w:sz w:val="16"/>
                <w:szCs w:val="16"/>
              </w:rPr>
            </w:pPr>
            <w:r w:rsidRPr="003C41BA">
              <w:rPr>
                <w:rFonts w:ascii="Arial" w:hAnsi="Arial" w:cs="Arial"/>
                <w:color w:val="000000"/>
                <w:sz w:val="16"/>
                <w:szCs w:val="16"/>
              </w:rPr>
              <w:t> </w:t>
            </w:r>
          </w:p>
        </w:tc>
        <w:tc>
          <w:tcPr>
            <w:tcW w:w="851" w:type="dxa"/>
            <w:vMerge w:val="restart"/>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7 184</w:t>
            </w:r>
          </w:p>
        </w:tc>
      </w:tr>
      <w:tr w:rsidR="003C41BA" w:rsidTr="00C42EEA">
        <w:trPr>
          <w:trHeight w:val="227"/>
        </w:trPr>
        <w:tc>
          <w:tcPr>
            <w:tcW w:w="2850" w:type="dxa"/>
            <w:tcBorders>
              <w:top w:val="nil"/>
              <w:left w:val="nil"/>
              <w:bottom w:val="nil"/>
              <w:right w:val="nil"/>
            </w:tcBorders>
            <w:shd w:val="clear" w:color="auto" w:fill="auto"/>
            <w:vAlign w:val="center"/>
            <w:hideMark/>
          </w:tcPr>
          <w:p w:rsidR="003C41BA" w:rsidRPr="003C41BA" w:rsidRDefault="003C41BA">
            <w:pPr>
              <w:rPr>
                <w:rFonts w:ascii="Arial" w:hAnsi="Arial" w:cs="Arial"/>
                <w:color w:val="000000"/>
                <w:sz w:val="2"/>
                <w:szCs w:val="16"/>
              </w:rPr>
            </w:pPr>
          </w:p>
        </w:tc>
        <w:tc>
          <w:tcPr>
            <w:tcW w:w="709" w:type="dxa"/>
            <w:vMerge/>
            <w:tcBorders>
              <w:top w:val="nil"/>
              <w:left w:val="nil"/>
              <w:bottom w:val="nil"/>
              <w:right w:val="nil"/>
            </w:tcBorders>
            <w:vAlign w:val="center"/>
            <w:hideMark/>
          </w:tcPr>
          <w:p w:rsidR="003C41BA" w:rsidRPr="003C41BA" w:rsidRDefault="003C41BA">
            <w:pPr>
              <w:rPr>
                <w:rFonts w:ascii="Arial" w:hAnsi="Arial" w:cs="Arial"/>
                <w:color w:val="000000"/>
                <w:sz w:val="16"/>
                <w:szCs w:val="16"/>
              </w:rPr>
            </w:pPr>
          </w:p>
        </w:tc>
        <w:tc>
          <w:tcPr>
            <w:tcW w:w="1134" w:type="dxa"/>
            <w:vMerge/>
            <w:tcBorders>
              <w:top w:val="nil"/>
              <w:left w:val="nil"/>
              <w:bottom w:val="nil"/>
              <w:right w:val="nil"/>
            </w:tcBorders>
            <w:vAlign w:val="center"/>
            <w:hideMark/>
          </w:tcPr>
          <w:p w:rsidR="003C41BA" w:rsidRPr="003C41BA" w:rsidRDefault="003C41BA">
            <w:pPr>
              <w:rPr>
                <w:rFonts w:ascii="Arial" w:hAnsi="Arial" w:cs="Arial"/>
                <w:color w:val="000000"/>
                <w:sz w:val="16"/>
                <w:szCs w:val="16"/>
              </w:rPr>
            </w:pPr>
          </w:p>
        </w:tc>
        <w:tc>
          <w:tcPr>
            <w:tcW w:w="992" w:type="dxa"/>
            <w:vMerge/>
            <w:tcBorders>
              <w:top w:val="nil"/>
              <w:left w:val="nil"/>
              <w:bottom w:val="nil"/>
              <w:right w:val="nil"/>
            </w:tcBorders>
            <w:vAlign w:val="center"/>
            <w:hideMark/>
          </w:tcPr>
          <w:p w:rsidR="003C41BA" w:rsidRPr="003C41BA" w:rsidRDefault="003C41BA">
            <w:pPr>
              <w:rPr>
                <w:rFonts w:ascii="Arial" w:hAnsi="Arial" w:cs="Arial"/>
                <w:color w:val="000000"/>
                <w:sz w:val="16"/>
                <w:szCs w:val="16"/>
              </w:rPr>
            </w:pPr>
          </w:p>
        </w:tc>
        <w:tc>
          <w:tcPr>
            <w:tcW w:w="1134" w:type="dxa"/>
            <w:vMerge/>
            <w:tcBorders>
              <w:top w:val="nil"/>
              <w:left w:val="nil"/>
              <w:bottom w:val="nil"/>
              <w:right w:val="nil"/>
            </w:tcBorders>
            <w:vAlign w:val="center"/>
            <w:hideMark/>
          </w:tcPr>
          <w:p w:rsidR="003C41BA" w:rsidRPr="003C41BA" w:rsidRDefault="003C41BA">
            <w:pPr>
              <w:rPr>
                <w:rFonts w:ascii="Arial" w:hAnsi="Arial" w:cs="Arial"/>
                <w:color w:val="000000"/>
                <w:sz w:val="16"/>
                <w:szCs w:val="16"/>
              </w:rPr>
            </w:pPr>
          </w:p>
        </w:tc>
        <w:tc>
          <w:tcPr>
            <w:tcW w:w="851" w:type="dxa"/>
            <w:vMerge/>
            <w:tcBorders>
              <w:top w:val="nil"/>
              <w:left w:val="nil"/>
              <w:bottom w:val="nil"/>
              <w:right w:val="nil"/>
            </w:tcBorders>
            <w:vAlign w:val="center"/>
            <w:hideMark/>
          </w:tcPr>
          <w:p w:rsidR="003C41BA" w:rsidRPr="003C41BA" w:rsidRDefault="003C41BA">
            <w:pPr>
              <w:rPr>
                <w:rFonts w:ascii="Arial" w:hAnsi="Arial" w:cs="Arial"/>
                <w:color w:val="000000"/>
                <w:sz w:val="16"/>
                <w:szCs w:val="16"/>
              </w:rPr>
            </w:pPr>
          </w:p>
        </w:tc>
        <w:tc>
          <w:tcPr>
            <w:tcW w:w="992" w:type="dxa"/>
            <w:vMerge/>
            <w:tcBorders>
              <w:top w:val="nil"/>
              <w:left w:val="nil"/>
              <w:bottom w:val="nil"/>
              <w:right w:val="nil"/>
            </w:tcBorders>
            <w:vAlign w:val="center"/>
            <w:hideMark/>
          </w:tcPr>
          <w:p w:rsidR="003C41BA" w:rsidRPr="003C41BA" w:rsidRDefault="003C41BA">
            <w:pPr>
              <w:rPr>
                <w:rFonts w:ascii="Arial" w:hAnsi="Arial" w:cs="Arial"/>
                <w:color w:val="000000"/>
                <w:sz w:val="16"/>
                <w:szCs w:val="16"/>
              </w:rPr>
            </w:pPr>
          </w:p>
        </w:tc>
        <w:tc>
          <w:tcPr>
            <w:tcW w:w="851" w:type="dxa"/>
            <w:vMerge/>
            <w:tcBorders>
              <w:top w:val="nil"/>
              <w:left w:val="nil"/>
              <w:bottom w:val="nil"/>
              <w:right w:val="nil"/>
            </w:tcBorders>
            <w:vAlign w:val="center"/>
            <w:hideMark/>
          </w:tcPr>
          <w:p w:rsidR="003C41BA" w:rsidRPr="003C41BA" w:rsidRDefault="003C41BA">
            <w:pPr>
              <w:rPr>
                <w:rFonts w:ascii="Arial" w:hAnsi="Arial" w:cs="Arial"/>
                <w:color w:val="000000"/>
                <w:sz w:val="16"/>
                <w:szCs w:val="16"/>
              </w:rPr>
            </w:pPr>
          </w:p>
        </w:tc>
      </w:tr>
      <w:tr w:rsidR="003C41BA" w:rsidTr="00C42EEA">
        <w:trPr>
          <w:trHeight w:val="227"/>
        </w:trPr>
        <w:tc>
          <w:tcPr>
            <w:tcW w:w="2850" w:type="dxa"/>
            <w:tcBorders>
              <w:top w:val="nil"/>
              <w:left w:val="nil"/>
              <w:bottom w:val="nil"/>
              <w:right w:val="nil"/>
            </w:tcBorders>
            <w:shd w:val="clear" w:color="auto" w:fill="auto"/>
            <w:vAlign w:val="center"/>
            <w:hideMark/>
          </w:tcPr>
          <w:p w:rsidR="003C41BA" w:rsidRPr="003C41BA" w:rsidRDefault="003C41BA" w:rsidP="001120DD">
            <w:pPr>
              <w:rPr>
                <w:rFonts w:ascii="Arial" w:hAnsi="Arial" w:cs="Arial"/>
                <w:b/>
                <w:bCs/>
                <w:color w:val="000000"/>
                <w:sz w:val="16"/>
                <w:szCs w:val="16"/>
              </w:rPr>
            </w:pPr>
            <w:r w:rsidRPr="003C41BA">
              <w:rPr>
                <w:rFonts w:ascii="Arial" w:hAnsi="Arial" w:cs="Arial"/>
                <w:b/>
                <w:bCs/>
                <w:color w:val="000000"/>
                <w:sz w:val="16"/>
                <w:szCs w:val="16"/>
              </w:rPr>
              <w:t xml:space="preserve">Zmiany w III </w:t>
            </w:r>
            <w:r w:rsidR="006D578F" w:rsidRPr="003C41BA">
              <w:rPr>
                <w:rFonts w:ascii="Arial" w:hAnsi="Arial" w:cs="Arial"/>
                <w:b/>
                <w:bCs/>
                <w:color w:val="000000"/>
                <w:sz w:val="16"/>
                <w:szCs w:val="16"/>
              </w:rPr>
              <w:t>kwarta</w:t>
            </w:r>
            <w:r w:rsidR="006D578F">
              <w:rPr>
                <w:rFonts w:ascii="Arial" w:hAnsi="Arial" w:cs="Arial"/>
                <w:b/>
                <w:bCs/>
                <w:color w:val="000000"/>
                <w:sz w:val="16"/>
                <w:szCs w:val="16"/>
              </w:rPr>
              <w:t>łach</w:t>
            </w:r>
            <w:r w:rsidRPr="003C41BA">
              <w:rPr>
                <w:rFonts w:ascii="Arial" w:hAnsi="Arial" w:cs="Arial"/>
                <w:b/>
                <w:bCs/>
                <w:color w:val="000000"/>
                <w:sz w:val="16"/>
                <w:szCs w:val="16"/>
              </w:rPr>
              <w:t xml:space="preserve"> 2021 r.</w:t>
            </w:r>
          </w:p>
        </w:tc>
        <w:tc>
          <w:tcPr>
            <w:tcW w:w="709" w:type="dxa"/>
            <w:tcBorders>
              <w:top w:val="nil"/>
              <w:left w:val="nil"/>
              <w:bottom w:val="nil"/>
              <w:right w:val="nil"/>
            </w:tcBorders>
            <w:shd w:val="clear" w:color="auto" w:fill="auto"/>
            <w:noWrap/>
            <w:vAlign w:val="bottom"/>
            <w:hideMark/>
          </w:tcPr>
          <w:p w:rsidR="003C41BA" w:rsidRPr="003C41BA" w:rsidRDefault="003C41BA">
            <w:pPr>
              <w:rPr>
                <w:rFonts w:ascii="Arial" w:hAnsi="Arial" w:cs="Arial"/>
                <w:color w:val="000000"/>
                <w:sz w:val="16"/>
                <w:szCs w:val="16"/>
              </w:rPr>
            </w:pPr>
          </w:p>
        </w:tc>
        <w:tc>
          <w:tcPr>
            <w:tcW w:w="1134" w:type="dxa"/>
            <w:tcBorders>
              <w:top w:val="nil"/>
              <w:left w:val="nil"/>
              <w:bottom w:val="nil"/>
              <w:right w:val="nil"/>
            </w:tcBorders>
            <w:shd w:val="clear" w:color="auto" w:fill="auto"/>
            <w:noWrap/>
            <w:vAlign w:val="bottom"/>
            <w:hideMark/>
          </w:tcPr>
          <w:p w:rsidR="003C41BA" w:rsidRPr="003C41BA" w:rsidRDefault="003C41BA">
            <w:pPr>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rsidR="003C41BA" w:rsidRPr="003C41BA" w:rsidRDefault="003C41BA">
            <w:pPr>
              <w:rPr>
                <w:rFonts w:ascii="Arial" w:hAnsi="Arial" w:cs="Arial"/>
                <w:color w:val="000000"/>
                <w:sz w:val="16"/>
                <w:szCs w:val="16"/>
              </w:rPr>
            </w:pPr>
          </w:p>
        </w:tc>
        <w:tc>
          <w:tcPr>
            <w:tcW w:w="1134" w:type="dxa"/>
            <w:tcBorders>
              <w:top w:val="nil"/>
              <w:left w:val="nil"/>
              <w:bottom w:val="nil"/>
              <w:right w:val="nil"/>
            </w:tcBorders>
            <w:shd w:val="clear" w:color="auto" w:fill="auto"/>
            <w:noWrap/>
            <w:vAlign w:val="bottom"/>
            <w:hideMark/>
          </w:tcPr>
          <w:p w:rsidR="003C41BA" w:rsidRPr="003C41BA" w:rsidRDefault="003C41BA">
            <w:pPr>
              <w:rPr>
                <w:rFonts w:ascii="Arial" w:hAnsi="Arial" w:cs="Arial"/>
                <w:color w:val="000000"/>
                <w:sz w:val="16"/>
                <w:szCs w:val="16"/>
              </w:rPr>
            </w:pPr>
          </w:p>
        </w:tc>
        <w:tc>
          <w:tcPr>
            <w:tcW w:w="851" w:type="dxa"/>
            <w:tcBorders>
              <w:top w:val="nil"/>
              <w:left w:val="nil"/>
              <w:bottom w:val="nil"/>
              <w:right w:val="nil"/>
            </w:tcBorders>
            <w:shd w:val="clear" w:color="auto" w:fill="auto"/>
            <w:noWrap/>
            <w:vAlign w:val="bottom"/>
            <w:hideMark/>
          </w:tcPr>
          <w:p w:rsidR="003C41BA" w:rsidRPr="003C41BA" w:rsidRDefault="003C41BA">
            <w:pPr>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rsidR="003C41BA" w:rsidRPr="003C41BA" w:rsidRDefault="003C41BA">
            <w:pPr>
              <w:rPr>
                <w:rFonts w:ascii="Arial" w:hAnsi="Arial" w:cs="Arial"/>
                <w:color w:val="000000"/>
                <w:sz w:val="16"/>
                <w:szCs w:val="16"/>
              </w:rPr>
            </w:pPr>
          </w:p>
        </w:tc>
        <w:tc>
          <w:tcPr>
            <w:tcW w:w="851" w:type="dxa"/>
            <w:tcBorders>
              <w:top w:val="nil"/>
              <w:left w:val="nil"/>
              <w:bottom w:val="nil"/>
              <w:right w:val="nil"/>
            </w:tcBorders>
            <w:shd w:val="clear" w:color="auto" w:fill="auto"/>
            <w:noWrap/>
            <w:vAlign w:val="bottom"/>
            <w:hideMark/>
          </w:tcPr>
          <w:p w:rsidR="003C41BA" w:rsidRPr="003C41BA" w:rsidRDefault="003C41BA">
            <w:pPr>
              <w:rPr>
                <w:rFonts w:ascii="Arial" w:hAnsi="Arial" w:cs="Arial"/>
                <w:color w:val="000000"/>
                <w:sz w:val="16"/>
                <w:szCs w:val="16"/>
              </w:rPr>
            </w:pPr>
          </w:p>
        </w:tc>
      </w:tr>
      <w:tr w:rsidR="003C41BA" w:rsidTr="00C42EEA">
        <w:trPr>
          <w:trHeight w:val="227"/>
        </w:trPr>
        <w:tc>
          <w:tcPr>
            <w:tcW w:w="2850" w:type="dxa"/>
            <w:tcBorders>
              <w:top w:val="nil"/>
              <w:left w:val="nil"/>
              <w:bottom w:val="nil"/>
              <w:right w:val="nil"/>
            </w:tcBorders>
            <w:shd w:val="clear" w:color="auto" w:fill="auto"/>
            <w:vAlign w:val="center"/>
            <w:hideMark/>
          </w:tcPr>
          <w:p w:rsidR="003C41BA" w:rsidRPr="003C41BA" w:rsidRDefault="003C41BA">
            <w:pPr>
              <w:rPr>
                <w:rFonts w:ascii="Arial" w:hAnsi="Arial" w:cs="Arial"/>
                <w:color w:val="000000"/>
                <w:sz w:val="16"/>
                <w:szCs w:val="16"/>
              </w:rPr>
            </w:pPr>
            <w:r w:rsidRPr="003C41BA">
              <w:rPr>
                <w:rFonts w:ascii="Arial" w:hAnsi="Arial" w:cs="Arial"/>
                <w:color w:val="000000"/>
                <w:sz w:val="16"/>
                <w:szCs w:val="16"/>
              </w:rPr>
              <w:t>Rozliczenie środków trwałych</w:t>
            </w:r>
          </w:p>
        </w:tc>
        <w:tc>
          <w:tcPr>
            <w:tcW w:w="709"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38222</w:t>
            </w:r>
          </w:p>
        </w:tc>
        <w:tc>
          <w:tcPr>
            <w:tcW w:w="992"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5018</w:t>
            </w:r>
          </w:p>
        </w:tc>
        <w:tc>
          <w:tcPr>
            <w:tcW w:w="1134"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19</w:t>
            </w:r>
          </w:p>
        </w:tc>
        <w:tc>
          <w:tcPr>
            <w:tcW w:w="851"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980</w:t>
            </w:r>
          </w:p>
        </w:tc>
        <w:tc>
          <w:tcPr>
            <w:tcW w:w="992"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-44</w:t>
            </w:r>
            <w:r>
              <w:rPr>
                <w:rFonts w:ascii="Arial" w:hAnsi="Arial" w:cs="Arial"/>
                <w:color w:val="000000"/>
                <w:sz w:val="16"/>
                <w:szCs w:val="16"/>
              </w:rPr>
              <w:t xml:space="preserve"> </w:t>
            </w:r>
            <w:r w:rsidRPr="003C41BA">
              <w:rPr>
                <w:rFonts w:ascii="Arial" w:hAnsi="Arial" w:cs="Arial"/>
                <w:color w:val="000000"/>
                <w:sz w:val="16"/>
                <w:szCs w:val="16"/>
              </w:rPr>
              <w:t>239</w:t>
            </w:r>
          </w:p>
        </w:tc>
        <w:tc>
          <w:tcPr>
            <w:tcW w:w="851"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Pr>
                <w:rFonts w:ascii="Arial" w:hAnsi="Arial" w:cs="Arial"/>
                <w:color w:val="000000"/>
                <w:sz w:val="16"/>
                <w:szCs w:val="16"/>
              </w:rPr>
              <w:t>-</w:t>
            </w:r>
          </w:p>
        </w:tc>
      </w:tr>
      <w:tr w:rsidR="003C41BA" w:rsidTr="00C42EEA">
        <w:trPr>
          <w:trHeight w:val="227"/>
        </w:trPr>
        <w:tc>
          <w:tcPr>
            <w:tcW w:w="2850" w:type="dxa"/>
            <w:tcBorders>
              <w:top w:val="nil"/>
              <w:left w:val="nil"/>
              <w:bottom w:val="nil"/>
              <w:right w:val="nil"/>
            </w:tcBorders>
            <w:shd w:val="clear" w:color="auto" w:fill="auto"/>
            <w:vAlign w:val="center"/>
            <w:hideMark/>
          </w:tcPr>
          <w:p w:rsidR="003C41BA" w:rsidRPr="003C41BA" w:rsidRDefault="003C41BA">
            <w:pPr>
              <w:rPr>
                <w:rFonts w:ascii="Arial" w:hAnsi="Arial" w:cs="Arial"/>
                <w:color w:val="000000"/>
                <w:sz w:val="16"/>
                <w:szCs w:val="16"/>
              </w:rPr>
            </w:pPr>
            <w:r w:rsidRPr="003C41BA">
              <w:rPr>
                <w:rFonts w:ascii="Arial" w:hAnsi="Arial" w:cs="Arial"/>
                <w:color w:val="000000"/>
                <w:sz w:val="16"/>
                <w:szCs w:val="16"/>
              </w:rPr>
              <w:t xml:space="preserve"> w budowie</w:t>
            </w:r>
          </w:p>
        </w:tc>
        <w:tc>
          <w:tcPr>
            <w:tcW w:w="709" w:type="dxa"/>
            <w:tcBorders>
              <w:top w:val="nil"/>
              <w:left w:val="nil"/>
              <w:bottom w:val="nil"/>
              <w:right w:val="nil"/>
            </w:tcBorders>
            <w:shd w:val="clear" w:color="auto" w:fill="auto"/>
            <w:noWrap/>
            <w:vAlign w:val="bottom"/>
            <w:hideMark/>
          </w:tcPr>
          <w:p w:rsidR="003C41BA" w:rsidRPr="003C41BA" w:rsidRDefault="003C41BA">
            <w:pPr>
              <w:rPr>
                <w:rFonts w:ascii="Arial" w:hAnsi="Arial" w:cs="Arial"/>
                <w:color w:val="000000"/>
                <w:sz w:val="16"/>
                <w:szCs w:val="16"/>
              </w:rPr>
            </w:pPr>
          </w:p>
        </w:tc>
        <w:tc>
          <w:tcPr>
            <w:tcW w:w="1134" w:type="dxa"/>
            <w:tcBorders>
              <w:top w:val="nil"/>
              <w:left w:val="nil"/>
              <w:bottom w:val="nil"/>
              <w:right w:val="nil"/>
            </w:tcBorders>
            <w:shd w:val="clear" w:color="auto" w:fill="auto"/>
            <w:noWrap/>
            <w:vAlign w:val="bottom"/>
            <w:hideMark/>
          </w:tcPr>
          <w:p w:rsidR="003C41BA" w:rsidRPr="003C41BA" w:rsidRDefault="003C41BA">
            <w:pPr>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rsidR="003C41BA" w:rsidRPr="003C41BA" w:rsidRDefault="003C41BA">
            <w:pPr>
              <w:rPr>
                <w:rFonts w:ascii="Arial" w:hAnsi="Arial" w:cs="Arial"/>
                <w:color w:val="000000"/>
                <w:sz w:val="16"/>
                <w:szCs w:val="16"/>
              </w:rPr>
            </w:pPr>
          </w:p>
        </w:tc>
        <w:tc>
          <w:tcPr>
            <w:tcW w:w="1134" w:type="dxa"/>
            <w:tcBorders>
              <w:top w:val="nil"/>
              <w:left w:val="nil"/>
              <w:bottom w:val="nil"/>
              <w:right w:val="nil"/>
            </w:tcBorders>
            <w:shd w:val="clear" w:color="auto" w:fill="auto"/>
            <w:noWrap/>
            <w:vAlign w:val="bottom"/>
            <w:hideMark/>
          </w:tcPr>
          <w:p w:rsidR="003C41BA" w:rsidRPr="003C41BA" w:rsidRDefault="003C41BA">
            <w:pPr>
              <w:rPr>
                <w:rFonts w:ascii="Arial" w:hAnsi="Arial" w:cs="Arial"/>
                <w:color w:val="000000"/>
                <w:sz w:val="16"/>
                <w:szCs w:val="16"/>
              </w:rPr>
            </w:pPr>
          </w:p>
        </w:tc>
        <w:tc>
          <w:tcPr>
            <w:tcW w:w="851" w:type="dxa"/>
            <w:tcBorders>
              <w:top w:val="nil"/>
              <w:left w:val="nil"/>
              <w:bottom w:val="nil"/>
              <w:right w:val="nil"/>
            </w:tcBorders>
            <w:shd w:val="clear" w:color="auto" w:fill="auto"/>
            <w:noWrap/>
            <w:vAlign w:val="bottom"/>
            <w:hideMark/>
          </w:tcPr>
          <w:p w:rsidR="003C41BA" w:rsidRPr="003C41BA" w:rsidRDefault="003C41BA">
            <w:pPr>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rsidR="003C41BA" w:rsidRPr="003C41BA" w:rsidRDefault="003C41BA">
            <w:pPr>
              <w:rPr>
                <w:rFonts w:ascii="Arial" w:hAnsi="Arial" w:cs="Arial"/>
                <w:color w:val="000000"/>
                <w:sz w:val="16"/>
                <w:szCs w:val="16"/>
              </w:rPr>
            </w:pPr>
          </w:p>
        </w:tc>
        <w:tc>
          <w:tcPr>
            <w:tcW w:w="851" w:type="dxa"/>
            <w:tcBorders>
              <w:top w:val="nil"/>
              <w:left w:val="nil"/>
              <w:bottom w:val="nil"/>
              <w:right w:val="nil"/>
            </w:tcBorders>
            <w:shd w:val="clear" w:color="auto" w:fill="auto"/>
            <w:noWrap/>
            <w:vAlign w:val="bottom"/>
            <w:hideMark/>
          </w:tcPr>
          <w:p w:rsidR="003C41BA" w:rsidRPr="003C41BA" w:rsidRDefault="003C41BA">
            <w:pPr>
              <w:rPr>
                <w:rFonts w:ascii="Arial" w:hAnsi="Arial" w:cs="Arial"/>
                <w:color w:val="000000"/>
                <w:sz w:val="16"/>
                <w:szCs w:val="16"/>
              </w:rPr>
            </w:pPr>
          </w:p>
        </w:tc>
      </w:tr>
      <w:tr w:rsidR="003C41BA" w:rsidTr="00C42EEA">
        <w:trPr>
          <w:trHeight w:val="227"/>
        </w:trPr>
        <w:tc>
          <w:tcPr>
            <w:tcW w:w="2850" w:type="dxa"/>
            <w:tcBorders>
              <w:top w:val="nil"/>
              <w:left w:val="nil"/>
              <w:bottom w:val="nil"/>
              <w:right w:val="nil"/>
            </w:tcBorders>
            <w:shd w:val="clear" w:color="auto" w:fill="auto"/>
            <w:vAlign w:val="center"/>
            <w:hideMark/>
          </w:tcPr>
          <w:p w:rsidR="003C41BA" w:rsidRPr="003C41BA" w:rsidRDefault="003C41BA">
            <w:pPr>
              <w:rPr>
                <w:rFonts w:ascii="Arial" w:hAnsi="Arial" w:cs="Arial"/>
                <w:color w:val="000000"/>
                <w:sz w:val="16"/>
                <w:szCs w:val="16"/>
              </w:rPr>
            </w:pPr>
            <w:r w:rsidRPr="003C41BA">
              <w:rPr>
                <w:rFonts w:ascii="Arial" w:hAnsi="Arial" w:cs="Arial"/>
                <w:color w:val="000000"/>
                <w:sz w:val="16"/>
                <w:szCs w:val="16"/>
              </w:rPr>
              <w:t>Zakup bezpośredni</w:t>
            </w:r>
          </w:p>
        </w:tc>
        <w:tc>
          <w:tcPr>
            <w:tcW w:w="709"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Pr>
                <w:rFonts w:ascii="Arial" w:hAnsi="Arial" w:cs="Arial"/>
                <w:color w:val="000000"/>
                <w:sz w:val="16"/>
                <w:szCs w:val="16"/>
              </w:rPr>
              <w:t>-</w:t>
            </w:r>
          </w:p>
        </w:tc>
        <w:tc>
          <w:tcPr>
            <w:tcW w:w="992"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79</w:t>
            </w:r>
          </w:p>
        </w:tc>
        <w:tc>
          <w:tcPr>
            <w:tcW w:w="1134"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Pr>
                <w:rFonts w:ascii="Arial" w:hAnsi="Arial" w:cs="Arial"/>
                <w:color w:val="000000"/>
                <w:sz w:val="16"/>
                <w:szCs w:val="16"/>
              </w:rPr>
              <w:t>-</w:t>
            </w:r>
          </w:p>
        </w:tc>
        <w:tc>
          <w:tcPr>
            <w:tcW w:w="851"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118</w:t>
            </w:r>
          </w:p>
        </w:tc>
        <w:tc>
          <w:tcPr>
            <w:tcW w:w="992"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9</w:t>
            </w:r>
            <w:r>
              <w:rPr>
                <w:rFonts w:ascii="Arial" w:hAnsi="Arial" w:cs="Arial"/>
                <w:color w:val="000000"/>
                <w:sz w:val="16"/>
                <w:szCs w:val="16"/>
              </w:rPr>
              <w:t xml:space="preserve"> </w:t>
            </w:r>
            <w:r w:rsidRPr="003C41BA">
              <w:rPr>
                <w:rFonts w:ascii="Arial" w:hAnsi="Arial" w:cs="Arial"/>
                <w:color w:val="000000"/>
                <w:sz w:val="16"/>
                <w:szCs w:val="16"/>
              </w:rPr>
              <w:t>551</w:t>
            </w:r>
          </w:p>
        </w:tc>
        <w:tc>
          <w:tcPr>
            <w:tcW w:w="851"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9 748</w:t>
            </w:r>
          </w:p>
        </w:tc>
      </w:tr>
      <w:tr w:rsidR="003C41BA" w:rsidTr="00C42EEA">
        <w:trPr>
          <w:trHeight w:val="227"/>
        </w:trPr>
        <w:tc>
          <w:tcPr>
            <w:tcW w:w="2850" w:type="dxa"/>
            <w:tcBorders>
              <w:top w:val="nil"/>
              <w:left w:val="nil"/>
              <w:bottom w:val="nil"/>
              <w:right w:val="nil"/>
            </w:tcBorders>
            <w:shd w:val="clear" w:color="auto" w:fill="auto"/>
            <w:vAlign w:val="center"/>
            <w:hideMark/>
          </w:tcPr>
          <w:p w:rsidR="003C41BA" w:rsidRPr="003C41BA" w:rsidRDefault="003C41BA">
            <w:pPr>
              <w:rPr>
                <w:rFonts w:ascii="Arial" w:hAnsi="Arial" w:cs="Arial"/>
                <w:color w:val="000000"/>
                <w:sz w:val="16"/>
                <w:szCs w:val="16"/>
              </w:rPr>
            </w:pPr>
            <w:r w:rsidRPr="003C41BA">
              <w:rPr>
                <w:rFonts w:ascii="Arial" w:hAnsi="Arial" w:cs="Arial"/>
                <w:color w:val="000000"/>
                <w:sz w:val="16"/>
                <w:szCs w:val="16"/>
              </w:rPr>
              <w:t>Zbycie</w:t>
            </w:r>
          </w:p>
        </w:tc>
        <w:tc>
          <w:tcPr>
            <w:tcW w:w="709"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Pr>
                <w:rFonts w:ascii="Arial" w:hAnsi="Arial" w:cs="Arial"/>
                <w:color w:val="000000"/>
                <w:sz w:val="16"/>
                <w:szCs w:val="16"/>
              </w:rPr>
              <w:t>-</w:t>
            </w:r>
          </w:p>
        </w:tc>
        <w:tc>
          <w:tcPr>
            <w:tcW w:w="992"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Pr>
                <w:rFonts w:ascii="Arial" w:hAnsi="Arial" w:cs="Arial"/>
                <w:color w:val="000000"/>
                <w:sz w:val="16"/>
                <w:szCs w:val="16"/>
              </w:rPr>
              <w:t>-</w:t>
            </w:r>
          </w:p>
        </w:tc>
        <w:tc>
          <w:tcPr>
            <w:tcW w:w="851"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Pr>
                <w:rFonts w:ascii="Arial" w:hAnsi="Arial" w:cs="Arial"/>
                <w:color w:val="000000"/>
                <w:sz w:val="16"/>
                <w:szCs w:val="16"/>
              </w:rPr>
              <w:t>-</w:t>
            </w:r>
          </w:p>
        </w:tc>
        <w:tc>
          <w:tcPr>
            <w:tcW w:w="992"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Pr>
                <w:rFonts w:ascii="Arial" w:hAnsi="Arial" w:cs="Arial"/>
                <w:color w:val="000000"/>
                <w:sz w:val="16"/>
                <w:szCs w:val="16"/>
              </w:rPr>
              <w:t>-</w:t>
            </w:r>
          </w:p>
        </w:tc>
        <w:tc>
          <w:tcPr>
            <w:tcW w:w="851"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p>
        </w:tc>
      </w:tr>
      <w:tr w:rsidR="003C41BA" w:rsidTr="00C42EEA">
        <w:trPr>
          <w:trHeight w:val="227"/>
        </w:trPr>
        <w:tc>
          <w:tcPr>
            <w:tcW w:w="2850" w:type="dxa"/>
            <w:tcBorders>
              <w:top w:val="nil"/>
              <w:left w:val="nil"/>
              <w:bottom w:val="nil"/>
              <w:right w:val="nil"/>
            </w:tcBorders>
            <w:shd w:val="clear" w:color="auto" w:fill="auto"/>
            <w:vAlign w:val="center"/>
            <w:hideMark/>
          </w:tcPr>
          <w:p w:rsidR="003C41BA" w:rsidRPr="003C41BA" w:rsidRDefault="003C41BA">
            <w:pPr>
              <w:rPr>
                <w:rFonts w:ascii="Arial" w:hAnsi="Arial" w:cs="Arial"/>
                <w:color w:val="000000"/>
                <w:sz w:val="16"/>
                <w:szCs w:val="16"/>
              </w:rPr>
            </w:pPr>
            <w:r w:rsidRPr="003C41BA">
              <w:rPr>
                <w:rFonts w:ascii="Arial" w:hAnsi="Arial" w:cs="Arial"/>
                <w:color w:val="000000"/>
                <w:sz w:val="16"/>
                <w:szCs w:val="16"/>
              </w:rPr>
              <w:t>Przeklasyfikowanie do aktywów trwałych przeznaczonych do sprzedaży</w:t>
            </w:r>
          </w:p>
        </w:tc>
        <w:tc>
          <w:tcPr>
            <w:tcW w:w="709"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-240</w:t>
            </w:r>
          </w:p>
        </w:tc>
        <w:tc>
          <w:tcPr>
            <w:tcW w:w="1134"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-2834</w:t>
            </w:r>
          </w:p>
        </w:tc>
        <w:tc>
          <w:tcPr>
            <w:tcW w:w="992"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Pr>
                <w:rFonts w:ascii="Arial" w:hAnsi="Arial" w:cs="Arial"/>
                <w:color w:val="000000"/>
                <w:sz w:val="16"/>
                <w:szCs w:val="16"/>
              </w:rPr>
              <w:t>-</w:t>
            </w:r>
          </w:p>
        </w:tc>
        <w:tc>
          <w:tcPr>
            <w:tcW w:w="851"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Pr>
                <w:rFonts w:ascii="Arial" w:hAnsi="Arial" w:cs="Arial"/>
                <w:color w:val="000000"/>
                <w:sz w:val="16"/>
                <w:szCs w:val="16"/>
              </w:rPr>
              <w:t>-</w:t>
            </w:r>
          </w:p>
        </w:tc>
        <w:tc>
          <w:tcPr>
            <w:tcW w:w="992"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Pr>
                <w:rFonts w:ascii="Arial" w:hAnsi="Arial" w:cs="Arial"/>
                <w:color w:val="000000"/>
                <w:sz w:val="16"/>
                <w:szCs w:val="16"/>
              </w:rPr>
              <w:t>-</w:t>
            </w:r>
          </w:p>
        </w:tc>
        <w:tc>
          <w:tcPr>
            <w:tcW w:w="851"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-3</w:t>
            </w:r>
            <w:r>
              <w:rPr>
                <w:rFonts w:ascii="Arial" w:hAnsi="Arial" w:cs="Arial"/>
                <w:color w:val="000000"/>
                <w:sz w:val="16"/>
                <w:szCs w:val="16"/>
              </w:rPr>
              <w:t xml:space="preserve"> </w:t>
            </w:r>
            <w:r w:rsidRPr="003C41BA">
              <w:rPr>
                <w:rFonts w:ascii="Arial" w:hAnsi="Arial" w:cs="Arial"/>
                <w:color w:val="000000"/>
                <w:sz w:val="16"/>
                <w:szCs w:val="16"/>
              </w:rPr>
              <w:t>074</w:t>
            </w:r>
          </w:p>
        </w:tc>
      </w:tr>
      <w:tr w:rsidR="003C41BA" w:rsidTr="00C42EEA">
        <w:trPr>
          <w:trHeight w:val="227"/>
        </w:trPr>
        <w:tc>
          <w:tcPr>
            <w:tcW w:w="2850" w:type="dxa"/>
            <w:tcBorders>
              <w:top w:val="nil"/>
              <w:left w:val="nil"/>
              <w:bottom w:val="nil"/>
              <w:right w:val="nil"/>
            </w:tcBorders>
            <w:shd w:val="clear" w:color="auto" w:fill="auto"/>
            <w:vAlign w:val="center"/>
            <w:hideMark/>
          </w:tcPr>
          <w:p w:rsidR="003C41BA" w:rsidRPr="003C41BA" w:rsidRDefault="003C41BA">
            <w:pPr>
              <w:rPr>
                <w:rFonts w:ascii="Arial" w:hAnsi="Arial" w:cs="Arial"/>
                <w:color w:val="000000"/>
                <w:sz w:val="16"/>
                <w:szCs w:val="16"/>
              </w:rPr>
            </w:pPr>
            <w:r w:rsidRPr="003C41BA">
              <w:rPr>
                <w:rFonts w:ascii="Arial" w:hAnsi="Arial" w:cs="Arial"/>
                <w:color w:val="000000"/>
                <w:sz w:val="16"/>
                <w:szCs w:val="16"/>
              </w:rPr>
              <w:t>Likwidacja lub spisanie</w:t>
            </w:r>
            <w:r>
              <w:rPr>
                <w:rFonts w:ascii="Arial" w:hAnsi="Arial" w:cs="Arial"/>
                <w:color w:val="000000"/>
                <w:sz w:val="16"/>
                <w:szCs w:val="16"/>
              </w:rPr>
              <w:t xml:space="preserve"> </w:t>
            </w:r>
            <w:r w:rsidRPr="003C41BA">
              <w:rPr>
                <w:rFonts w:ascii="Arial" w:hAnsi="Arial" w:cs="Arial"/>
                <w:color w:val="000000"/>
                <w:sz w:val="16"/>
                <w:szCs w:val="16"/>
              </w:rPr>
              <w:t>z ewidencji</w:t>
            </w:r>
          </w:p>
        </w:tc>
        <w:tc>
          <w:tcPr>
            <w:tcW w:w="709" w:type="dxa"/>
            <w:vMerge w:val="restart"/>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Pr>
                <w:rFonts w:ascii="Arial" w:hAnsi="Arial" w:cs="Arial"/>
                <w:color w:val="000000"/>
                <w:sz w:val="16"/>
                <w:szCs w:val="16"/>
              </w:rPr>
              <w:t>-</w:t>
            </w:r>
          </w:p>
        </w:tc>
        <w:tc>
          <w:tcPr>
            <w:tcW w:w="1134" w:type="dxa"/>
            <w:vMerge w:val="restart"/>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Pr>
                <w:rFonts w:ascii="Arial" w:hAnsi="Arial" w:cs="Arial"/>
                <w:color w:val="000000"/>
                <w:sz w:val="16"/>
                <w:szCs w:val="16"/>
              </w:rPr>
              <w:t>-</w:t>
            </w:r>
          </w:p>
        </w:tc>
        <w:tc>
          <w:tcPr>
            <w:tcW w:w="992" w:type="dxa"/>
            <w:vMerge w:val="restart"/>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-84</w:t>
            </w:r>
          </w:p>
        </w:tc>
        <w:tc>
          <w:tcPr>
            <w:tcW w:w="1134" w:type="dxa"/>
            <w:vMerge w:val="restart"/>
            <w:tcBorders>
              <w:top w:val="nil"/>
              <w:left w:val="nil"/>
              <w:bottom w:val="nil"/>
              <w:right w:val="nil"/>
            </w:tcBorders>
            <w:shd w:val="clear" w:color="auto" w:fill="auto"/>
            <w:noWrap/>
            <w:vAlign w:val="center"/>
            <w:hideMark/>
          </w:tcPr>
          <w:p w:rsidR="003C41BA" w:rsidRPr="003C41BA" w:rsidRDefault="003C41BA" w:rsidP="003C41BA">
            <w:pPr>
              <w:jc w:val="right"/>
              <w:rPr>
                <w:rFonts w:ascii="Arial" w:hAnsi="Arial" w:cs="Arial"/>
                <w:color w:val="000000"/>
                <w:sz w:val="16"/>
                <w:szCs w:val="16"/>
              </w:rPr>
            </w:pPr>
            <w:r>
              <w:rPr>
                <w:rFonts w:ascii="Arial" w:hAnsi="Arial" w:cs="Arial"/>
                <w:color w:val="000000"/>
                <w:sz w:val="16"/>
                <w:szCs w:val="16"/>
              </w:rPr>
              <w:t>-</w:t>
            </w:r>
          </w:p>
        </w:tc>
        <w:tc>
          <w:tcPr>
            <w:tcW w:w="851" w:type="dxa"/>
            <w:vMerge w:val="restart"/>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-325</w:t>
            </w:r>
          </w:p>
        </w:tc>
        <w:tc>
          <w:tcPr>
            <w:tcW w:w="992" w:type="dxa"/>
            <w:vMerge w:val="restart"/>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Pr>
                <w:rFonts w:ascii="Arial" w:hAnsi="Arial" w:cs="Arial"/>
                <w:color w:val="000000"/>
                <w:sz w:val="16"/>
                <w:szCs w:val="16"/>
              </w:rPr>
              <w:t>-</w:t>
            </w:r>
          </w:p>
        </w:tc>
        <w:tc>
          <w:tcPr>
            <w:tcW w:w="851" w:type="dxa"/>
            <w:vMerge w:val="restart"/>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-409</w:t>
            </w:r>
          </w:p>
        </w:tc>
      </w:tr>
      <w:tr w:rsidR="003C41BA" w:rsidTr="00C42EEA">
        <w:trPr>
          <w:trHeight w:val="227"/>
        </w:trPr>
        <w:tc>
          <w:tcPr>
            <w:tcW w:w="2850" w:type="dxa"/>
            <w:tcBorders>
              <w:top w:val="nil"/>
              <w:left w:val="nil"/>
              <w:bottom w:val="nil"/>
              <w:right w:val="nil"/>
            </w:tcBorders>
            <w:shd w:val="clear" w:color="auto" w:fill="auto"/>
            <w:vAlign w:val="center"/>
            <w:hideMark/>
          </w:tcPr>
          <w:p w:rsidR="003C41BA" w:rsidRPr="003C41BA" w:rsidRDefault="003C41BA">
            <w:pPr>
              <w:rPr>
                <w:rFonts w:ascii="Arial" w:hAnsi="Arial" w:cs="Arial"/>
                <w:color w:val="000000"/>
                <w:sz w:val="2"/>
                <w:szCs w:val="16"/>
              </w:rPr>
            </w:pPr>
          </w:p>
        </w:tc>
        <w:tc>
          <w:tcPr>
            <w:tcW w:w="709" w:type="dxa"/>
            <w:vMerge/>
            <w:tcBorders>
              <w:top w:val="nil"/>
              <w:left w:val="nil"/>
              <w:bottom w:val="nil"/>
              <w:right w:val="nil"/>
            </w:tcBorders>
            <w:vAlign w:val="center"/>
            <w:hideMark/>
          </w:tcPr>
          <w:p w:rsidR="003C41BA" w:rsidRPr="003C41BA" w:rsidRDefault="003C41BA">
            <w:pPr>
              <w:rPr>
                <w:rFonts w:ascii="Arial" w:hAnsi="Arial" w:cs="Arial"/>
                <w:color w:val="000000"/>
                <w:sz w:val="16"/>
                <w:szCs w:val="16"/>
              </w:rPr>
            </w:pPr>
          </w:p>
        </w:tc>
        <w:tc>
          <w:tcPr>
            <w:tcW w:w="1134" w:type="dxa"/>
            <w:vMerge/>
            <w:tcBorders>
              <w:top w:val="nil"/>
              <w:left w:val="nil"/>
              <w:bottom w:val="nil"/>
              <w:right w:val="nil"/>
            </w:tcBorders>
            <w:vAlign w:val="center"/>
            <w:hideMark/>
          </w:tcPr>
          <w:p w:rsidR="003C41BA" w:rsidRPr="003C41BA" w:rsidRDefault="003C41BA">
            <w:pPr>
              <w:rPr>
                <w:rFonts w:ascii="Arial" w:hAnsi="Arial" w:cs="Arial"/>
                <w:color w:val="000000"/>
                <w:sz w:val="16"/>
                <w:szCs w:val="16"/>
              </w:rPr>
            </w:pPr>
          </w:p>
        </w:tc>
        <w:tc>
          <w:tcPr>
            <w:tcW w:w="992" w:type="dxa"/>
            <w:vMerge/>
            <w:tcBorders>
              <w:top w:val="nil"/>
              <w:left w:val="nil"/>
              <w:bottom w:val="nil"/>
              <w:right w:val="nil"/>
            </w:tcBorders>
            <w:vAlign w:val="center"/>
            <w:hideMark/>
          </w:tcPr>
          <w:p w:rsidR="003C41BA" w:rsidRPr="003C41BA" w:rsidRDefault="003C41BA">
            <w:pPr>
              <w:rPr>
                <w:rFonts w:ascii="Arial" w:hAnsi="Arial" w:cs="Arial"/>
                <w:color w:val="000000"/>
                <w:sz w:val="16"/>
                <w:szCs w:val="16"/>
              </w:rPr>
            </w:pPr>
          </w:p>
        </w:tc>
        <w:tc>
          <w:tcPr>
            <w:tcW w:w="1134" w:type="dxa"/>
            <w:vMerge/>
            <w:tcBorders>
              <w:top w:val="nil"/>
              <w:left w:val="nil"/>
              <w:bottom w:val="nil"/>
              <w:right w:val="nil"/>
            </w:tcBorders>
            <w:vAlign w:val="center"/>
            <w:hideMark/>
          </w:tcPr>
          <w:p w:rsidR="003C41BA" w:rsidRPr="003C41BA" w:rsidRDefault="003C41BA">
            <w:pPr>
              <w:rPr>
                <w:rFonts w:ascii="Arial" w:hAnsi="Arial" w:cs="Arial"/>
                <w:color w:val="000000"/>
                <w:sz w:val="16"/>
                <w:szCs w:val="16"/>
              </w:rPr>
            </w:pPr>
          </w:p>
        </w:tc>
        <w:tc>
          <w:tcPr>
            <w:tcW w:w="851" w:type="dxa"/>
            <w:vMerge/>
            <w:tcBorders>
              <w:top w:val="nil"/>
              <w:left w:val="nil"/>
              <w:bottom w:val="nil"/>
              <w:right w:val="nil"/>
            </w:tcBorders>
            <w:vAlign w:val="center"/>
            <w:hideMark/>
          </w:tcPr>
          <w:p w:rsidR="003C41BA" w:rsidRPr="003C41BA" w:rsidRDefault="003C41BA">
            <w:pPr>
              <w:rPr>
                <w:rFonts w:ascii="Arial" w:hAnsi="Arial" w:cs="Arial"/>
                <w:color w:val="000000"/>
                <w:sz w:val="16"/>
                <w:szCs w:val="16"/>
              </w:rPr>
            </w:pPr>
          </w:p>
        </w:tc>
        <w:tc>
          <w:tcPr>
            <w:tcW w:w="992" w:type="dxa"/>
            <w:vMerge/>
            <w:tcBorders>
              <w:top w:val="nil"/>
              <w:left w:val="nil"/>
              <w:bottom w:val="nil"/>
              <w:right w:val="nil"/>
            </w:tcBorders>
            <w:vAlign w:val="center"/>
            <w:hideMark/>
          </w:tcPr>
          <w:p w:rsidR="003C41BA" w:rsidRPr="003C41BA" w:rsidRDefault="003C41BA">
            <w:pPr>
              <w:rPr>
                <w:rFonts w:ascii="Arial" w:hAnsi="Arial" w:cs="Arial"/>
                <w:color w:val="000000"/>
                <w:sz w:val="16"/>
                <w:szCs w:val="16"/>
              </w:rPr>
            </w:pPr>
          </w:p>
        </w:tc>
        <w:tc>
          <w:tcPr>
            <w:tcW w:w="851" w:type="dxa"/>
            <w:vMerge/>
            <w:tcBorders>
              <w:top w:val="nil"/>
              <w:left w:val="nil"/>
              <w:bottom w:val="nil"/>
              <w:right w:val="nil"/>
            </w:tcBorders>
            <w:vAlign w:val="center"/>
            <w:hideMark/>
          </w:tcPr>
          <w:p w:rsidR="003C41BA" w:rsidRPr="003C41BA" w:rsidRDefault="003C41BA">
            <w:pPr>
              <w:rPr>
                <w:rFonts w:ascii="Arial" w:hAnsi="Arial" w:cs="Arial"/>
                <w:color w:val="000000"/>
                <w:sz w:val="16"/>
                <w:szCs w:val="16"/>
              </w:rPr>
            </w:pPr>
          </w:p>
        </w:tc>
      </w:tr>
      <w:tr w:rsidR="003C41BA" w:rsidTr="00C42EEA">
        <w:trPr>
          <w:trHeight w:val="227"/>
        </w:trPr>
        <w:tc>
          <w:tcPr>
            <w:tcW w:w="2850" w:type="dxa"/>
            <w:tcBorders>
              <w:top w:val="nil"/>
              <w:left w:val="nil"/>
              <w:bottom w:val="nil"/>
              <w:right w:val="nil"/>
            </w:tcBorders>
            <w:shd w:val="clear" w:color="auto" w:fill="auto"/>
            <w:vAlign w:val="center"/>
            <w:hideMark/>
          </w:tcPr>
          <w:p w:rsidR="003C41BA" w:rsidRPr="003C41BA" w:rsidRDefault="003C41BA">
            <w:pPr>
              <w:rPr>
                <w:rFonts w:ascii="Arial" w:hAnsi="Arial" w:cs="Arial"/>
                <w:color w:val="000000"/>
                <w:sz w:val="16"/>
                <w:szCs w:val="16"/>
              </w:rPr>
            </w:pPr>
            <w:r w:rsidRPr="003C41BA">
              <w:rPr>
                <w:rFonts w:ascii="Arial" w:hAnsi="Arial" w:cs="Arial"/>
                <w:color w:val="000000"/>
                <w:sz w:val="16"/>
                <w:szCs w:val="16"/>
              </w:rPr>
              <w:t>Amortyzacja</w:t>
            </w:r>
          </w:p>
        </w:tc>
        <w:tc>
          <w:tcPr>
            <w:tcW w:w="709"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-2514</w:t>
            </w:r>
          </w:p>
        </w:tc>
        <w:tc>
          <w:tcPr>
            <w:tcW w:w="992"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-666</w:t>
            </w:r>
          </w:p>
        </w:tc>
        <w:tc>
          <w:tcPr>
            <w:tcW w:w="1134"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-6</w:t>
            </w:r>
          </w:p>
        </w:tc>
        <w:tc>
          <w:tcPr>
            <w:tcW w:w="851"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-345</w:t>
            </w:r>
          </w:p>
        </w:tc>
        <w:tc>
          <w:tcPr>
            <w:tcW w:w="992"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Pr>
                <w:rFonts w:ascii="Arial" w:hAnsi="Arial" w:cs="Arial"/>
                <w:color w:val="000000"/>
                <w:sz w:val="16"/>
                <w:szCs w:val="16"/>
              </w:rPr>
              <w:t>-</w:t>
            </w:r>
          </w:p>
        </w:tc>
        <w:tc>
          <w:tcPr>
            <w:tcW w:w="851"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-3</w:t>
            </w:r>
            <w:r>
              <w:rPr>
                <w:rFonts w:ascii="Arial" w:hAnsi="Arial" w:cs="Arial"/>
                <w:color w:val="000000"/>
                <w:sz w:val="16"/>
                <w:szCs w:val="16"/>
              </w:rPr>
              <w:t xml:space="preserve"> </w:t>
            </w:r>
            <w:r w:rsidRPr="003C41BA">
              <w:rPr>
                <w:rFonts w:ascii="Arial" w:hAnsi="Arial" w:cs="Arial"/>
                <w:color w:val="000000"/>
                <w:sz w:val="16"/>
                <w:szCs w:val="16"/>
              </w:rPr>
              <w:t>531</w:t>
            </w:r>
          </w:p>
        </w:tc>
      </w:tr>
      <w:tr w:rsidR="003C41BA" w:rsidTr="00C42EEA">
        <w:trPr>
          <w:trHeight w:val="227"/>
        </w:trPr>
        <w:tc>
          <w:tcPr>
            <w:tcW w:w="2850" w:type="dxa"/>
            <w:tcBorders>
              <w:top w:val="nil"/>
              <w:left w:val="nil"/>
              <w:bottom w:val="nil"/>
              <w:right w:val="nil"/>
            </w:tcBorders>
            <w:shd w:val="clear" w:color="auto" w:fill="auto"/>
            <w:vAlign w:val="center"/>
            <w:hideMark/>
          </w:tcPr>
          <w:p w:rsidR="003C41BA" w:rsidRPr="003C41BA" w:rsidRDefault="003C41BA">
            <w:pPr>
              <w:rPr>
                <w:rFonts w:ascii="Arial" w:hAnsi="Arial" w:cs="Arial"/>
                <w:color w:val="000000"/>
                <w:sz w:val="16"/>
                <w:szCs w:val="16"/>
              </w:rPr>
            </w:pPr>
            <w:r w:rsidRPr="003C41BA">
              <w:rPr>
                <w:rFonts w:ascii="Arial" w:hAnsi="Arial" w:cs="Arial"/>
                <w:color w:val="000000"/>
                <w:sz w:val="16"/>
                <w:szCs w:val="16"/>
              </w:rPr>
              <w:t xml:space="preserve">        w tym amortyzacja środków trwałych w leasingu</w:t>
            </w:r>
          </w:p>
        </w:tc>
        <w:tc>
          <w:tcPr>
            <w:tcW w:w="709"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-115</w:t>
            </w:r>
          </w:p>
        </w:tc>
        <w:tc>
          <w:tcPr>
            <w:tcW w:w="992"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Pr>
                <w:rFonts w:ascii="Arial" w:hAnsi="Arial" w:cs="Arial"/>
                <w:color w:val="000000"/>
                <w:sz w:val="16"/>
                <w:szCs w:val="16"/>
              </w:rPr>
              <w:t>-</w:t>
            </w:r>
          </w:p>
        </w:tc>
        <w:tc>
          <w:tcPr>
            <w:tcW w:w="851"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Pr>
                <w:rFonts w:ascii="Arial" w:hAnsi="Arial" w:cs="Arial"/>
                <w:color w:val="000000"/>
                <w:sz w:val="16"/>
                <w:szCs w:val="16"/>
              </w:rPr>
              <w:t>-</w:t>
            </w:r>
          </w:p>
        </w:tc>
        <w:tc>
          <w:tcPr>
            <w:tcW w:w="992"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Pr>
                <w:rFonts w:ascii="Arial" w:hAnsi="Arial" w:cs="Arial"/>
                <w:color w:val="000000"/>
                <w:sz w:val="16"/>
                <w:szCs w:val="16"/>
              </w:rPr>
              <w:t>-</w:t>
            </w:r>
          </w:p>
        </w:tc>
        <w:tc>
          <w:tcPr>
            <w:tcW w:w="851"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-115</w:t>
            </w:r>
          </w:p>
        </w:tc>
      </w:tr>
      <w:tr w:rsidR="003C41BA" w:rsidTr="00C42EEA">
        <w:trPr>
          <w:trHeight w:val="227"/>
        </w:trPr>
        <w:tc>
          <w:tcPr>
            <w:tcW w:w="2850" w:type="dxa"/>
            <w:tcBorders>
              <w:top w:val="nil"/>
              <w:left w:val="nil"/>
              <w:bottom w:val="nil"/>
              <w:right w:val="nil"/>
            </w:tcBorders>
            <w:shd w:val="clear" w:color="auto" w:fill="auto"/>
            <w:vAlign w:val="center"/>
            <w:hideMark/>
          </w:tcPr>
          <w:p w:rsidR="003C41BA" w:rsidRPr="003C41BA" w:rsidRDefault="003C41BA">
            <w:pPr>
              <w:rPr>
                <w:rFonts w:ascii="Arial" w:hAnsi="Arial" w:cs="Arial"/>
                <w:color w:val="000000"/>
                <w:sz w:val="16"/>
                <w:szCs w:val="16"/>
              </w:rPr>
            </w:pPr>
            <w:r w:rsidRPr="003C41BA">
              <w:rPr>
                <w:rFonts w:ascii="Arial" w:hAnsi="Arial" w:cs="Arial"/>
                <w:color w:val="000000"/>
                <w:sz w:val="16"/>
                <w:szCs w:val="16"/>
              </w:rPr>
              <w:t>Zmniejszenie umorzenia</w:t>
            </w:r>
          </w:p>
        </w:tc>
        <w:tc>
          <w:tcPr>
            <w:tcW w:w="709" w:type="dxa"/>
            <w:vMerge w:val="restart"/>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Pr>
                <w:rFonts w:ascii="Arial" w:hAnsi="Arial" w:cs="Arial"/>
                <w:color w:val="000000"/>
                <w:sz w:val="16"/>
                <w:szCs w:val="16"/>
              </w:rPr>
              <w:t>-</w:t>
            </w:r>
          </w:p>
        </w:tc>
        <w:tc>
          <w:tcPr>
            <w:tcW w:w="1134" w:type="dxa"/>
            <w:vMerge w:val="restart"/>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Pr>
                <w:rFonts w:ascii="Arial" w:hAnsi="Arial" w:cs="Arial"/>
                <w:color w:val="000000"/>
                <w:sz w:val="16"/>
                <w:szCs w:val="16"/>
              </w:rPr>
              <w:t>-</w:t>
            </w:r>
          </w:p>
        </w:tc>
        <w:tc>
          <w:tcPr>
            <w:tcW w:w="992" w:type="dxa"/>
            <w:vMerge w:val="restart"/>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78</w:t>
            </w:r>
          </w:p>
        </w:tc>
        <w:tc>
          <w:tcPr>
            <w:tcW w:w="1134" w:type="dxa"/>
            <w:vMerge w:val="restart"/>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Pr>
                <w:rFonts w:ascii="Arial" w:hAnsi="Arial" w:cs="Arial"/>
                <w:color w:val="000000"/>
                <w:sz w:val="16"/>
                <w:szCs w:val="16"/>
              </w:rPr>
              <w:t>-</w:t>
            </w:r>
          </w:p>
        </w:tc>
        <w:tc>
          <w:tcPr>
            <w:tcW w:w="851" w:type="dxa"/>
            <w:vMerge w:val="restart"/>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313</w:t>
            </w:r>
          </w:p>
        </w:tc>
        <w:tc>
          <w:tcPr>
            <w:tcW w:w="992" w:type="dxa"/>
            <w:vMerge w:val="restart"/>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Pr>
                <w:rFonts w:ascii="Arial" w:hAnsi="Arial" w:cs="Arial"/>
                <w:color w:val="000000"/>
                <w:sz w:val="16"/>
                <w:szCs w:val="16"/>
              </w:rPr>
              <w:t>-</w:t>
            </w:r>
          </w:p>
        </w:tc>
        <w:tc>
          <w:tcPr>
            <w:tcW w:w="851" w:type="dxa"/>
            <w:vMerge w:val="restart"/>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391</w:t>
            </w:r>
          </w:p>
        </w:tc>
      </w:tr>
      <w:tr w:rsidR="003C41BA" w:rsidTr="00C42EEA">
        <w:trPr>
          <w:trHeight w:val="227"/>
        </w:trPr>
        <w:tc>
          <w:tcPr>
            <w:tcW w:w="2850" w:type="dxa"/>
            <w:tcBorders>
              <w:top w:val="nil"/>
              <w:left w:val="nil"/>
              <w:bottom w:val="nil"/>
              <w:right w:val="nil"/>
            </w:tcBorders>
            <w:shd w:val="clear" w:color="auto" w:fill="auto"/>
            <w:vAlign w:val="center"/>
            <w:hideMark/>
          </w:tcPr>
          <w:p w:rsidR="003C41BA" w:rsidRPr="003C41BA" w:rsidRDefault="003C41BA">
            <w:pPr>
              <w:rPr>
                <w:rFonts w:ascii="Arial" w:hAnsi="Arial" w:cs="Arial"/>
                <w:color w:val="000000"/>
                <w:sz w:val="16"/>
                <w:szCs w:val="16"/>
              </w:rPr>
            </w:pPr>
            <w:r w:rsidRPr="003C41BA">
              <w:rPr>
                <w:rFonts w:ascii="Arial" w:hAnsi="Arial" w:cs="Arial"/>
                <w:color w:val="000000"/>
                <w:sz w:val="16"/>
                <w:szCs w:val="16"/>
              </w:rPr>
              <w:t>z tytułu likwidacji, sprzedaży</w:t>
            </w:r>
            <w:r>
              <w:rPr>
                <w:rFonts w:ascii="Arial" w:hAnsi="Arial" w:cs="Arial"/>
                <w:color w:val="000000"/>
                <w:sz w:val="16"/>
                <w:szCs w:val="16"/>
              </w:rPr>
              <w:t xml:space="preserve"> </w:t>
            </w:r>
            <w:r w:rsidRPr="003C41BA">
              <w:rPr>
                <w:rFonts w:ascii="Arial" w:hAnsi="Arial" w:cs="Arial"/>
                <w:color w:val="000000"/>
                <w:sz w:val="16"/>
                <w:szCs w:val="16"/>
              </w:rPr>
              <w:t>i inne</w:t>
            </w:r>
          </w:p>
        </w:tc>
        <w:tc>
          <w:tcPr>
            <w:tcW w:w="709" w:type="dxa"/>
            <w:vMerge/>
            <w:tcBorders>
              <w:top w:val="nil"/>
              <w:left w:val="nil"/>
              <w:bottom w:val="nil"/>
              <w:right w:val="nil"/>
            </w:tcBorders>
            <w:vAlign w:val="center"/>
            <w:hideMark/>
          </w:tcPr>
          <w:p w:rsidR="003C41BA" w:rsidRPr="003C41BA" w:rsidRDefault="003C41BA">
            <w:pPr>
              <w:rPr>
                <w:rFonts w:ascii="Arial" w:hAnsi="Arial" w:cs="Arial"/>
                <w:color w:val="000000"/>
                <w:sz w:val="16"/>
                <w:szCs w:val="16"/>
              </w:rPr>
            </w:pPr>
          </w:p>
        </w:tc>
        <w:tc>
          <w:tcPr>
            <w:tcW w:w="1134" w:type="dxa"/>
            <w:vMerge/>
            <w:tcBorders>
              <w:top w:val="nil"/>
              <w:left w:val="nil"/>
              <w:bottom w:val="nil"/>
              <w:right w:val="nil"/>
            </w:tcBorders>
            <w:vAlign w:val="center"/>
            <w:hideMark/>
          </w:tcPr>
          <w:p w:rsidR="003C41BA" w:rsidRPr="003C41BA" w:rsidRDefault="003C41BA">
            <w:pPr>
              <w:rPr>
                <w:rFonts w:ascii="Arial" w:hAnsi="Arial" w:cs="Arial"/>
                <w:color w:val="000000"/>
                <w:sz w:val="16"/>
                <w:szCs w:val="16"/>
              </w:rPr>
            </w:pPr>
          </w:p>
        </w:tc>
        <w:tc>
          <w:tcPr>
            <w:tcW w:w="992" w:type="dxa"/>
            <w:vMerge/>
            <w:tcBorders>
              <w:top w:val="nil"/>
              <w:left w:val="nil"/>
              <w:bottom w:val="nil"/>
              <w:right w:val="nil"/>
            </w:tcBorders>
            <w:vAlign w:val="center"/>
            <w:hideMark/>
          </w:tcPr>
          <w:p w:rsidR="003C41BA" w:rsidRPr="003C41BA" w:rsidRDefault="003C41BA">
            <w:pPr>
              <w:rPr>
                <w:rFonts w:ascii="Arial" w:hAnsi="Arial" w:cs="Arial"/>
                <w:color w:val="000000"/>
                <w:sz w:val="16"/>
                <w:szCs w:val="16"/>
              </w:rPr>
            </w:pPr>
          </w:p>
        </w:tc>
        <w:tc>
          <w:tcPr>
            <w:tcW w:w="1134" w:type="dxa"/>
            <w:vMerge/>
            <w:tcBorders>
              <w:top w:val="nil"/>
              <w:left w:val="nil"/>
              <w:bottom w:val="nil"/>
              <w:right w:val="nil"/>
            </w:tcBorders>
            <w:vAlign w:val="center"/>
            <w:hideMark/>
          </w:tcPr>
          <w:p w:rsidR="003C41BA" w:rsidRPr="003C41BA" w:rsidRDefault="003C41BA">
            <w:pPr>
              <w:rPr>
                <w:rFonts w:ascii="Arial" w:hAnsi="Arial" w:cs="Arial"/>
                <w:color w:val="000000"/>
                <w:sz w:val="16"/>
                <w:szCs w:val="16"/>
              </w:rPr>
            </w:pPr>
          </w:p>
        </w:tc>
        <w:tc>
          <w:tcPr>
            <w:tcW w:w="851" w:type="dxa"/>
            <w:vMerge/>
            <w:tcBorders>
              <w:top w:val="nil"/>
              <w:left w:val="nil"/>
              <w:bottom w:val="nil"/>
              <w:right w:val="nil"/>
            </w:tcBorders>
            <w:vAlign w:val="center"/>
            <w:hideMark/>
          </w:tcPr>
          <w:p w:rsidR="003C41BA" w:rsidRPr="003C41BA" w:rsidRDefault="003C41BA">
            <w:pPr>
              <w:rPr>
                <w:rFonts w:ascii="Arial" w:hAnsi="Arial" w:cs="Arial"/>
                <w:color w:val="000000"/>
                <w:sz w:val="16"/>
                <w:szCs w:val="16"/>
              </w:rPr>
            </w:pPr>
          </w:p>
        </w:tc>
        <w:tc>
          <w:tcPr>
            <w:tcW w:w="992" w:type="dxa"/>
            <w:vMerge/>
            <w:tcBorders>
              <w:top w:val="nil"/>
              <w:left w:val="nil"/>
              <w:bottom w:val="nil"/>
              <w:right w:val="nil"/>
            </w:tcBorders>
            <w:vAlign w:val="center"/>
            <w:hideMark/>
          </w:tcPr>
          <w:p w:rsidR="003C41BA" w:rsidRPr="003C41BA" w:rsidRDefault="003C41BA">
            <w:pPr>
              <w:rPr>
                <w:rFonts w:ascii="Arial" w:hAnsi="Arial" w:cs="Arial"/>
                <w:color w:val="000000"/>
                <w:sz w:val="16"/>
                <w:szCs w:val="16"/>
              </w:rPr>
            </w:pPr>
          </w:p>
        </w:tc>
        <w:tc>
          <w:tcPr>
            <w:tcW w:w="851" w:type="dxa"/>
            <w:vMerge/>
            <w:tcBorders>
              <w:top w:val="nil"/>
              <w:left w:val="nil"/>
              <w:bottom w:val="nil"/>
              <w:right w:val="nil"/>
            </w:tcBorders>
            <w:vAlign w:val="center"/>
            <w:hideMark/>
          </w:tcPr>
          <w:p w:rsidR="003C41BA" w:rsidRPr="003C41BA" w:rsidRDefault="003C41BA">
            <w:pPr>
              <w:rPr>
                <w:rFonts w:ascii="Arial" w:hAnsi="Arial" w:cs="Arial"/>
                <w:color w:val="000000"/>
                <w:sz w:val="16"/>
                <w:szCs w:val="16"/>
              </w:rPr>
            </w:pPr>
          </w:p>
        </w:tc>
      </w:tr>
      <w:tr w:rsidR="003C41BA" w:rsidTr="00C42EEA">
        <w:trPr>
          <w:trHeight w:val="227"/>
        </w:trPr>
        <w:tc>
          <w:tcPr>
            <w:tcW w:w="2850" w:type="dxa"/>
            <w:tcBorders>
              <w:top w:val="nil"/>
              <w:left w:val="nil"/>
              <w:bottom w:val="nil"/>
              <w:right w:val="nil"/>
            </w:tcBorders>
            <w:shd w:val="clear" w:color="auto" w:fill="auto"/>
            <w:vAlign w:val="center"/>
            <w:hideMark/>
          </w:tcPr>
          <w:p w:rsidR="003C41BA" w:rsidRPr="003C41BA" w:rsidRDefault="003C41BA">
            <w:pPr>
              <w:rPr>
                <w:rFonts w:ascii="Arial" w:hAnsi="Arial" w:cs="Arial"/>
                <w:color w:val="000000"/>
                <w:sz w:val="2"/>
                <w:szCs w:val="16"/>
              </w:rPr>
            </w:pPr>
          </w:p>
        </w:tc>
        <w:tc>
          <w:tcPr>
            <w:tcW w:w="709" w:type="dxa"/>
            <w:vMerge/>
            <w:tcBorders>
              <w:top w:val="nil"/>
              <w:left w:val="nil"/>
              <w:bottom w:val="nil"/>
              <w:right w:val="nil"/>
            </w:tcBorders>
            <w:vAlign w:val="center"/>
            <w:hideMark/>
          </w:tcPr>
          <w:p w:rsidR="003C41BA" w:rsidRPr="003C41BA" w:rsidRDefault="003C41BA">
            <w:pPr>
              <w:rPr>
                <w:rFonts w:ascii="Arial" w:hAnsi="Arial" w:cs="Arial"/>
                <w:color w:val="000000"/>
                <w:sz w:val="16"/>
                <w:szCs w:val="16"/>
              </w:rPr>
            </w:pPr>
          </w:p>
        </w:tc>
        <w:tc>
          <w:tcPr>
            <w:tcW w:w="1134" w:type="dxa"/>
            <w:vMerge/>
            <w:tcBorders>
              <w:top w:val="nil"/>
              <w:left w:val="nil"/>
              <w:bottom w:val="nil"/>
              <w:right w:val="nil"/>
            </w:tcBorders>
            <w:vAlign w:val="center"/>
            <w:hideMark/>
          </w:tcPr>
          <w:p w:rsidR="003C41BA" w:rsidRPr="003C41BA" w:rsidRDefault="003C41BA">
            <w:pPr>
              <w:rPr>
                <w:rFonts w:ascii="Arial" w:hAnsi="Arial" w:cs="Arial"/>
                <w:color w:val="000000"/>
                <w:sz w:val="16"/>
                <w:szCs w:val="16"/>
              </w:rPr>
            </w:pPr>
          </w:p>
        </w:tc>
        <w:tc>
          <w:tcPr>
            <w:tcW w:w="992" w:type="dxa"/>
            <w:vMerge/>
            <w:tcBorders>
              <w:top w:val="nil"/>
              <w:left w:val="nil"/>
              <w:bottom w:val="nil"/>
              <w:right w:val="nil"/>
            </w:tcBorders>
            <w:vAlign w:val="center"/>
            <w:hideMark/>
          </w:tcPr>
          <w:p w:rsidR="003C41BA" w:rsidRPr="003C41BA" w:rsidRDefault="003C41BA">
            <w:pPr>
              <w:rPr>
                <w:rFonts w:ascii="Arial" w:hAnsi="Arial" w:cs="Arial"/>
                <w:color w:val="000000"/>
                <w:sz w:val="16"/>
                <w:szCs w:val="16"/>
              </w:rPr>
            </w:pPr>
          </w:p>
        </w:tc>
        <w:tc>
          <w:tcPr>
            <w:tcW w:w="1134" w:type="dxa"/>
            <w:vMerge/>
            <w:tcBorders>
              <w:top w:val="nil"/>
              <w:left w:val="nil"/>
              <w:bottom w:val="nil"/>
              <w:right w:val="nil"/>
            </w:tcBorders>
            <w:vAlign w:val="center"/>
            <w:hideMark/>
          </w:tcPr>
          <w:p w:rsidR="003C41BA" w:rsidRPr="003C41BA" w:rsidRDefault="003C41BA">
            <w:pPr>
              <w:rPr>
                <w:rFonts w:ascii="Arial" w:hAnsi="Arial" w:cs="Arial"/>
                <w:color w:val="000000"/>
                <w:sz w:val="16"/>
                <w:szCs w:val="16"/>
              </w:rPr>
            </w:pPr>
          </w:p>
        </w:tc>
        <w:tc>
          <w:tcPr>
            <w:tcW w:w="851" w:type="dxa"/>
            <w:vMerge/>
            <w:tcBorders>
              <w:top w:val="nil"/>
              <w:left w:val="nil"/>
              <w:bottom w:val="nil"/>
              <w:right w:val="nil"/>
            </w:tcBorders>
            <w:vAlign w:val="center"/>
            <w:hideMark/>
          </w:tcPr>
          <w:p w:rsidR="003C41BA" w:rsidRPr="003C41BA" w:rsidRDefault="003C41BA">
            <w:pPr>
              <w:rPr>
                <w:rFonts w:ascii="Arial" w:hAnsi="Arial" w:cs="Arial"/>
                <w:color w:val="000000"/>
                <w:sz w:val="16"/>
                <w:szCs w:val="16"/>
              </w:rPr>
            </w:pPr>
          </w:p>
        </w:tc>
        <w:tc>
          <w:tcPr>
            <w:tcW w:w="992" w:type="dxa"/>
            <w:vMerge/>
            <w:tcBorders>
              <w:top w:val="nil"/>
              <w:left w:val="nil"/>
              <w:bottom w:val="nil"/>
              <w:right w:val="nil"/>
            </w:tcBorders>
            <w:vAlign w:val="center"/>
            <w:hideMark/>
          </w:tcPr>
          <w:p w:rsidR="003C41BA" w:rsidRPr="003C41BA" w:rsidRDefault="003C41BA">
            <w:pPr>
              <w:rPr>
                <w:rFonts w:ascii="Arial" w:hAnsi="Arial" w:cs="Arial"/>
                <w:color w:val="000000"/>
                <w:sz w:val="16"/>
                <w:szCs w:val="16"/>
              </w:rPr>
            </w:pPr>
          </w:p>
        </w:tc>
        <w:tc>
          <w:tcPr>
            <w:tcW w:w="851" w:type="dxa"/>
            <w:vMerge/>
            <w:tcBorders>
              <w:top w:val="nil"/>
              <w:left w:val="nil"/>
              <w:bottom w:val="nil"/>
              <w:right w:val="nil"/>
            </w:tcBorders>
            <w:vAlign w:val="center"/>
            <w:hideMark/>
          </w:tcPr>
          <w:p w:rsidR="003C41BA" w:rsidRPr="003C41BA" w:rsidRDefault="003C41BA">
            <w:pPr>
              <w:rPr>
                <w:rFonts w:ascii="Arial" w:hAnsi="Arial" w:cs="Arial"/>
                <w:color w:val="000000"/>
                <w:sz w:val="16"/>
                <w:szCs w:val="16"/>
              </w:rPr>
            </w:pPr>
          </w:p>
        </w:tc>
      </w:tr>
      <w:tr w:rsidR="003C41BA" w:rsidTr="00C42EEA">
        <w:trPr>
          <w:trHeight w:val="227"/>
        </w:trPr>
        <w:tc>
          <w:tcPr>
            <w:tcW w:w="2850" w:type="dxa"/>
            <w:tcBorders>
              <w:top w:val="nil"/>
              <w:left w:val="nil"/>
              <w:bottom w:val="single" w:sz="8" w:space="0" w:color="auto"/>
              <w:right w:val="nil"/>
            </w:tcBorders>
            <w:shd w:val="clear" w:color="auto" w:fill="auto"/>
            <w:vAlign w:val="center"/>
            <w:hideMark/>
          </w:tcPr>
          <w:p w:rsidR="003C41BA" w:rsidRPr="003C41BA" w:rsidRDefault="003C41BA">
            <w:pPr>
              <w:rPr>
                <w:rFonts w:ascii="Arial" w:hAnsi="Arial" w:cs="Arial"/>
                <w:color w:val="000000"/>
                <w:sz w:val="16"/>
                <w:szCs w:val="16"/>
              </w:rPr>
            </w:pPr>
            <w:r w:rsidRPr="003C41BA">
              <w:rPr>
                <w:rFonts w:ascii="Arial" w:hAnsi="Arial" w:cs="Arial"/>
                <w:color w:val="000000"/>
                <w:sz w:val="16"/>
                <w:szCs w:val="16"/>
              </w:rPr>
              <w:t>Zmniejszenie umorzenia z tytułu przeklasyfikowania do aktywów trwałych przeznaczonych do sprzedaży</w:t>
            </w:r>
          </w:p>
        </w:tc>
        <w:tc>
          <w:tcPr>
            <w:tcW w:w="709" w:type="dxa"/>
            <w:tcBorders>
              <w:top w:val="nil"/>
              <w:left w:val="nil"/>
              <w:bottom w:val="single" w:sz="8" w:space="0" w:color="auto"/>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single" w:sz="8" w:space="0" w:color="auto"/>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829</w:t>
            </w:r>
          </w:p>
        </w:tc>
        <w:tc>
          <w:tcPr>
            <w:tcW w:w="992" w:type="dxa"/>
            <w:tcBorders>
              <w:top w:val="nil"/>
              <w:left w:val="nil"/>
              <w:bottom w:val="single" w:sz="8" w:space="0" w:color="auto"/>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single" w:sz="8" w:space="0" w:color="auto"/>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Pr>
                <w:rFonts w:ascii="Arial" w:hAnsi="Arial" w:cs="Arial"/>
                <w:color w:val="000000"/>
                <w:sz w:val="16"/>
                <w:szCs w:val="16"/>
              </w:rPr>
              <w:t>-</w:t>
            </w:r>
          </w:p>
        </w:tc>
        <w:tc>
          <w:tcPr>
            <w:tcW w:w="851" w:type="dxa"/>
            <w:tcBorders>
              <w:top w:val="nil"/>
              <w:left w:val="nil"/>
              <w:bottom w:val="single" w:sz="8" w:space="0" w:color="auto"/>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Pr>
                <w:rFonts w:ascii="Arial" w:hAnsi="Arial" w:cs="Arial"/>
                <w:color w:val="000000"/>
                <w:sz w:val="16"/>
                <w:szCs w:val="16"/>
              </w:rPr>
              <w:t>-</w:t>
            </w:r>
          </w:p>
        </w:tc>
        <w:tc>
          <w:tcPr>
            <w:tcW w:w="992" w:type="dxa"/>
            <w:tcBorders>
              <w:top w:val="nil"/>
              <w:left w:val="nil"/>
              <w:bottom w:val="single" w:sz="8" w:space="0" w:color="auto"/>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Pr>
                <w:rFonts w:ascii="Arial" w:hAnsi="Arial" w:cs="Arial"/>
                <w:color w:val="000000"/>
                <w:sz w:val="16"/>
                <w:szCs w:val="16"/>
              </w:rPr>
              <w:t>-</w:t>
            </w:r>
          </w:p>
        </w:tc>
        <w:tc>
          <w:tcPr>
            <w:tcW w:w="851" w:type="dxa"/>
            <w:tcBorders>
              <w:top w:val="nil"/>
              <w:left w:val="nil"/>
              <w:bottom w:val="single" w:sz="8" w:space="0" w:color="auto"/>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829</w:t>
            </w:r>
          </w:p>
        </w:tc>
      </w:tr>
      <w:tr w:rsidR="003C41BA" w:rsidTr="00C42EEA">
        <w:trPr>
          <w:trHeight w:val="227"/>
        </w:trPr>
        <w:tc>
          <w:tcPr>
            <w:tcW w:w="2850" w:type="dxa"/>
            <w:tcBorders>
              <w:top w:val="nil"/>
              <w:left w:val="nil"/>
              <w:bottom w:val="nil"/>
              <w:right w:val="nil"/>
            </w:tcBorders>
            <w:shd w:val="clear" w:color="auto" w:fill="auto"/>
            <w:vAlign w:val="center"/>
            <w:hideMark/>
          </w:tcPr>
          <w:p w:rsidR="003C41BA" w:rsidRPr="003C41BA" w:rsidRDefault="003C41BA">
            <w:pPr>
              <w:rPr>
                <w:rFonts w:ascii="Arial" w:hAnsi="Arial" w:cs="Arial"/>
                <w:b/>
                <w:bCs/>
                <w:color w:val="000000"/>
                <w:sz w:val="16"/>
                <w:szCs w:val="16"/>
              </w:rPr>
            </w:pPr>
            <w:r w:rsidRPr="003C41BA">
              <w:rPr>
                <w:rFonts w:ascii="Arial" w:hAnsi="Arial" w:cs="Arial"/>
                <w:b/>
                <w:bCs/>
                <w:color w:val="000000"/>
                <w:sz w:val="16"/>
                <w:szCs w:val="16"/>
              </w:rPr>
              <w:t>Stan na 30 wrzenia 2021 r.</w:t>
            </w:r>
          </w:p>
        </w:tc>
        <w:tc>
          <w:tcPr>
            <w:tcW w:w="709" w:type="dxa"/>
            <w:tcBorders>
              <w:top w:val="nil"/>
              <w:left w:val="nil"/>
              <w:bottom w:val="nil"/>
              <w:right w:val="nil"/>
            </w:tcBorders>
            <w:shd w:val="clear" w:color="auto" w:fill="auto"/>
            <w:noWrap/>
            <w:vAlign w:val="bottom"/>
            <w:hideMark/>
          </w:tcPr>
          <w:p w:rsidR="003C41BA" w:rsidRPr="003C41BA" w:rsidRDefault="003C41BA">
            <w:pPr>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3C41BA" w:rsidRPr="003C41BA" w:rsidRDefault="003C41BA">
            <w:pPr>
              <w:rPr>
                <w:rFonts w:ascii="Arial" w:hAnsi="Arial" w:cs="Arial"/>
                <w:color w:val="000000"/>
                <w:sz w:val="16"/>
                <w:szCs w:val="16"/>
              </w:rPr>
            </w:pPr>
          </w:p>
        </w:tc>
        <w:tc>
          <w:tcPr>
            <w:tcW w:w="992" w:type="dxa"/>
            <w:tcBorders>
              <w:top w:val="nil"/>
              <w:left w:val="nil"/>
              <w:bottom w:val="nil"/>
              <w:right w:val="nil"/>
            </w:tcBorders>
            <w:shd w:val="clear" w:color="auto" w:fill="auto"/>
            <w:noWrap/>
            <w:vAlign w:val="center"/>
            <w:hideMark/>
          </w:tcPr>
          <w:p w:rsidR="003C41BA" w:rsidRPr="003C41BA" w:rsidRDefault="003C41BA">
            <w:pPr>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3C41BA" w:rsidRPr="003C41BA" w:rsidRDefault="003C41BA">
            <w:pPr>
              <w:rPr>
                <w:rFonts w:ascii="Arial" w:hAnsi="Arial" w:cs="Arial"/>
                <w:color w:val="000000"/>
                <w:sz w:val="16"/>
                <w:szCs w:val="16"/>
              </w:rPr>
            </w:pPr>
          </w:p>
        </w:tc>
        <w:tc>
          <w:tcPr>
            <w:tcW w:w="851" w:type="dxa"/>
            <w:tcBorders>
              <w:top w:val="nil"/>
              <w:left w:val="nil"/>
              <w:bottom w:val="nil"/>
              <w:right w:val="nil"/>
            </w:tcBorders>
            <w:shd w:val="clear" w:color="auto" w:fill="auto"/>
            <w:noWrap/>
            <w:vAlign w:val="center"/>
            <w:hideMark/>
          </w:tcPr>
          <w:p w:rsidR="003C41BA" w:rsidRPr="003C41BA" w:rsidRDefault="003C41BA">
            <w:pPr>
              <w:rPr>
                <w:rFonts w:ascii="Arial" w:hAnsi="Arial" w:cs="Arial"/>
                <w:color w:val="000000"/>
                <w:sz w:val="16"/>
                <w:szCs w:val="16"/>
              </w:rPr>
            </w:pPr>
          </w:p>
        </w:tc>
        <w:tc>
          <w:tcPr>
            <w:tcW w:w="992" w:type="dxa"/>
            <w:tcBorders>
              <w:top w:val="nil"/>
              <w:left w:val="nil"/>
              <w:bottom w:val="nil"/>
              <w:right w:val="nil"/>
            </w:tcBorders>
            <w:shd w:val="clear" w:color="auto" w:fill="auto"/>
            <w:noWrap/>
            <w:vAlign w:val="center"/>
            <w:hideMark/>
          </w:tcPr>
          <w:p w:rsidR="003C41BA" w:rsidRPr="003C41BA" w:rsidRDefault="003C41BA">
            <w:pPr>
              <w:rPr>
                <w:rFonts w:ascii="Arial" w:hAnsi="Arial" w:cs="Arial"/>
                <w:color w:val="000000"/>
                <w:sz w:val="16"/>
                <w:szCs w:val="16"/>
              </w:rPr>
            </w:pPr>
          </w:p>
        </w:tc>
        <w:tc>
          <w:tcPr>
            <w:tcW w:w="851" w:type="dxa"/>
            <w:tcBorders>
              <w:top w:val="nil"/>
              <w:left w:val="nil"/>
              <w:bottom w:val="nil"/>
              <w:right w:val="nil"/>
            </w:tcBorders>
            <w:shd w:val="clear" w:color="auto" w:fill="auto"/>
            <w:noWrap/>
            <w:vAlign w:val="center"/>
            <w:hideMark/>
          </w:tcPr>
          <w:p w:rsidR="003C41BA" w:rsidRPr="003C41BA" w:rsidRDefault="003C41BA">
            <w:pPr>
              <w:rPr>
                <w:rFonts w:ascii="Arial" w:hAnsi="Arial" w:cs="Arial"/>
                <w:color w:val="000000"/>
                <w:sz w:val="16"/>
                <w:szCs w:val="16"/>
              </w:rPr>
            </w:pPr>
          </w:p>
        </w:tc>
      </w:tr>
      <w:tr w:rsidR="003C41BA" w:rsidTr="00C42EEA">
        <w:trPr>
          <w:trHeight w:val="227"/>
        </w:trPr>
        <w:tc>
          <w:tcPr>
            <w:tcW w:w="2850" w:type="dxa"/>
            <w:tcBorders>
              <w:top w:val="nil"/>
              <w:left w:val="nil"/>
              <w:bottom w:val="nil"/>
              <w:right w:val="nil"/>
            </w:tcBorders>
            <w:shd w:val="clear" w:color="auto" w:fill="auto"/>
            <w:vAlign w:val="center"/>
            <w:hideMark/>
          </w:tcPr>
          <w:p w:rsidR="003C41BA" w:rsidRPr="003C41BA" w:rsidRDefault="003C41BA">
            <w:pPr>
              <w:rPr>
                <w:rFonts w:ascii="Arial" w:hAnsi="Arial" w:cs="Arial"/>
                <w:color w:val="000000"/>
                <w:sz w:val="16"/>
                <w:szCs w:val="16"/>
              </w:rPr>
            </w:pPr>
            <w:r w:rsidRPr="003C41BA">
              <w:rPr>
                <w:rFonts w:ascii="Arial" w:hAnsi="Arial" w:cs="Arial"/>
                <w:color w:val="000000"/>
                <w:sz w:val="16"/>
                <w:szCs w:val="16"/>
              </w:rPr>
              <w:t>Wartość brutto</w:t>
            </w:r>
          </w:p>
        </w:tc>
        <w:tc>
          <w:tcPr>
            <w:tcW w:w="709"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6 843</w:t>
            </w:r>
          </w:p>
        </w:tc>
        <w:tc>
          <w:tcPr>
            <w:tcW w:w="1134"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174 226</w:t>
            </w:r>
          </w:p>
        </w:tc>
        <w:tc>
          <w:tcPr>
            <w:tcW w:w="992"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14 050</w:t>
            </w:r>
          </w:p>
        </w:tc>
        <w:tc>
          <w:tcPr>
            <w:tcW w:w="1134"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943</w:t>
            </w:r>
          </w:p>
        </w:tc>
        <w:tc>
          <w:tcPr>
            <w:tcW w:w="851"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11 057</w:t>
            </w:r>
          </w:p>
        </w:tc>
        <w:tc>
          <w:tcPr>
            <w:tcW w:w="992"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1 426</w:t>
            </w:r>
          </w:p>
        </w:tc>
        <w:tc>
          <w:tcPr>
            <w:tcW w:w="851"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208 545</w:t>
            </w:r>
          </w:p>
        </w:tc>
      </w:tr>
      <w:tr w:rsidR="003C41BA" w:rsidTr="00C42EEA">
        <w:trPr>
          <w:trHeight w:val="227"/>
        </w:trPr>
        <w:tc>
          <w:tcPr>
            <w:tcW w:w="2850" w:type="dxa"/>
            <w:tcBorders>
              <w:top w:val="nil"/>
              <w:left w:val="nil"/>
              <w:bottom w:val="nil"/>
              <w:right w:val="nil"/>
            </w:tcBorders>
            <w:shd w:val="clear" w:color="auto" w:fill="auto"/>
            <w:vAlign w:val="center"/>
            <w:hideMark/>
          </w:tcPr>
          <w:p w:rsidR="003C41BA" w:rsidRPr="003C41BA" w:rsidRDefault="003C41BA">
            <w:pPr>
              <w:rPr>
                <w:rFonts w:ascii="Arial" w:hAnsi="Arial" w:cs="Arial"/>
                <w:color w:val="000000"/>
                <w:sz w:val="16"/>
                <w:szCs w:val="16"/>
              </w:rPr>
            </w:pPr>
            <w:r w:rsidRPr="003C41BA">
              <w:rPr>
                <w:rFonts w:ascii="Arial" w:hAnsi="Arial" w:cs="Arial"/>
                <w:color w:val="000000"/>
                <w:sz w:val="16"/>
                <w:szCs w:val="16"/>
              </w:rPr>
              <w:t>Umorzenie</w:t>
            </w:r>
          </w:p>
        </w:tc>
        <w:tc>
          <w:tcPr>
            <w:tcW w:w="709"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0</w:t>
            </w:r>
          </w:p>
        </w:tc>
        <w:tc>
          <w:tcPr>
            <w:tcW w:w="1134"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-40 258</w:t>
            </w:r>
          </w:p>
        </w:tc>
        <w:tc>
          <w:tcPr>
            <w:tcW w:w="992"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-7 720</w:t>
            </w:r>
          </w:p>
        </w:tc>
        <w:tc>
          <w:tcPr>
            <w:tcW w:w="1134"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-697</w:t>
            </w:r>
          </w:p>
        </w:tc>
        <w:tc>
          <w:tcPr>
            <w:tcW w:w="851"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-9 380</w:t>
            </w:r>
          </w:p>
        </w:tc>
        <w:tc>
          <w:tcPr>
            <w:tcW w:w="992"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0</w:t>
            </w:r>
          </w:p>
        </w:tc>
        <w:tc>
          <w:tcPr>
            <w:tcW w:w="851"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-58 055</w:t>
            </w:r>
          </w:p>
        </w:tc>
      </w:tr>
      <w:tr w:rsidR="003C41BA" w:rsidTr="00C42EEA">
        <w:trPr>
          <w:trHeight w:val="227"/>
        </w:trPr>
        <w:tc>
          <w:tcPr>
            <w:tcW w:w="2850" w:type="dxa"/>
            <w:tcBorders>
              <w:top w:val="nil"/>
              <w:left w:val="nil"/>
              <w:bottom w:val="single" w:sz="8" w:space="0" w:color="auto"/>
              <w:right w:val="nil"/>
            </w:tcBorders>
            <w:shd w:val="clear" w:color="auto" w:fill="auto"/>
            <w:vAlign w:val="center"/>
            <w:hideMark/>
          </w:tcPr>
          <w:p w:rsidR="003C41BA" w:rsidRPr="003C41BA" w:rsidRDefault="003C41BA">
            <w:pPr>
              <w:rPr>
                <w:rFonts w:ascii="Arial" w:hAnsi="Arial" w:cs="Arial"/>
                <w:color w:val="000000"/>
                <w:sz w:val="16"/>
                <w:szCs w:val="16"/>
              </w:rPr>
            </w:pPr>
            <w:r w:rsidRPr="003C41BA">
              <w:rPr>
                <w:rFonts w:ascii="Arial" w:hAnsi="Arial" w:cs="Arial"/>
                <w:color w:val="000000"/>
                <w:sz w:val="16"/>
                <w:szCs w:val="16"/>
              </w:rPr>
              <w:t xml:space="preserve">Wartość księgowa netto  środków trwałych </w:t>
            </w:r>
          </w:p>
        </w:tc>
        <w:tc>
          <w:tcPr>
            <w:tcW w:w="709" w:type="dxa"/>
            <w:tcBorders>
              <w:top w:val="nil"/>
              <w:left w:val="nil"/>
              <w:bottom w:val="single" w:sz="8" w:space="0" w:color="auto"/>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6 843</w:t>
            </w:r>
          </w:p>
        </w:tc>
        <w:tc>
          <w:tcPr>
            <w:tcW w:w="1134" w:type="dxa"/>
            <w:tcBorders>
              <w:top w:val="nil"/>
              <w:left w:val="nil"/>
              <w:bottom w:val="single" w:sz="8" w:space="0" w:color="auto"/>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133 968</w:t>
            </w:r>
          </w:p>
        </w:tc>
        <w:tc>
          <w:tcPr>
            <w:tcW w:w="992" w:type="dxa"/>
            <w:tcBorders>
              <w:top w:val="nil"/>
              <w:left w:val="nil"/>
              <w:bottom w:val="single" w:sz="8" w:space="0" w:color="auto"/>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6 330</w:t>
            </w:r>
          </w:p>
        </w:tc>
        <w:tc>
          <w:tcPr>
            <w:tcW w:w="1134" w:type="dxa"/>
            <w:tcBorders>
              <w:top w:val="nil"/>
              <w:left w:val="nil"/>
              <w:bottom w:val="single" w:sz="8" w:space="0" w:color="auto"/>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246</w:t>
            </w:r>
          </w:p>
        </w:tc>
        <w:tc>
          <w:tcPr>
            <w:tcW w:w="851" w:type="dxa"/>
            <w:tcBorders>
              <w:top w:val="nil"/>
              <w:left w:val="nil"/>
              <w:bottom w:val="single" w:sz="8" w:space="0" w:color="auto"/>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1677</w:t>
            </w:r>
          </w:p>
        </w:tc>
        <w:tc>
          <w:tcPr>
            <w:tcW w:w="992" w:type="dxa"/>
            <w:tcBorders>
              <w:top w:val="nil"/>
              <w:left w:val="nil"/>
              <w:bottom w:val="single" w:sz="8" w:space="0" w:color="auto"/>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1 426</w:t>
            </w:r>
          </w:p>
        </w:tc>
        <w:tc>
          <w:tcPr>
            <w:tcW w:w="851" w:type="dxa"/>
            <w:tcBorders>
              <w:top w:val="nil"/>
              <w:left w:val="nil"/>
              <w:bottom w:val="single" w:sz="8" w:space="0" w:color="auto"/>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150 490</w:t>
            </w:r>
          </w:p>
        </w:tc>
      </w:tr>
      <w:tr w:rsidR="003C41BA" w:rsidTr="00C42EEA">
        <w:trPr>
          <w:trHeight w:val="227"/>
        </w:trPr>
        <w:tc>
          <w:tcPr>
            <w:tcW w:w="2850" w:type="dxa"/>
            <w:tcBorders>
              <w:top w:val="nil"/>
              <w:left w:val="nil"/>
              <w:bottom w:val="nil"/>
              <w:right w:val="nil"/>
            </w:tcBorders>
            <w:shd w:val="clear" w:color="auto" w:fill="auto"/>
            <w:vAlign w:val="center"/>
            <w:hideMark/>
          </w:tcPr>
          <w:p w:rsidR="003C41BA" w:rsidRPr="003C41BA" w:rsidRDefault="003C41BA">
            <w:pPr>
              <w:rPr>
                <w:rFonts w:ascii="Arial" w:hAnsi="Arial" w:cs="Arial"/>
                <w:color w:val="000000"/>
                <w:sz w:val="16"/>
                <w:szCs w:val="16"/>
              </w:rPr>
            </w:pPr>
            <w:r w:rsidRPr="003C41BA">
              <w:rPr>
                <w:rFonts w:ascii="Arial" w:hAnsi="Arial" w:cs="Arial"/>
                <w:color w:val="000000"/>
                <w:sz w:val="16"/>
                <w:szCs w:val="16"/>
              </w:rPr>
              <w:t xml:space="preserve">      w tym wartość księgowa netto środków trwałych w leasingu</w:t>
            </w:r>
          </w:p>
        </w:tc>
        <w:tc>
          <w:tcPr>
            <w:tcW w:w="709"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6 524</w:t>
            </w:r>
          </w:p>
        </w:tc>
        <w:tc>
          <w:tcPr>
            <w:tcW w:w="1134"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248</w:t>
            </w:r>
          </w:p>
        </w:tc>
        <w:tc>
          <w:tcPr>
            <w:tcW w:w="992" w:type="dxa"/>
            <w:tcBorders>
              <w:top w:val="nil"/>
              <w:left w:val="nil"/>
              <w:bottom w:val="nil"/>
              <w:right w:val="nil"/>
            </w:tcBorders>
            <w:shd w:val="clear" w:color="auto" w:fill="auto"/>
            <w:noWrap/>
            <w:vAlign w:val="center"/>
            <w:hideMark/>
          </w:tcPr>
          <w:p w:rsidR="003C41BA" w:rsidRPr="003C41BA" w:rsidRDefault="003C41BA">
            <w:pPr>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3C41BA" w:rsidRPr="003C41BA" w:rsidRDefault="003C41BA">
            <w:pPr>
              <w:rPr>
                <w:rFonts w:ascii="Arial" w:hAnsi="Arial" w:cs="Arial"/>
                <w:color w:val="000000"/>
                <w:sz w:val="16"/>
                <w:szCs w:val="16"/>
              </w:rPr>
            </w:pPr>
          </w:p>
        </w:tc>
        <w:tc>
          <w:tcPr>
            <w:tcW w:w="851" w:type="dxa"/>
            <w:tcBorders>
              <w:top w:val="nil"/>
              <w:left w:val="nil"/>
              <w:bottom w:val="nil"/>
              <w:right w:val="nil"/>
            </w:tcBorders>
            <w:shd w:val="clear" w:color="auto" w:fill="auto"/>
            <w:noWrap/>
            <w:vAlign w:val="center"/>
            <w:hideMark/>
          </w:tcPr>
          <w:p w:rsidR="003C41BA" w:rsidRPr="003C41BA" w:rsidRDefault="003C41BA">
            <w:pPr>
              <w:rPr>
                <w:rFonts w:ascii="Arial" w:hAnsi="Arial" w:cs="Arial"/>
                <w:color w:val="000000"/>
                <w:sz w:val="16"/>
                <w:szCs w:val="16"/>
              </w:rPr>
            </w:pPr>
          </w:p>
        </w:tc>
        <w:tc>
          <w:tcPr>
            <w:tcW w:w="992" w:type="dxa"/>
            <w:tcBorders>
              <w:top w:val="nil"/>
              <w:left w:val="nil"/>
              <w:bottom w:val="nil"/>
              <w:right w:val="nil"/>
            </w:tcBorders>
            <w:shd w:val="clear" w:color="auto" w:fill="auto"/>
            <w:noWrap/>
            <w:vAlign w:val="center"/>
            <w:hideMark/>
          </w:tcPr>
          <w:p w:rsidR="003C41BA" w:rsidRPr="003C41BA" w:rsidRDefault="003C41BA">
            <w:pPr>
              <w:rPr>
                <w:rFonts w:ascii="Arial" w:hAnsi="Arial" w:cs="Arial"/>
                <w:color w:val="000000"/>
                <w:sz w:val="16"/>
                <w:szCs w:val="16"/>
              </w:rPr>
            </w:pPr>
          </w:p>
        </w:tc>
        <w:tc>
          <w:tcPr>
            <w:tcW w:w="851" w:type="dxa"/>
            <w:tcBorders>
              <w:top w:val="nil"/>
              <w:left w:val="nil"/>
              <w:bottom w:val="nil"/>
              <w:right w:val="nil"/>
            </w:tcBorders>
            <w:shd w:val="clear" w:color="auto" w:fill="auto"/>
            <w:noWrap/>
            <w:vAlign w:val="center"/>
            <w:hideMark/>
          </w:tcPr>
          <w:p w:rsidR="003C41BA" w:rsidRPr="003C41BA" w:rsidRDefault="003C41BA">
            <w:pPr>
              <w:jc w:val="right"/>
              <w:rPr>
                <w:rFonts w:ascii="Arial" w:hAnsi="Arial" w:cs="Arial"/>
                <w:color w:val="000000"/>
                <w:sz w:val="16"/>
                <w:szCs w:val="16"/>
              </w:rPr>
            </w:pPr>
            <w:r w:rsidRPr="003C41BA">
              <w:rPr>
                <w:rFonts w:ascii="Arial" w:hAnsi="Arial" w:cs="Arial"/>
                <w:color w:val="000000"/>
                <w:sz w:val="16"/>
                <w:szCs w:val="16"/>
              </w:rPr>
              <w:t>6 772</w:t>
            </w:r>
          </w:p>
        </w:tc>
      </w:tr>
    </w:tbl>
    <w:p w:rsidR="005D3822" w:rsidRDefault="005D3822">
      <w:pPr>
        <w:rPr>
          <w:rFonts w:ascii="Arial" w:hAnsi="Arial" w:cs="Arial"/>
          <w:b/>
          <w:bCs/>
          <w:sz w:val="18"/>
          <w:szCs w:val="18"/>
        </w:rPr>
      </w:pPr>
    </w:p>
    <w:p w:rsidR="00F06708" w:rsidRDefault="00F06708" w:rsidP="005D3822">
      <w:pPr>
        <w:tabs>
          <w:tab w:val="left" w:pos="540"/>
        </w:tabs>
        <w:spacing w:line="260" w:lineRule="exact"/>
        <w:jc w:val="both"/>
        <w:rPr>
          <w:rFonts w:ascii="Arial" w:hAnsi="Arial" w:cs="Arial"/>
          <w:b/>
          <w:bCs/>
          <w:sz w:val="18"/>
          <w:szCs w:val="18"/>
        </w:rPr>
      </w:pPr>
    </w:p>
    <w:p w:rsidR="005D3822" w:rsidRPr="000C16CB" w:rsidRDefault="005D3822" w:rsidP="005D3822">
      <w:pPr>
        <w:tabs>
          <w:tab w:val="left" w:pos="540"/>
        </w:tabs>
        <w:spacing w:line="260" w:lineRule="exact"/>
        <w:jc w:val="both"/>
        <w:rPr>
          <w:rFonts w:ascii="Arial" w:hAnsi="Arial" w:cs="Arial"/>
          <w:b/>
          <w:bCs/>
          <w:sz w:val="18"/>
          <w:szCs w:val="18"/>
        </w:rPr>
      </w:pPr>
      <w:r w:rsidRPr="000C16CB">
        <w:rPr>
          <w:rFonts w:ascii="Arial" w:hAnsi="Arial" w:cs="Arial"/>
          <w:b/>
          <w:bCs/>
          <w:sz w:val="18"/>
          <w:szCs w:val="18"/>
        </w:rPr>
        <w:lastRenderedPageBreak/>
        <w:t xml:space="preserve">Zmiana wartości rzeczowych aktywów trwałych w okresie od 1 stycznia </w:t>
      </w:r>
      <w:r>
        <w:rPr>
          <w:rFonts w:ascii="Arial" w:hAnsi="Arial" w:cs="Arial"/>
          <w:b/>
          <w:bCs/>
          <w:sz w:val="18"/>
          <w:szCs w:val="18"/>
        </w:rPr>
        <w:t>20</w:t>
      </w:r>
      <w:r w:rsidR="003C41BA">
        <w:rPr>
          <w:rFonts w:ascii="Arial" w:hAnsi="Arial" w:cs="Arial"/>
          <w:b/>
          <w:bCs/>
          <w:sz w:val="18"/>
          <w:szCs w:val="18"/>
        </w:rPr>
        <w:t>20</w:t>
      </w:r>
      <w:r w:rsidRPr="000C16CB">
        <w:rPr>
          <w:rFonts w:ascii="Arial" w:hAnsi="Arial" w:cs="Arial"/>
          <w:b/>
          <w:bCs/>
          <w:sz w:val="18"/>
          <w:szCs w:val="18"/>
        </w:rPr>
        <w:t xml:space="preserve"> r. do 30 września </w:t>
      </w:r>
      <w:r>
        <w:rPr>
          <w:rFonts w:ascii="Arial" w:hAnsi="Arial" w:cs="Arial"/>
          <w:b/>
          <w:bCs/>
          <w:sz w:val="18"/>
          <w:szCs w:val="18"/>
        </w:rPr>
        <w:t>20</w:t>
      </w:r>
      <w:r w:rsidR="003C41BA">
        <w:rPr>
          <w:rFonts w:ascii="Arial" w:hAnsi="Arial" w:cs="Arial"/>
          <w:b/>
          <w:bCs/>
          <w:sz w:val="18"/>
          <w:szCs w:val="18"/>
        </w:rPr>
        <w:t>20</w:t>
      </w:r>
      <w:r w:rsidRPr="000C16CB">
        <w:rPr>
          <w:rFonts w:ascii="Arial" w:hAnsi="Arial" w:cs="Arial"/>
          <w:b/>
          <w:bCs/>
          <w:sz w:val="18"/>
          <w:szCs w:val="18"/>
        </w:rPr>
        <w:t xml:space="preserve"> r.</w:t>
      </w:r>
    </w:p>
    <w:p w:rsidR="005D3822" w:rsidRDefault="005D3822" w:rsidP="005D3822">
      <w:pPr>
        <w:tabs>
          <w:tab w:val="left" w:pos="540"/>
        </w:tabs>
        <w:spacing w:line="260" w:lineRule="exact"/>
        <w:jc w:val="both"/>
        <w:rPr>
          <w:rFonts w:ascii="Arial" w:hAnsi="Arial" w:cs="Arial"/>
          <w:b/>
          <w:bCs/>
          <w:sz w:val="18"/>
          <w:szCs w:val="18"/>
        </w:rPr>
      </w:pPr>
    </w:p>
    <w:tbl>
      <w:tblPr>
        <w:tblW w:w="9513" w:type="dxa"/>
        <w:tblInd w:w="55" w:type="dxa"/>
        <w:tblCellMar>
          <w:left w:w="70" w:type="dxa"/>
          <w:right w:w="70" w:type="dxa"/>
        </w:tblCellMar>
        <w:tblLook w:val="04A0" w:firstRow="1" w:lastRow="0" w:firstColumn="1" w:lastColumn="0" w:noHBand="0" w:noVBand="1"/>
      </w:tblPr>
      <w:tblGrid>
        <w:gridCol w:w="2850"/>
        <w:gridCol w:w="819"/>
        <w:gridCol w:w="1024"/>
        <w:gridCol w:w="992"/>
        <w:gridCol w:w="1095"/>
        <w:gridCol w:w="960"/>
        <w:gridCol w:w="960"/>
        <w:gridCol w:w="813"/>
      </w:tblGrid>
      <w:tr w:rsidR="005D3822" w:rsidRPr="0066570B" w:rsidTr="00C42EEA">
        <w:trPr>
          <w:trHeight w:val="283"/>
        </w:trPr>
        <w:tc>
          <w:tcPr>
            <w:tcW w:w="2850" w:type="dxa"/>
            <w:tcBorders>
              <w:top w:val="nil"/>
              <w:left w:val="nil"/>
              <w:bottom w:val="nil"/>
              <w:right w:val="nil"/>
            </w:tcBorders>
            <w:shd w:val="clear" w:color="auto" w:fill="auto"/>
            <w:noWrap/>
            <w:vAlign w:val="bottom"/>
            <w:hideMark/>
          </w:tcPr>
          <w:p w:rsidR="005D3822" w:rsidRPr="0066570B" w:rsidRDefault="005D3822" w:rsidP="00FB7083">
            <w:pPr>
              <w:rPr>
                <w:rFonts w:ascii="Arial" w:hAnsi="Arial" w:cs="Arial"/>
                <w:sz w:val="16"/>
                <w:szCs w:val="16"/>
              </w:rPr>
            </w:pPr>
          </w:p>
        </w:tc>
        <w:tc>
          <w:tcPr>
            <w:tcW w:w="819" w:type="dxa"/>
            <w:tcBorders>
              <w:top w:val="nil"/>
              <w:left w:val="nil"/>
              <w:bottom w:val="nil"/>
              <w:right w:val="nil"/>
            </w:tcBorders>
            <w:shd w:val="clear" w:color="auto" w:fill="auto"/>
            <w:noWrap/>
            <w:vAlign w:val="bottom"/>
            <w:hideMark/>
          </w:tcPr>
          <w:p w:rsidR="005D3822" w:rsidRPr="0066570B" w:rsidRDefault="005D3822" w:rsidP="00FB7083">
            <w:pPr>
              <w:rPr>
                <w:rFonts w:ascii="Arial" w:hAnsi="Arial" w:cs="Arial"/>
                <w:b/>
                <w:sz w:val="16"/>
                <w:szCs w:val="16"/>
              </w:rPr>
            </w:pPr>
            <w:r w:rsidRPr="0066570B">
              <w:rPr>
                <w:rFonts w:ascii="Arial" w:hAnsi="Arial" w:cs="Arial"/>
                <w:b/>
                <w:sz w:val="16"/>
                <w:szCs w:val="16"/>
              </w:rPr>
              <w:t>Grunty</w:t>
            </w:r>
          </w:p>
        </w:tc>
        <w:tc>
          <w:tcPr>
            <w:tcW w:w="1024" w:type="dxa"/>
            <w:tcBorders>
              <w:top w:val="nil"/>
              <w:left w:val="nil"/>
              <w:bottom w:val="nil"/>
              <w:right w:val="nil"/>
            </w:tcBorders>
            <w:shd w:val="clear" w:color="auto" w:fill="auto"/>
            <w:noWrap/>
            <w:vAlign w:val="bottom"/>
            <w:hideMark/>
          </w:tcPr>
          <w:p w:rsidR="005D3822" w:rsidRPr="0066570B" w:rsidRDefault="005D3822" w:rsidP="00FB7083">
            <w:pPr>
              <w:rPr>
                <w:rFonts w:ascii="Arial" w:hAnsi="Arial" w:cs="Arial"/>
                <w:b/>
                <w:sz w:val="16"/>
                <w:szCs w:val="16"/>
              </w:rPr>
            </w:pPr>
            <w:r w:rsidRPr="0066570B">
              <w:rPr>
                <w:rFonts w:ascii="Arial" w:hAnsi="Arial" w:cs="Arial"/>
                <w:b/>
                <w:sz w:val="16"/>
                <w:szCs w:val="16"/>
              </w:rPr>
              <w:t xml:space="preserve"> Budynki</w:t>
            </w:r>
          </w:p>
        </w:tc>
        <w:tc>
          <w:tcPr>
            <w:tcW w:w="992" w:type="dxa"/>
            <w:tcBorders>
              <w:top w:val="nil"/>
              <w:left w:val="nil"/>
              <w:bottom w:val="nil"/>
              <w:right w:val="nil"/>
            </w:tcBorders>
            <w:shd w:val="clear" w:color="auto" w:fill="auto"/>
            <w:noWrap/>
            <w:vAlign w:val="bottom"/>
            <w:hideMark/>
          </w:tcPr>
          <w:p w:rsidR="005D3822" w:rsidRPr="0066570B" w:rsidRDefault="005D3822" w:rsidP="00FB7083">
            <w:pPr>
              <w:rPr>
                <w:rFonts w:ascii="Arial" w:hAnsi="Arial" w:cs="Arial"/>
                <w:b/>
                <w:sz w:val="16"/>
                <w:szCs w:val="16"/>
              </w:rPr>
            </w:pPr>
            <w:r w:rsidRPr="0066570B">
              <w:rPr>
                <w:rFonts w:ascii="Arial" w:hAnsi="Arial" w:cs="Arial"/>
                <w:b/>
                <w:sz w:val="16"/>
                <w:szCs w:val="16"/>
              </w:rPr>
              <w:t>Urządzenia techniczne</w:t>
            </w:r>
          </w:p>
        </w:tc>
        <w:tc>
          <w:tcPr>
            <w:tcW w:w="1095" w:type="dxa"/>
            <w:tcBorders>
              <w:top w:val="nil"/>
              <w:left w:val="nil"/>
              <w:bottom w:val="nil"/>
              <w:right w:val="nil"/>
            </w:tcBorders>
            <w:shd w:val="clear" w:color="auto" w:fill="auto"/>
            <w:noWrap/>
            <w:vAlign w:val="bottom"/>
            <w:hideMark/>
          </w:tcPr>
          <w:p w:rsidR="005D3822" w:rsidRPr="0066570B" w:rsidRDefault="005D3822" w:rsidP="00FB7083">
            <w:pPr>
              <w:rPr>
                <w:rFonts w:ascii="Arial" w:hAnsi="Arial" w:cs="Arial"/>
                <w:b/>
                <w:sz w:val="16"/>
                <w:szCs w:val="16"/>
              </w:rPr>
            </w:pPr>
            <w:r w:rsidRPr="0066570B">
              <w:rPr>
                <w:rFonts w:ascii="Arial" w:hAnsi="Arial" w:cs="Arial"/>
                <w:b/>
                <w:sz w:val="16"/>
                <w:szCs w:val="16"/>
              </w:rPr>
              <w:t>Środki transportu</w:t>
            </w:r>
          </w:p>
        </w:tc>
        <w:tc>
          <w:tcPr>
            <w:tcW w:w="960" w:type="dxa"/>
            <w:tcBorders>
              <w:top w:val="nil"/>
              <w:left w:val="nil"/>
              <w:bottom w:val="nil"/>
              <w:right w:val="nil"/>
            </w:tcBorders>
            <w:shd w:val="clear" w:color="auto" w:fill="auto"/>
            <w:noWrap/>
            <w:vAlign w:val="bottom"/>
            <w:hideMark/>
          </w:tcPr>
          <w:p w:rsidR="005D3822" w:rsidRPr="0066570B" w:rsidRDefault="005D3822" w:rsidP="00FB7083">
            <w:pPr>
              <w:rPr>
                <w:rFonts w:ascii="Arial" w:hAnsi="Arial" w:cs="Arial"/>
                <w:b/>
                <w:sz w:val="16"/>
                <w:szCs w:val="16"/>
              </w:rPr>
            </w:pPr>
            <w:r w:rsidRPr="0066570B">
              <w:rPr>
                <w:rFonts w:ascii="Arial" w:hAnsi="Arial" w:cs="Arial"/>
                <w:b/>
                <w:sz w:val="16"/>
                <w:szCs w:val="16"/>
              </w:rPr>
              <w:t xml:space="preserve">Inne środki </w:t>
            </w:r>
          </w:p>
        </w:tc>
        <w:tc>
          <w:tcPr>
            <w:tcW w:w="960" w:type="dxa"/>
            <w:tcBorders>
              <w:top w:val="nil"/>
              <w:left w:val="nil"/>
              <w:bottom w:val="nil"/>
              <w:right w:val="nil"/>
            </w:tcBorders>
            <w:shd w:val="clear" w:color="auto" w:fill="auto"/>
            <w:noWrap/>
            <w:vAlign w:val="bottom"/>
            <w:hideMark/>
          </w:tcPr>
          <w:p w:rsidR="005D3822" w:rsidRPr="0066570B" w:rsidRDefault="005D3822" w:rsidP="00FB7083">
            <w:pPr>
              <w:rPr>
                <w:rFonts w:ascii="Arial" w:hAnsi="Arial" w:cs="Arial"/>
                <w:b/>
                <w:sz w:val="16"/>
                <w:szCs w:val="16"/>
              </w:rPr>
            </w:pPr>
            <w:r w:rsidRPr="0066570B">
              <w:rPr>
                <w:rFonts w:ascii="Arial" w:hAnsi="Arial" w:cs="Arial"/>
                <w:b/>
                <w:sz w:val="16"/>
                <w:szCs w:val="16"/>
              </w:rPr>
              <w:t>Środki trwałe</w:t>
            </w:r>
          </w:p>
        </w:tc>
        <w:tc>
          <w:tcPr>
            <w:tcW w:w="813" w:type="dxa"/>
            <w:tcBorders>
              <w:top w:val="nil"/>
              <w:left w:val="nil"/>
              <w:bottom w:val="nil"/>
              <w:right w:val="nil"/>
            </w:tcBorders>
            <w:shd w:val="clear" w:color="auto" w:fill="auto"/>
            <w:noWrap/>
            <w:vAlign w:val="bottom"/>
            <w:hideMark/>
          </w:tcPr>
          <w:p w:rsidR="005D3822" w:rsidRPr="0066570B" w:rsidRDefault="005D3822" w:rsidP="00FB7083">
            <w:pPr>
              <w:rPr>
                <w:rFonts w:ascii="Arial" w:hAnsi="Arial" w:cs="Arial"/>
                <w:b/>
                <w:sz w:val="16"/>
                <w:szCs w:val="16"/>
              </w:rPr>
            </w:pPr>
            <w:r w:rsidRPr="0066570B">
              <w:rPr>
                <w:rFonts w:ascii="Arial" w:hAnsi="Arial" w:cs="Arial"/>
                <w:b/>
                <w:sz w:val="16"/>
                <w:szCs w:val="16"/>
              </w:rPr>
              <w:t>Ogółem</w:t>
            </w:r>
          </w:p>
        </w:tc>
      </w:tr>
      <w:tr w:rsidR="005D3822" w:rsidRPr="0066570B" w:rsidTr="00C42EEA">
        <w:trPr>
          <w:trHeight w:val="283"/>
        </w:trPr>
        <w:tc>
          <w:tcPr>
            <w:tcW w:w="2850" w:type="dxa"/>
            <w:tcBorders>
              <w:top w:val="nil"/>
              <w:left w:val="nil"/>
              <w:bottom w:val="single" w:sz="4" w:space="0" w:color="auto"/>
              <w:right w:val="nil"/>
            </w:tcBorders>
            <w:shd w:val="clear" w:color="auto" w:fill="auto"/>
            <w:noWrap/>
            <w:vAlign w:val="bottom"/>
            <w:hideMark/>
          </w:tcPr>
          <w:p w:rsidR="005D3822" w:rsidRPr="0066570B" w:rsidRDefault="005D3822" w:rsidP="00FB7083">
            <w:pPr>
              <w:rPr>
                <w:rFonts w:ascii="Arial" w:hAnsi="Arial" w:cs="Arial"/>
                <w:sz w:val="16"/>
                <w:szCs w:val="16"/>
              </w:rPr>
            </w:pPr>
          </w:p>
        </w:tc>
        <w:tc>
          <w:tcPr>
            <w:tcW w:w="819" w:type="dxa"/>
            <w:tcBorders>
              <w:top w:val="nil"/>
              <w:left w:val="nil"/>
              <w:bottom w:val="single" w:sz="4" w:space="0" w:color="auto"/>
              <w:right w:val="nil"/>
            </w:tcBorders>
            <w:shd w:val="clear" w:color="auto" w:fill="auto"/>
            <w:noWrap/>
            <w:vAlign w:val="bottom"/>
            <w:hideMark/>
          </w:tcPr>
          <w:p w:rsidR="005D3822" w:rsidRPr="0066570B" w:rsidRDefault="005D3822" w:rsidP="00FB7083">
            <w:pPr>
              <w:rPr>
                <w:rFonts w:ascii="Arial" w:hAnsi="Arial" w:cs="Arial"/>
                <w:b/>
                <w:sz w:val="16"/>
                <w:szCs w:val="16"/>
              </w:rPr>
            </w:pPr>
          </w:p>
        </w:tc>
        <w:tc>
          <w:tcPr>
            <w:tcW w:w="1024" w:type="dxa"/>
            <w:tcBorders>
              <w:top w:val="nil"/>
              <w:left w:val="nil"/>
              <w:bottom w:val="single" w:sz="4" w:space="0" w:color="auto"/>
              <w:right w:val="nil"/>
            </w:tcBorders>
            <w:shd w:val="clear" w:color="auto" w:fill="auto"/>
            <w:noWrap/>
            <w:vAlign w:val="bottom"/>
            <w:hideMark/>
          </w:tcPr>
          <w:p w:rsidR="005D3822" w:rsidRPr="0066570B" w:rsidRDefault="005D3822" w:rsidP="00FB7083">
            <w:pPr>
              <w:rPr>
                <w:rFonts w:ascii="Arial" w:hAnsi="Arial" w:cs="Arial"/>
                <w:b/>
                <w:sz w:val="16"/>
                <w:szCs w:val="16"/>
              </w:rPr>
            </w:pPr>
            <w:r w:rsidRPr="0066570B">
              <w:rPr>
                <w:rFonts w:ascii="Arial" w:hAnsi="Arial" w:cs="Arial"/>
                <w:b/>
                <w:sz w:val="16"/>
                <w:szCs w:val="16"/>
              </w:rPr>
              <w:t xml:space="preserve"> i budowle</w:t>
            </w:r>
          </w:p>
        </w:tc>
        <w:tc>
          <w:tcPr>
            <w:tcW w:w="2087" w:type="dxa"/>
            <w:gridSpan w:val="2"/>
            <w:tcBorders>
              <w:top w:val="nil"/>
              <w:left w:val="nil"/>
              <w:bottom w:val="single" w:sz="4" w:space="0" w:color="auto"/>
              <w:right w:val="nil"/>
            </w:tcBorders>
            <w:shd w:val="clear" w:color="auto" w:fill="auto"/>
            <w:noWrap/>
            <w:vAlign w:val="bottom"/>
            <w:hideMark/>
          </w:tcPr>
          <w:p w:rsidR="005D3822" w:rsidRPr="0066570B" w:rsidRDefault="005D3822" w:rsidP="00FB7083">
            <w:pPr>
              <w:rPr>
                <w:rFonts w:ascii="Arial" w:hAnsi="Arial" w:cs="Arial"/>
                <w:b/>
                <w:sz w:val="16"/>
                <w:szCs w:val="16"/>
              </w:rPr>
            </w:pPr>
            <w:r w:rsidRPr="0066570B">
              <w:rPr>
                <w:rFonts w:ascii="Arial" w:hAnsi="Arial" w:cs="Arial"/>
                <w:b/>
                <w:sz w:val="16"/>
                <w:szCs w:val="16"/>
              </w:rPr>
              <w:t>i maszyny</w:t>
            </w:r>
          </w:p>
        </w:tc>
        <w:tc>
          <w:tcPr>
            <w:tcW w:w="960" w:type="dxa"/>
            <w:tcBorders>
              <w:top w:val="nil"/>
              <w:left w:val="nil"/>
              <w:bottom w:val="single" w:sz="4" w:space="0" w:color="auto"/>
              <w:right w:val="nil"/>
            </w:tcBorders>
            <w:shd w:val="clear" w:color="auto" w:fill="auto"/>
            <w:noWrap/>
            <w:vAlign w:val="bottom"/>
            <w:hideMark/>
          </w:tcPr>
          <w:p w:rsidR="005D3822" w:rsidRPr="0066570B" w:rsidRDefault="005D3822" w:rsidP="00FB7083">
            <w:pPr>
              <w:rPr>
                <w:rFonts w:ascii="Arial" w:hAnsi="Arial" w:cs="Arial"/>
                <w:b/>
                <w:sz w:val="16"/>
                <w:szCs w:val="16"/>
              </w:rPr>
            </w:pPr>
            <w:r w:rsidRPr="0066570B">
              <w:rPr>
                <w:rFonts w:ascii="Arial" w:hAnsi="Arial" w:cs="Arial"/>
                <w:b/>
                <w:sz w:val="16"/>
                <w:szCs w:val="16"/>
              </w:rPr>
              <w:t>trwałe</w:t>
            </w:r>
          </w:p>
        </w:tc>
        <w:tc>
          <w:tcPr>
            <w:tcW w:w="1773" w:type="dxa"/>
            <w:gridSpan w:val="2"/>
            <w:tcBorders>
              <w:top w:val="nil"/>
              <w:left w:val="nil"/>
              <w:bottom w:val="single" w:sz="4" w:space="0" w:color="auto"/>
              <w:right w:val="nil"/>
            </w:tcBorders>
            <w:shd w:val="clear" w:color="auto" w:fill="auto"/>
            <w:noWrap/>
            <w:vAlign w:val="bottom"/>
            <w:hideMark/>
          </w:tcPr>
          <w:p w:rsidR="005D3822" w:rsidRPr="0066570B" w:rsidRDefault="005D3822" w:rsidP="00FB7083">
            <w:pPr>
              <w:rPr>
                <w:rFonts w:ascii="Arial" w:hAnsi="Arial" w:cs="Arial"/>
                <w:b/>
                <w:sz w:val="16"/>
                <w:szCs w:val="16"/>
              </w:rPr>
            </w:pPr>
            <w:r w:rsidRPr="0066570B">
              <w:rPr>
                <w:rFonts w:ascii="Arial" w:hAnsi="Arial" w:cs="Arial"/>
                <w:b/>
                <w:sz w:val="16"/>
                <w:szCs w:val="16"/>
              </w:rPr>
              <w:t>w budowie</w:t>
            </w:r>
          </w:p>
        </w:tc>
      </w:tr>
      <w:tr w:rsidR="003C41BA" w:rsidRPr="0066570B" w:rsidTr="00C42EEA">
        <w:trPr>
          <w:trHeight w:val="283"/>
        </w:trPr>
        <w:tc>
          <w:tcPr>
            <w:tcW w:w="2850" w:type="dxa"/>
            <w:tcBorders>
              <w:top w:val="single" w:sz="4" w:space="0" w:color="auto"/>
              <w:left w:val="nil"/>
              <w:bottom w:val="nil"/>
              <w:right w:val="nil"/>
            </w:tcBorders>
            <w:shd w:val="clear" w:color="auto" w:fill="auto"/>
            <w:noWrap/>
            <w:vAlign w:val="center"/>
            <w:hideMark/>
          </w:tcPr>
          <w:p w:rsidR="003C41BA" w:rsidRDefault="003C41BA" w:rsidP="003C41BA">
            <w:pPr>
              <w:rPr>
                <w:rFonts w:ascii="Arial" w:hAnsi="Arial" w:cs="Arial"/>
                <w:color w:val="000000"/>
                <w:sz w:val="16"/>
                <w:szCs w:val="16"/>
              </w:rPr>
            </w:pPr>
            <w:r>
              <w:rPr>
                <w:rFonts w:ascii="Arial" w:hAnsi="Arial" w:cs="Arial"/>
                <w:color w:val="000000"/>
                <w:sz w:val="16"/>
                <w:szCs w:val="16"/>
              </w:rPr>
              <w:t>Stan na 31 grudnia 2019 r.</w:t>
            </w:r>
          </w:p>
        </w:tc>
        <w:tc>
          <w:tcPr>
            <w:tcW w:w="819" w:type="dxa"/>
            <w:tcBorders>
              <w:top w:val="single" w:sz="4" w:space="0" w:color="auto"/>
              <w:left w:val="nil"/>
              <w:bottom w:val="nil"/>
              <w:right w:val="nil"/>
            </w:tcBorders>
            <w:shd w:val="clear" w:color="auto" w:fill="auto"/>
            <w:noWrap/>
            <w:vAlign w:val="bottom"/>
            <w:hideMark/>
          </w:tcPr>
          <w:p w:rsidR="003C41BA" w:rsidRDefault="003C41BA" w:rsidP="003C41BA">
            <w:pPr>
              <w:rPr>
                <w:rFonts w:ascii="Arial" w:hAnsi="Arial" w:cs="Arial"/>
                <w:color w:val="000000"/>
                <w:sz w:val="16"/>
                <w:szCs w:val="16"/>
              </w:rPr>
            </w:pPr>
          </w:p>
        </w:tc>
        <w:tc>
          <w:tcPr>
            <w:tcW w:w="1024" w:type="dxa"/>
            <w:tcBorders>
              <w:top w:val="single" w:sz="4" w:space="0" w:color="auto"/>
              <w:left w:val="nil"/>
              <w:bottom w:val="nil"/>
              <w:right w:val="nil"/>
            </w:tcBorders>
            <w:shd w:val="clear" w:color="auto" w:fill="auto"/>
            <w:noWrap/>
            <w:vAlign w:val="bottom"/>
            <w:hideMark/>
          </w:tcPr>
          <w:p w:rsidR="003C41BA" w:rsidRDefault="003C41BA" w:rsidP="003C41BA">
            <w:pPr>
              <w:rPr>
                <w:rFonts w:ascii="Arial" w:hAnsi="Arial" w:cs="Arial"/>
                <w:color w:val="000000"/>
                <w:sz w:val="16"/>
                <w:szCs w:val="16"/>
              </w:rPr>
            </w:pPr>
          </w:p>
        </w:tc>
        <w:tc>
          <w:tcPr>
            <w:tcW w:w="992" w:type="dxa"/>
            <w:tcBorders>
              <w:top w:val="single" w:sz="4" w:space="0" w:color="auto"/>
              <w:left w:val="nil"/>
              <w:bottom w:val="nil"/>
              <w:right w:val="nil"/>
            </w:tcBorders>
            <w:shd w:val="clear" w:color="auto" w:fill="auto"/>
            <w:noWrap/>
            <w:vAlign w:val="bottom"/>
            <w:hideMark/>
          </w:tcPr>
          <w:p w:rsidR="003C41BA" w:rsidRDefault="003C41BA" w:rsidP="003C41BA">
            <w:pPr>
              <w:rPr>
                <w:rFonts w:ascii="Arial" w:hAnsi="Arial" w:cs="Arial"/>
                <w:color w:val="000000"/>
                <w:sz w:val="16"/>
                <w:szCs w:val="16"/>
              </w:rPr>
            </w:pPr>
          </w:p>
        </w:tc>
        <w:tc>
          <w:tcPr>
            <w:tcW w:w="1095" w:type="dxa"/>
            <w:tcBorders>
              <w:top w:val="single" w:sz="4" w:space="0" w:color="auto"/>
              <w:left w:val="nil"/>
              <w:bottom w:val="nil"/>
              <w:right w:val="nil"/>
            </w:tcBorders>
            <w:shd w:val="clear" w:color="auto" w:fill="auto"/>
            <w:noWrap/>
            <w:vAlign w:val="bottom"/>
            <w:hideMark/>
          </w:tcPr>
          <w:p w:rsidR="003C41BA" w:rsidRDefault="003C41BA" w:rsidP="003C41BA">
            <w:pPr>
              <w:rPr>
                <w:rFonts w:ascii="Arial" w:hAnsi="Arial" w:cs="Arial"/>
                <w:color w:val="000000"/>
                <w:sz w:val="16"/>
                <w:szCs w:val="16"/>
              </w:rPr>
            </w:pPr>
          </w:p>
        </w:tc>
        <w:tc>
          <w:tcPr>
            <w:tcW w:w="960" w:type="dxa"/>
            <w:tcBorders>
              <w:top w:val="single" w:sz="4" w:space="0" w:color="auto"/>
              <w:left w:val="nil"/>
              <w:bottom w:val="nil"/>
              <w:right w:val="nil"/>
            </w:tcBorders>
            <w:shd w:val="clear" w:color="auto" w:fill="auto"/>
            <w:noWrap/>
            <w:vAlign w:val="bottom"/>
            <w:hideMark/>
          </w:tcPr>
          <w:p w:rsidR="003C41BA" w:rsidRDefault="003C41BA" w:rsidP="003C41BA">
            <w:pPr>
              <w:rPr>
                <w:rFonts w:ascii="Arial" w:hAnsi="Arial" w:cs="Arial"/>
                <w:color w:val="000000"/>
                <w:sz w:val="16"/>
                <w:szCs w:val="16"/>
              </w:rPr>
            </w:pPr>
          </w:p>
        </w:tc>
        <w:tc>
          <w:tcPr>
            <w:tcW w:w="960" w:type="dxa"/>
            <w:tcBorders>
              <w:top w:val="single" w:sz="4" w:space="0" w:color="auto"/>
              <w:left w:val="nil"/>
              <w:bottom w:val="nil"/>
              <w:right w:val="nil"/>
            </w:tcBorders>
            <w:shd w:val="clear" w:color="auto" w:fill="auto"/>
            <w:noWrap/>
            <w:vAlign w:val="bottom"/>
            <w:hideMark/>
          </w:tcPr>
          <w:p w:rsidR="003C41BA" w:rsidRDefault="003C41BA" w:rsidP="003C41BA">
            <w:pPr>
              <w:rPr>
                <w:rFonts w:ascii="Arial" w:hAnsi="Arial" w:cs="Arial"/>
                <w:color w:val="000000"/>
                <w:sz w:val="16"/>
                <w:szCs w:val="16"/>
              </w:rPr>
            </w:pPr>
          </w:p>
        </w:tc>
        <w:tc>
          <w:tcPr>
            <w:tcW w:w="813" w:type="dxa"/>
            <w:tcBorders>
              <w:top w:val="single" w:sz="4" w:space="0" w:color="auto"/>
              <w:left w:val="nil"/>
              <w:bottom w:val="nil"/>
              <w:right w:val="nil"/>
            </w:tcBorders>
            <w:shd w:val="clear" w:color="auto" w:fill="auto"/>
            <w:noWrap/>
            <w:vAlign w:val="bottom"/>
            <w:hideMark/>
          </w:tcPr>
          <w:p w:rsidR="003C41BA" w:rsidRDefault="003C41BA" w:rsidP="003C41BA">
            <w:pPr>
              <w:rPr>
                <w:rFonts w:ascii="Arial" w:hAnsi="Arial" w:cs="Arial"/>
                <w:color w:val="000000"/>
                <w:sz w:val="16"/>
                <w:szCs w:val="16"/>
              </w:rPr>
            </w:pPr>
          </w:p>
        </w:tc>
      </w:tr>
      <w:tr w:rsidR="003C41BA" w:rsidRPr="0066570B" w:rsidTr="00C42EEA">
        <w:trPr>
          <w:trHeight w:val="283"/>
        </w:trPr>
        <w:tc>
          <w:tcPr>
            <w:tcW w:w="2850" w:type="dxa"/>
            <w:tcBorders>
              <w:top w:val="nil"/>
              <w:left w:val="nil"/>
              <w:bottom w:val="nil"/>
              <w:right w:val="nil"/>
            </w:tcBorders>
            <w:shd w:val="clear" w:color="auto" w:fill="auto"/>
            <w:noWrap/>
            <w:vAlign w:val="center"/>
            <w:hideMark/>
          </w:tcPr>
          <w:p w:rsidR="003C41BA" w:rsidRDefault="003C41BA" w:rsidP="003C41BA">
            <w:pPr>
              <w:rPr>
                <w:rFonts w:ascii="Arial" w:hAnsi="Arial" w:cs="Arial"/>
                <w:color w:val="000000"/>
                <w:sz w:val="16"/>
                <w:szCs w:val="16"/>
              </w:rPr>
            </w:pPr>
            <w:r>
              <w:rPr>
                <w:rFonts w:ascii="Arial" w:hAnsi="Arial" w:cs="Arial"/>
                <w:color w:val="000000"/>
                <w:sz w:val="16"/>
                <w:szCs w:val="16"/>
              </w:rPr>
              <w:t>Wartość brutto</w:t>
            </w:r>
          </w:p>
        </w:tc>
        <w:tc>
          <w:tcPr>
            <w:tcW w:w="819"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7 083</w:t>
            </w:r>
          </w:p>
        </w:tc>
        <w:tc>
          <w:tcPr>
            <w:tcW w:w="1024"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125 351</w:t>
            </w:r>
          </w:p>
        </w:tc>
        <w:tc>
          <w:tcPr>
            <w:tcW w:w="992"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9 201</w:t>
            </w:r>
          </w:p>
        </w:tc>
        <w:tc>
          <w:tcPr>
            <w:tcW w:w="1095"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926</w:t>
            </w:r>
          </w:p>
        </w:tc>
        <w:tc>
          <w:tcPr>
            <w:tcW w:w="960"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10 490</w:t>
            </w:r>
          </w:p>
        </w:tc>
        <w:tc>
          <w:tcPr>
            <w:tcW w:w="960"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7 625</w:t>
            </w:r>
          </w:p>
        </w:tc>
        <w:tc>
          <w:tcPr>
            <w:tcW w:w="813"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160 677</w:t>
            </w:r>
          </w:p>
        </w:tc>
      </w:tr>
      <w:tr w:rsidR="003C41BA" w:rsidRPr="0066570B" w:rsidTr="00C42EEA">
        <w:trPr>
          <w:trHeight w:val="283"/>
        </w:trPr>
        <w:tc>
          <w:tcPr>
            <w:tcW w:w="2850" w:type="dxa"/>
            <w:tcBorders>
              <w:top w:val="nil"/>
              <w:left w:val="nil"/>
              <w:right w:val="nil"/>
            </w:tcBorders>
            <w:shd w:val="clear" w:color="auto" w:fill="auto"/>
            <w:noWrap/>
            <w:vAlign w:val="center"/>
            <w:hideMark/>
          </w:tcPr>
          <w:p w:rsidR="003C41BA" w:rsidRDefault="003C41BA" w:rsidP="003C41BA">
            <w:pPr>
              <w:rPr>
                <w:rFonts w:ascii="Arial" w:hAnsi="Arial" w:cs="Arial"/>
                <w:color w:val="000000"/>
                <w:sz w:val="16"/>
                <w:szCs w:val="16"/>
              </w:rPr>
            </w:pPr>
            <w:r>
              <w:rPr>
                <w:rFonts w:ascii="Arial" w:hAnsi="Arial" w:cs="Arial"/>
                <w:color w:val="000000"/>
                <w:sz w:val="16"/>
                <w:szCs w:val="16"/>
              </w:rPr>
              <w:t>Umorzenie</w:t>
            </w:r>
          </w:p>
        </w:tc>
        <w:tc>
          <w:tcPr>
            <w:tcW w:w="819" w:type="dxa"/>
            <w:tcBorders>
              <w:top w:val="nil"/>
              <w:left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w:t>
            </w:r>
          </w:p>
        </w:tc>
        <w:tc>
          <w:tcPr>
            <w:tcW w:w="1024" w:type="dxa"/>
            <w:tcBorders>
              <w:top w:val="nil"/>
              <w:left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-36 568</w:t>
            </w:r>
          </w:p>
        </w:tc>
        <w:tc>
          <w:tcPr>
            <w:tcW w:w="992" w:type="dxa"/>
            <w:tcBorders>
              <w:top w:val="nil"/>
              <w:left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-7 067</w:t>
            </w:r>
          </w:p>
        </w:tc>
        <w:tc>
          <w:tcPr>
            <w:tcW w:w="1095" w:type="dxa"/>
            <w:tcBorders>
              <w:top w:val="nil"/>
              <w:left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-673</w:t>
            </w:r>
          </w:p>
        </w:tc>
        <w:tc>
          <w:tcPr>
            <w:tcW w:w="960" w:type="dxa"/>
            <w:tcBorders>
              <w:top w:val="nil"/>
              <w:left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-9 510</w:t>
            </w:r>
          </w:p>
        </w:tc>
        <w:tc>
          <w:tcPr>
            <w:tcW w:w="960" w:type="dxa"/>
            <w:tcBorders>
              <w:top w:val="nil"/>
              <w:left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w:t>
            </w:r>
          </w:p>
        </w:tc>
        <w:tc>
          <w:tcPr>
            <w:tcW w:w="813" w:type="dxa"/>
            <w:tcBorders>
              <w:top w:val="nil"/>
              <w:left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-53 818</w:t>
            </w:r>
          </w:p>
        </w:tc>
      </w:tr>
      <w:tr w:rsidR="003C41BA" w:rsidRPr="0066570B" w:rsidTr="00C42EEA">
        <w:trPr>
          <w:trHeight w:val="283"/>
        </w:trPr>
        <w:tc>
          <w:tcPr>
            <w:tcW w:w="2850" w:type="dxa"/>
            <w:tcBorders>
              <w:top w:val="nil"/>
              <w:left w:val="nil"/>
              <w:bottom w:val="single" w:sz="4" w:space="0" w:color="auto"/>
              <w:right w:val="nil"/>
            </w:tcBorders>
            <w:shd w:val="clear" w:color="auto" w:fill="auto"/>
            <w:noWrap/>
            <w:vAlign w:val="center"/>
            <w:hideMark/>
          </w:tcPr>
          <w:p w:rsidR="003C41BA" w:rsidRDefault="003C41BA" w:rsidP="003C41BA">
            <w:pPr>
              <w:rPr>
                <w:rFonts w:ascii="Arial" w:hAnsi="Arial" w:cs="Arial"/>
                <w:color w:val="000000"/>
                <w:sz w:val="16"/>
                <w:szCs w:val="16"/>
              </w:rPr>
            </w:pPr>
            <w:r>
              <w:rPr>
                <w:rFonts w:ascii="Arial" w:hAnsi="Arial" w:cs="Arial"/>
                <w:color w:val="000000"/>
                <w:sz w:val="16"/>
                <w:szCs w:val="16"/>
              </w:rPr>
              <w:t xml:space="preserve">Wartość księgowa netto  środków trwałych </w:t>
            </w:r>
          </w:p>
        </w:tc>
        <w:tc>
          <w:tcPr>
            <w:tcW w:w="819" w:type="dxa"/>
            <w:tcBorders>
              <w:top w:val="nil"/>
              <w:left w:val="nil"/>
              <w:bottom w:val="single" w:sz="4" w:space="0" w:color="auto"/>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7 083</w:t>
            </w:r>
          </w:p>
        </w:tc>
        <w:tc>
          <w:tcPr>
            <w:tcW w:w="1024" w:type="dxa"/>
            <w:tcBorders>
              <w:top w:val="nil"/>
              <w:left w:val="nil"/>
              <w:bottom w:val="single" w:sz="4" w:space="0" w:color="auto"/>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88 784</w:t>
            </w:r>
          </w:p>
        </w:tc>
        <w:tc>
          <w:tcPr>
            <w:tcW w:w="992" w:type="dxa"/>
            <w:tcBorders>
              <w:top w:val="nil"/>
              <w:left w:val="nil"/>
              <w:bottom w:val="single" w:sz="4" w:space="0" w:color="auto"/>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2 134</w:t>
            </w:r>
          </w:p>
        </w:tc>
        <w:tc>
          <w:tcPr>
            <w:tcW w:w="1095" w:type="dxa"/>
            <w:tcBorders>
              <w:top w:val="nil"/>
              <w:left w:val="nil"/>
              <w:bottom w:val="single" w:sz="4" w:space="0" w:color="auto"/>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253</w:t>
            </w:r>
          </w:p>
        </w:tc>
        <w:tc>
          <w:tcPr>
            <w:tcW w:w="960" w:type="dxa"/>
            <w:tcBorders>
              <w:top w:val="nil"/>
              <w:left w:val="nil"/>
              <w:bottom w:val="single" w:sz="4" w:space="0" w:color="auto"/>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980</w:t>
            </w:r>
          </w:p>
        </w:tc>
        <w:tc>
          <w:tcPr>
            <w:tcW w:w="960" w:type="dxa"/>
            <w:tcBorders>
              <w:top w:val="nil"/>
              <w:left w:val="nil"/>
              <w:bottom w:val="single" w:sz="4" w:space="0" w:color="auto"/>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7 625</w:t>
            </w:r>
          </w:p>
        </w:tc>
        <w:tc>
          <w:tcPr>
            <w:tcW w:w="813" w:type="dxa"/>
            <w:tcBorders>
              <w:top w:val="nil"/>
              <w:left w:val="nil"/>
              <w:bottom w:val="single" w:sz="4" w:space="0" w:color="auto"/>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106 859</w:t>
            </w:r>
          </w:p>
        </w:tc>
      </w:tr>
      <w:tr w:rsidR="003C41BA" w:rsidRPr="0066570B" w:rsidTr="00C42EEA">
        <w:trPr>
          <w:trHeight w:val="283"/>
        </w:trPr>
        <w:tc>
          <w:tcPr>
            <w:tcW w:w="2850" w:type="dxa"/>
            <w:tcBorders>
              <w:top w:val="single" w:sz="4" w:space="0" w:color="auto"/>
              <w:right w:val="nil"/>
            </w:tcBorders>
            <w:shd w:val="clear" w:color="auto" w:fill="auto"/>
            <w:noWrap/>
            <w:vAlign w:val="center"/>
            <w:hideMark/>
          </w:tcPr>
          <w:p w:rsidR="003C41BA" w:rsidRDefault="003C41BA" w:rsidP="003C41BA">
            <w:pPr>
              <w:rPr>
                <w:rFonts w:ascii="Arial" w:hAnsi="Arial" w:cs="Arial"/>
                <w:color w:val="000000"/>
                <w:sz w:val="16"/>
                <w:szCs w:val="16"/>
              </w:rPr>
            </w:pPr>
            <w:r>
              <w:rPr>
                <w:rFonts w:ascii="Arial" w:hAnsi="Arial" w:cs="Arial"/>
                <w:color w:val="000000"/>
                <w:sz w:val="16"/>
                <w:szCs w:val="16"/>
              </w:rPr>
              <w:t xml:space="preserve">      w tym wartość księgowa netto środków trwałych w leasingu</w:t>
            </w:r>
          </w:p>
        </w:tc>
        <w:tc>
          <w:tcPr>
            <w:tcW w:w="819" w:type="dxa"/>
            <w:tcBorders>
              <w:top w:val="single" w:sz="4" w:space="0" w:color="auto"/>
              <w:left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6 764</w:t>
            </w:r>
          </w:p>
        </w:tc>
        <w:tc>
          <w:tcPr>
            <w:tcW w:w="1024" w:type="dxa"/>
            <w:tcBorders>
              <w:top w:val="single" w:sz="4" w:space="0" w:color="auto"/>
              <w:left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649</w:t>
            </w:r>
          </w:p>
        </w:tc>
        <w:tc>
          <w:tcPr>
            <w:tcW w:w="992" w:type="dxa"/>
            <w:tcBorders>
              <w:top w:val="single" w:sz="4" w:space="0" w:color="auto"/>
              <w:left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p>
        </w:tc>
        <w:tc>
          <w:tcPr>
            <w:tcW w:w="1095" w:type="dxa"/>
            <w:tcBorders>
              <w:top w:val="single" w:sz="4" w:space="0" w:color="auto"/>
              <w:left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p>
        </w:tc>
        <w:tc>
          <w:tcPr>
            <w:tcW w:w="960" w:type="dxa"/>
            <w:tcBorders>
              <w:top w:val="single" w:sz="4" w:space="0" w:color="auto"/>
              <w:left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p>
        </w:tc>
        <w:tc>
          <w:tcPr>
            <w:tcW w:w="960" w:type="dxa"/>
            <w:tcBorders>
              <w:top w:val="single" w:sz="4" w:space="0" w:color="auto"/>
              <w:left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p>
        </w:tc>
        <w:tc>
          <w:tcPr>
            <w:tcW w:w="813" w:type="dxa"/>
            <w:tcBorders>
              <w:top w:val="single" w:sz="4" w:space="0" w:color="auto"/>
              <w:lef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7 413</w:t>
            </w:r>
          </w:p>
        </w:tc>
      </w:tr>
      <w:tr w:rsidR="003C41BA" w:rsidRPr="0066570B" w:rsidTr="00C42EEA">
        <w:trPr>
          <w:trHeight w:val="283"/>
        </w:trPr>
        <w:tc>
          <w:tcPr>
            <w:tcW w:w="2850" w:type="dxa"/>
            <w:tcBorders>
              <w:left w:val="nil"/>
              <w:bottom w:val="nil"/>
              <w:right w:val="nil"/>
            </w:tcBorders>
            <w:shd w:val="clear" w:color="auto" w:fill="auto"/>
            <w:noWrap/>
            <w:vAlign w:val="center"/>
            <w:hideMark/>
          </w:tcPr>
          <w:p w:rsidR="003C41BA" w:rsidRDefault="003C41BA" w:rsidP="003C41BA">
            <w:pPr>
              <w:rPr>
                <w:rFonts w:ascii="Arial" w:hAnsi="Arial" w:cs="Arial"/>
                <w:b/>
                <w:bCs/>
                <w:color w:val="000000"/>
                <w:sz w:val="16"/>
                <w:szCs w:val="16"/>
              </w:rPr>
            </w:pPr>
          </w:p>
        </w:tc>
        <w:tc>
          <w:tcPr>
            <w:tcW w:w="819" w:type="dxa"/>
            <w:tcBorders>
              <w:left w:val="nil"/>
              <w:bottom w:val="nil"/>
              <w:right w:val="nil"/>
            </w:tcBorders>
            <w:shd w:val="clear" w:color="auto" w:fill="auto"/>
            <w:noWrap/>
            <w:vAlign w:val="center"/>
            <w:hideMark/>
          </w:tcPr>
          <w:p w:rsidR="003C41BA" w:rsidRDefault="003C41BA" w:rsidP="003C41BA">
            <w:pPr>
              <w:jc w:val="right"/>
              <w:rPr>
                <w:rFonts w:ascii="Arial" w:hAnsi="Arial" w:cs="Arial"/>
                <w:b/>
                <w:bCs/>
                <w:color w:val="000000"/>
                <w:sz w:val="16"/>
                <w:szCs w:val="16"/>
              </w:rPr>
            </w:pPr>
          </w:p>
        </w:tc>
        <w:tc>
          <w:tcPr>
            <w:tcW w:w="1024" w:type="dxa"/>
            <w:tcBorders>
              <w:left w:val="nil"/>
              <w:bottom w:val="nil"/>
              <w:right w:val="nil"/>
            </w:tcBorders>
            <w:shd w:val="clear" w:color="auto" w:fill="auto"/>
            <w:noWrap/>
            <w:vAlign w:val="center"/>
            <w:hideMark/>
          </w:tcPr>
          <w:p w:rsidR="003C41BA" w:rsidRDefault="003C41BA" w:rsidP="003C41BA">
            <w:pPr>
              <w:jc w:val="right"/>
              <w:rPr>
                <w:rFonts w:ascii="Arial" w:hAnsi="Arial" w:cs="Arial"/>
                <w:b/>
                <w:bCs/>
                <w:color w:val="000000"/>
                <w:sz w:val="16"/>
                <w:szCs w:val="16"/>
              </w:rPr>
            </w:pPr>
          </w:p>
        </w:tc>
        <w:tc>
          <w:tcPr>
            <w:tcW w:w="992" w:type="dxa"/>
            <w:tcBorders>
              <w:left w:val="nil"/>
              <w:bottom w:val="nil"/>
              <w:right w:val="nil"/>
            </w:tcBorders>
            <w:shd w:val="clear" w:color="auto" w:fill="auto"/>
            <w:noWrap/>
            <w:vAlign w:val="center"/>
            <w:hideMark/>
          </w:tcPr>
          <w:p w:rsidR="003C41BA" w:rsidRDefault="003C41BA" w:rsidP="003C41BA">
            <w:pPr>
              <w:jc w:val="right"/>
              <w:rPr>
                <w:rFonts w:ascii="Arial" w:hAnsi="Arial" w:cs="Arial"/>
                <w:b/>
                <w:bCs/>
                <w:color w:val="000000"/>
                <w:sz w:val="16"/>
                <w:szCs w:val="16"/>
              </w:rPr>
            </w:pPr>
          </w:p>
        </w:tc>
        <w:tc>
          <w:tcPr>
            <w:tcW w:w="1095" w:type="dxa"/>
            <w:tcBorders>
              <w:left w:val="nil"/>
              <w:bottom w:val="nil"/>
              <w:right w:val="nil"/>
            </w:tcBorders>
            <w:shd w:val="clear" w:color="auto" w:fill="auto"/>
            <w:noWrap/>
            <w:vAlign w:val="center"/>
            <w:hideMark/>
          </w:tcPr>
          <w:p w:rsidR="003C41BA" w:rsidRDefault="003C41BA" w:rsidP="003C41BA">
            <w:pPr>
              <w:jc w:val="right"/>
              <w:rPr>
                <w:rFonts w:ascii="Arial" w:hAnsi="Arial" w:cs="Arial"/>
                <w:b/>
                <w:bCs/>
                <w:color w:val="000000"/>
                <w:sz w:val="16"/>
                <w:szCs w:val="16"/>
              </w:rPr>
            </w:pPr>
          </w:p>
        </w:tc>
        <w:tc>
          <w:tcPr>
            <w:tcW w:w="960" w:type="dxa"/>
            <w:tcBorders>
              <w:left w:val="nil"/>
              <w:bottom w:val="nil"/>
              <w:right w:val="nil"/>
            </w:tcBorders>
            <w:shd w:val="clear" w:color="auto" w:fill="auto"/>
            <w:noWrap/>
            <w:vAlign w:val="center"/>
            <w:hideMark/>
          </w:tcPr>
          <w:p w:rsidR="003C41BA" w:rsidRDefault="003C41BA" w:rsidP="003C41BA">
            <w:pPr>
              <w:jc w:val="right"/>
              <w:rPr>
                <w:rFonts w:ascii="Arial" w:hAnsi="Arial" w:cs="Arial"/>
                <w:b/>
                <w:bCs/>
                <w:color w:val="000000"/>
                <w:sz w:val="16"/>
                <w:szCs w:val="16"/>
              </w:rPr>
            </w:pPr>
          </w:p>
        </w:tc>
        <w:tc>
          <w:tcPr>
            <w:tcW w:w="960" w:type="dxa"/>
            <w:tcBorders>
              <w:left w:val="nil"/>
              <w:bottom w:val="nil"/>
              <w:right w:val="nil"/>
            </w:tcBorders>
            <w:shd w:val="clear" w:color="auto" w:fill="auto"/>
            <w:noWrap/>
            <w:vAlign w:val="center"/>
            <w:hideMark/>
          </w:tcPr>
          <w:p w:rsidR="003C41BA" w:rsidRDefault="003C41BA" w:rsidP="003C41BA">
            <w:pPr>
              <w:jc w:val="right"/>
              <w:rPr>
                <w:rFonts w:ascii="Arial" w:hAnsi="Arial" w:cs="Arial"/>
                <w:b/>
                <w:bCs/>
                <w:color w:val="000000"/>
                <w:sz w:val="16"/>
                <w:szCs w:val="16"/>
              </w:rPr>
            </w:pPr>
          </w:p>
        </w:tc>
        <w:tc>
          <w:tcPr>
            <w:tcW w:w="813" w:type="dxa"/>
            <w:tcBorders>
              <w:left w:val="nil"/>
              <w:bottom w:val="nil"/>
              <w:right w:val="nil"/>
            </w:tcBorders>
            <w:shd w:val="clear" w:color="auto" w:fill="auto"/>
            <w:noWrap/>
            <w:vAlign w:val="center"/>
            <w:hideMark/>
          </w:tcPr>
          <w:p w:rsidR="003C41BA" w:rsidRDefault="003C41BA" w:rsidP="003C41BA">
            <w:pPr>
              <w:jc w:val="right"/>
              <w:rPr>
                <w:rFonts w:ascii="Arial" w:hAnsi="Arial" w:cs="Arial"/>
                <w:b/>
                <w:bCs/>
                <w:color w:val="000000"/>
                <w:sz w:val="16"/>
                <w:szCs w:val="16"/>
              </w:rPr>
            </w:pPr>
          </w:p>
        </w:tc>
      </w:tr>
      <w:tr w:rsidR="003C41BA" w:rsidRPr="0066570B" w:rsidTr="00C42EEA">
        <w:trPr>
          <w:trHeight w:val="283"/>
        </w:trPr>
        <w:tc>
          <w:tcPr>
            <w:tcW w:w="2850" w:type="dxa"/>
            <w:tcBorders>
              <w:top w:val="nil"/>
              <w:left w:val="nil"/>
              <w:bottom w:val="nil"/>
              <w:right w:val="nil"/>
            </w:tcBorders>
            <w:shd w:val="clear" w:color="auto" w:fill="auto"/>
            <w:noWrap/>
            <w:vAlign w:val="center"/>
            <w:hideMark/>
          </w:tcPr>
          <w:p w:rsidR="003C41BA" w:rsidRDefault="003C41BA" w:rsidP="003C41BA">
            <w:pPr>
              <w:rPr>
                <w:rFonts w:ascii="Arial" w:hAnsi="Arial" w:cs="Arial"/>
                <w:b/>
                <w:bCs/>
                <w:color w:val="000000"/>
                <w:sz w:val="16"/>
                <w:szCs w:val="16"/>
              </w:rPr>
            </w:pPr>
            <w:r>
              <w:rPr>
                <w:rFonts w:ascii="Arial" w:hAnsi="Arial" w:cs="Arial"/>
                <w:b/>
                <w:bCs/>
                <w:color w:val="000000"/>
                <w:sz w:val="16"/>
                <w:szCs w:val="16"/>
              </w:rPr>
              <w:t>Zmiany w III kwartałach 2020 r.</w:t>
            </w:r>
          </w:p>
        </w:tc>
        <w:tc>
          <w:tcPr>
            <w:tcW w:w="819"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p>
        </w:tc>
        <w:tc>
          <w:tcPr>
            <w:tcW w:w="1024"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p>
        </w:tc>
        <w:tc>
          <w:tcPr>
            <w:tcW w:w="1095"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p>
        </w:tc>
        <w:tc>
          <w:tcPr>
            <w:tcW w:w="813"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p>
        </w:tc>
      </w:tr>
      <w:tr w:rsidR="003C41BA" w:rsidRPr="0066570B" w:rsidTr="00C42EEA">
        <w:trPr>
          <w:trHeight w:val="283"/>
        </w:trPr>
        <w:tc>
          <w:tcPr>
            <w:tcW w:w="2850" w:type="dxa"/>
            <w:tcBorders>
              <w:top w:val="nil"/>
              <w:left w:val="nil"/>
              <w:bottom w:val="nil"/>
              <w:right w:val="nil"/>
            </w:tcBorders>
            <w:shd w:val="clear" w:color="auto" w:fill="auto"/>
            <w:noWrap/>
            <w:vAlign w:val="center"/>
            <w:hideMark/>
          </w:tcPr>
          <w:p w:rsidR="003C41BA" w:rsidRDefault="003C41BA" w:rsidP="003C41BA">
            <w:pPr>
              <w:rPr>
                <w:rFonts w:ascii="Arial" w:hAnsi="Arial" w:cs="Arial"/>
                <w:color w:val="000000"/>
                <w:sz w:val="16"/>
                <w:szCs w:val="16"/>
              </w:rPr>
            </w:pPr>
            <w:r>
              <w:rPr>
                <w:rFonts w:ascii="Arial" w:hAnsi="Arial" w:cs="Arial"/>
                <w:color w:val="000000"/>
                <w:sz w:val="16"/>
                <w:szCs w:val="16"/>
              </w:rPr>
              <w:t>Rozliczenie środków trwałych</w:t>
            </w:r>
          </w:p>
        </w:tc>
        <w:tc>
          <w:tcPr>
            <w:tcW w:w="819"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w:t>
            </w:r>
          </w:p>
        </w:tc>
        <w:tc>
          <w:tcPr>
            <w:tcW w:w="1024"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790</w:t>
            </w:r>
          </w:p>
        </w:tc>
        <w:tc>
          <w:tcPr>
            <w:tcW w:w="992"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43</w:t>
            </w:r>
          </w:p>
        </w:tc>
        <w:tc>
          <w:tcPr>
            <w:tcW w:w="1095"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w:t>
            </w:r>
          </w:p>
        </w:tc>
        <w:tc>
          <w:tcPr>
            <w:tcW w:w="960"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w:t>
            </w:r>
          </w:p>
        </w:tc>
        <w:tc>
          <w:tcPr>
            <w:tcW w:w="960"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-833</w:t>
            </w:r>
          </w:p>
        </w:tc>
        <w:tc>
          <w:tcPr>
            <w:tcW w:w="813"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w:t>
            </w:r>
          </w:p>
        </w:tc>
      </w:tr>
      <w:tr w:rsidR="003C41BA" w:rsidRPr="0066570B" w:rsidTr="00C42EEA">
        <w:trPr>
          <w:trHeight w:val="283"/>
        </w:trPr>
        <w:tc>
          <w:tcPr>
            <w:tcW w:w="2850" w:type="dxa"/>
            <w:tcBorders>
              <w:top w:val="nil"/>
              <w:left w:val="nil"/>
              <w:bottom w:val="nil"/>
              <w:right w:val="nil"/>
            </w:tcBorders>
            <w:shd w:val="clear" w:color="auto" w:fill="auto"/>
            <w:noWrap/>
            <w:vAlign w:val="center"/>
            <w:hideMark/>
          </w:tcPr>
          <w:p w:rsidR="003C41BA" w:rsidRDefault="003C41BA" w:rsidP="003C41BA">
            <w:pPr>
              <w:rPr>
                <w:rFonts w:ascii="Arial" w:hAnsi="Arial" w:cs="Arial"/>
                <w:color w:val="000000"/>
                <w:sz w:val="16"/>
                <w:szCs w:val="16"/>
              </w:rPr>
            </w:pPr>
            <w:r>
              <w:rPr>
                <w:rFonts w:ascii="Arial" w:hAnsi="Arial" w:cs="Arial"/>
                <w:color w:val="000000"/>
                <w:sz w:val="16"/>
                <w:szCs w:val="16"/>
              </w:rPr>
              <w:t xml:space="preserve"> w budowie</w:t>
            </w:r>
          </w:p>
        </w:tc>
        <w:tc>
          <w:tcPr>
            <w:tcW w:w="819"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p>
        </w:tc>
        <w:tc>
          <w:tcPr>
            <w:tcW w:w="1024"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p>
        </w:tc>
        <w:tc>
          <w:tcPr>
            <w:tcW w:w="1095"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p>
        </w:tc>
        <w:tc>
          <w:tcPr>
            <w:tcW w:w="813"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p>
        </w:tc>
      </w:tr>
      <w:tr w:rsidR="003C41BA" w:rsidRPr="0066570B" w:rsidTr="00C42EEA">
        <w:trPr>
          <w:trHeight w:val="283"/>
        </w:trPr>
        <w:tc>
          <w:tcPr>
            <w:tcW w:w="2850" w:type="dxa"/>
            <w:tcBorders>
              <w:top w:val="nil"/>
              <w:left w:val="nil"/>
              <w:bottom w:val="nil"/>
              <w:right w:val="nil"/>
            </w:tcBorders>
            <w:shd w:val="clear" w:color="auto" w:fill="auto"/>
            <w:noWrap/>
            <w:vAlign w:val="center"/>
            <w:hideMark/>
          </w:tcPr>
          <w:p w:rsidR="003C41BA" w:rsidRDefault="003C41BA" w:rsidP="003C41BA">
            <w:pPr>
              <w:rPr>
                <w:rFonts w:ascii="Arial" w:hAnsi="Arial" w:cs="Arial"/>
                <w:color w:val="000000"/>
                <w:sz w:val="16"/>
                <w:szCs w:val="16"/>
              </w:rPr>
            </w:pPr>
            <w:r>
              <w:rPr>
                <w:rFonts w:ascii="Arial" w:hAnsi="Arial" w:cs="Arial"/>
                <w:color w:val="000000"/>
                <w:sz w:val="16"/>
                <w:szCs w:val="16"/>
              </w:rPr>
              <w:t>Zakup bezpośredni</w:t>
            </w:r>
          </w:p>
        </w:tc>
        <w:tc>
          <w:tcPr>
            <w:tcW w:w="819"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w:t>
            </w:r>
          </w:p>
        </w:tc>
        <w:tc>
          <w:tcPr>
            <w:tcW w:w="1024"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w:t>
            </w:r>
          </w:p>
        </w:tc>
        <w:tc>
          <w:tcPr>
            <w:tcW w:w="992"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37</w:t>
            </w:r>
          </w:p>
        </w:tc>
        <w:tc>
          <w:tcPr>
            <w:tcW w:w="1095"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w:t>
            </w:r>
          </w:p>
        </w:tc>
        <w:tc>
          <w:tcPr>
            <w:tcW w:w="960"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67</w:t>
            </w:r>
          </w:p>
        </w:tc>
        <w:tc>
          <w:tcPr>
            <w:tcW w:w="960"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36 463</w:t>
            </w:r>
          </w:p>
        </w:tc>
        <w:tc>
          <w:tcPr>
            <w:tcW w:w="813"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36 567</w:t>
            </w:r>
          </w:p>
        </w:tc>
      </w:tr>
      <w:tr w:rsidR="003C41BA" w:rsidRPr="0066570B" w:rsidTr="00C42EEA">
        <w:trPr>
          <w:trHeight w:val="283"/>
        </w:trPr>
        <w:tc>
          <w:tcPr>
            <w:tcW w:w="2850" w:type="dxa"/>
            <w:tcBorders>
              <w:top w:val="nil"/>
              <w:left w:val="nil"/>
              <w:bottom w:val="nil"/>
              <w:right w:val="nil"/>
            </w:tcBorders>
            <w:shd w:val="clear" w:color="auto" w:fill="auto"/>
            <w:noWrap/>
            <w:vAlign w:val="center"/>
            <w:hideMark/>
          </w:tcPr>
          <w:p w:rsidR="003C41BA" w:rsidRDefault="003C41BA" w:rsidP="003C41BA">
            <w:pPr>
              <w:rPr>
                <w:rFonts w:ascii="Arial" w:hAnsi="Arial" w:cs="Arial"/>
                <w:color w:val="000000"/>
                <w:sz w:val="16"/>
                <w:szCs w:val="16"/>
              </w:rPr>
            </w:pPr>
            <w:r>
              <w:rPr>
                <w:rFonts w:ascii="Arial" w:hAnsi="Arial" w:cs="Arial"/>
                <w:color w:val="000000"/>
                <w:sz w:val="16"/>
                <w:szCs w:val="16"/>
              </w:rPr>
              <w:t>Zbycie</w:t>
            </w:r>
          </w:p>
        </w:tc>
        <w:tc>
          <w:tcPr>
            <w:tcW w:w="819"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w:t>
            </w:r>
          </w:p>
        </w:tc>
        <w:tc>
          <w:tcPr>
            <w:tcW w:w="1024"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w:t>
            </w:r>
          </w:p>
        </w:tc>
        <w:tc>
          <w:tcPr>
            <w:tcW w:w="992"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0</w:t>
            </w:r>
          </w:p>
        </w:tc>
        <w:tc>
          <w:tcPr>
            <w:tcW w:w="1095"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w:t>
            </w:r>
          </w:p>
        </w:tc>
        <w:tc>
          <w:tcPr>
            <w:tcW w:w="960"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w:t>
            </w:r>
          </w:p>
        </w:tc>
        <w:tc>
          <w:tcPr>
            <w:tcW w:w="960" w:type="dxa"/>
            <w:tcBorders>
              <w:top w:val="nil"/>
              <w:left w:val="nil"/>
              <w:bottom w:val="nil"/>
              <w:right w:val="nil"/>
            </w:tcBorders>
            <w:shd w:val="clear" w:color="auto" w:fill="auto"/>
            <w:noWrap/>
            <w:vAlign w:val="center"/>
            <w:hideMark/>
          </w:tcPr>
          <w:p w:rsidR="003C41BA" w:rsidRPr="003C0E18" w:rsidRDefault="003C41BA" w:rsidP="003C41BA">
            <w:pPr>
              <w:jc w:val="right"/>
              <w:rPr>
                <w:rFonts w:ascii="Arial" w:hAnsi="Arial" w:cs="Arial"/>
                <w:color w:val="000000"/>
                <w:sz w:val="16"/>
                <w:szCs w:val="16"/>
              </w:rPr>
            </w:pPr>
            <w:r w:rsidRPr="001E57B5">
              <w:rPr>
                <w:rFonts w:ascii="Arial" w:hAnsi="Arial" w:cs="Arial"/>
                <w:color w:val="000000"/>
                <w:sz w:val="16"/>
                <w:szCs w:val="16"/>
              </w:rPr>
              <w:t>-</w:t>
            </w:r>
          </w:p>
        </w:tc>
        <w:tc>
          <w:tcPr>
            <w:tcW w:w="813"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w:t>
            </w:r>
          </w:p>
        </w:tc>
      </w:tr>
      <w:tr w:rsidR="003C41BA" w:rsidRPr="0066570B" w:rsidTr="00C42EEA">
        <w:trPr>
          <w:trHeight w:val="283"/>
        </w:trPr>
        <w:tc>
          <w:tcPr>
            <w:tcW w:w="2850" w:type="dxa"/>
            <w:tcBorders>
              <w:top w:val="nil"/>
              <w:left w:val="nil"/>
              <w:bottom w:val="nil"/>
              <w:right w:val="nil"/>
            </w:tcBorders>
            <w:shd w:val="clear" w:color="auto" w:fill="auto"/>
            <w:noWrap/>
            <w:vAlign w:val="center"/>
            <w:hideMark/>
          </w:tcPr>
          <w:p w:rsidR="003C41BA" w:rsidRDefault="003C41BA" w:rsidP="003C41BA">
            <w:pPr>
              <w:rPr>
                <w:rFonts w:ascii="Arial" w:hAnsi="Arial" w:cs="Arial"/>
                <w:color w:val="000000"/>
                <w:sz w:val="16"/>
                <w:szCs w:val="16"/>
              </w:rPr>
            </w:pPr>
            <w:r>
              <w:rPr>
                <w:rFonts w:ascii="Arial" w:hAnsi="Arial" w:cs="Arial"/>
                <w:color w:val="000000"/>
                <w:sz w:val="16"/>
                <w:szCs w:val="16"/>
              </w:rPr>
              <w:t>Likwidacja lub spisanie z ewidencji</w:t>
            </w:r>
          </w:p>
        </w:tc>
        <w:tc>
          <w:tcPr>
            <w:tcW w:w="819"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w:t>
            </w:r>
          </w:p>
        </w:tc>
        <w:tc>
          <w:tcPr>
            <w:tcW w:w="1024"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-1 549</w:t>
            </w:r>
          </w:p>
        </w:tc>
        <w:tc>
          <w:tcPr>
            <w:tcW w:w="992"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-520</w:t>
            </w:r>
          </w:p>
        </w:tc>
        <w:tc>
          <w:tcPr>
            <w:tcW w:w="1095"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-3</w:t>
            </w:r>
          </w:p>
        </w:tc>
        <w:tc>
          <w:tcPr>
            <w:tcW w:w="960"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-425</w:t>
            </w:r>
          </w:p>
        </w:tc>
        <w:tc>
          <w:tcPr>
            <w:tcW w:w="960" w:type="dxa"/>
            <w:tcBorders>
              <w:top w:val="nil"/>
              <w:left w:val="nil"/>
              <w:bottom w:val="nil"/>
              <w:right w:val="nil"/>
            </w:tcBorders>
            <w:shd w:val="clear" w:color="auto" w:fill="auto"/>
            <w:noWrap/>
            <w:vAlign w:val="center"/>
            <w:hideMark/>
          </w:tcPr>
          <w:p w:rsidR="003C41BA" w:rsidRPr="003C0E18" w:rsidRDefault="003C41BA" w:rsidP="003C41BA">
            <w:pPr>
              <w:jc w:val="right"/>
              <w:rPr>
                <w:rFonts w:ascii="Arial" w:hAnsi="Arial" w:cs="Arial"/>
                <w:color w:val="000000"/>
                <w:sz w:val="16"/>
                <w:szCs w:val="16"/>
              </w:rPr>
            </w:pPr>
            <w:r w:rsidRPr="001E57B5">
              <w:rPr>
                <w:rFonts w:ascii="Arial" w:hAnsi="Arial" w:cs="Arial"/>
                <w:color w:val="000000"/>
                <w:sz w:val="16"/>
                <w:szCs w:val="16"/>
              </w:rPr>
              <w:t>-</w:t>
            </w:r>
          </w:p>
        </w:tc>
        <w:tc>
          <w:tcPr>
            <w:tcW w:w="813"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-2 497</w:t>
            </w:r>
          </w:p>
        </w:tc>
      </w:tr>
      <w:tr w:rsidR="003C41BA" w:rsidRPr="0066570B" w:rsidTr="00C42EEA">
        <w:trPr>
          <w:trHeight w:val="283"/>
        </w:trPr>
        <w:tc>
          <w:tcPr>
            <w:tcW w:w="2850" w:type="dxa"/>
            <w:tcBorders>
              <w:top w:val="nil"/>
              <w:left w:val="nil"/>
              <w:bottom w:val="nil"/>
              <w:right w:val="nil"/>
            </w:tcBorders>
            <w:shd w:val="clear" w:color="auto" w:fill="auto"/>
            <w:noWrap/>
            <w:vAlign w:val="center"/>
            <w:hideMark/>
          </w:tcPr>
          <w:p w:rsidR="003C41BA" w:rsidRDefault="003C41BA" w:rsidP="003C41BA">
            <w:pPr>
              <w:rPr>
                <w:rFonts w:ascii="Arial" w:hAnsi="Arial" w:cs="Arial"/>
                <w:color w:val="000000"/>
                <w:sz w:val="16"/>
                <w:szCs w:val="16"/>
              </w:rPr>
            </w:pPr>
            <w:r>
              <w:rPr>
                <w:rFonts w:ascii="Arial" w:hAnsi="Arial" w:cs="Arial"/>
                <w:color w:val="000000"/>
                <w:sz w:val="16"/>
                <w:szCs w:val="16"/>
              </w:rPr>
              <w:t>Amortyzacja</w:t>
            </w:r>
          </w:p>
        </w:tc>
        <w:tc>
          <w:tcPr>
            <w:tcW w:w="819"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w:t>
            </w:r>
          </w:p>
        </w:tc>
        <w:tc>
          <w:tcPr>
            <w:tcW w:w="1024"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-2 015</w:t>
            </w:r>
          </w:p>
        </w:tc>
        <w:tc>
          <w:tcPr>
            <w:tcW w:w="992"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-405</w:t>
            </w:r>
          </w:p>
        </w:tc>
        <w:tc>
          <w:tcPr>
            <w:tcW w:w="1095"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-15</w:t>
            </w:r>
          </w:p>
        </w:tc>
        <w:tc>
          <w:tcPr>
            <w:tcW w:w="960"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-349</w:t>
            </w:r>
          </w:p>
        </w:tc>
        <w:tc>
          <w:tcPr>
            <w:tcW w:w="960" w:type="dxa"/>
            <w:tcBorders>
              <w:top w:val="nil"/>
              <w:left w:val="nil"/>
              <w:bottom w:val="nil"/>
              <w:right w:val="nil"/>
            </w:tcBorders>
            <w:shd w:val="clear" w:color="auto" w:fill="auto"/>
            <w:noWrap/>
            <w:vAlign w:val="center"/>
            <w:hideMark/>
          </w:tcPr>
          <w:p w:rsidR="003C41BA" w:rsidRPr="003C0E18" w:rsidRDefault="003C41BA" w:rsidP="003C41BA">
            <w:pPr>
              <w:jc w:val="right"/>
              <w:rPr>
                <w:rFonts w:ascii="Arial" w:hAnsi="Arial" w:cs="Arial"/>
                <w:color w:val="000000"/>
                <w:sz w:val="16"/>
                <w:szCs w:val="16"/>
              </w:rPr>
            </w:pPr>
            <w:r w:rsidRPr="001E57B5">
              <w:rPr>
                <w:rFonts w:ascii="Arial" w:hAnsi="Arial" w:cs="Arial"/>
                <w:color w:val="000000"/>
                <w:sz w:val="16"/>
                <w:szCs w:val="16"/>
              </w:rPr>
              <w:t>-</w:t>
            </w:r>
          </w:p>
        </w:tc>
        <w:tc>
          <w:tcPr>
            <w:tcW w:w="813"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-2 784</w:t>
            </w:r>
          </w:p>
        </w:tc>
      </w:tr>
      <w:tr w:rsidR="003C41BA" w:rsidRPr="0066570B" w:rsidTr="00C42EEA">
        <w:trPr>
          <w:trHeight w:val="283"/>
        </w:trPr>
        <w:tc>
          <w:tcPr>
            <w:tcW w:w="2850" w:type="dxa"/>
            <w:tcBorders>
              <w:top w:val="nil"/>
              <w:left w:val="nil"/>
              <w:bottom w:val="nil"/>
              <w:right w:val="nil"/>
            </w:tcBorders>
            <w:shd w:val="clear" w:color="auto" w:fill="auto"/>
            <w:noWrap/>
            <w:vAlign w:val="center"/>
            <w:hideMark/>
          </w:tcPr>
          <w:p w:rsidR="003C41BA" w:rsidRDefault="003C41BA" w:rsidP="003C41BA">
            <w:pPr>
              <w:rPr>
                <w:rFonts w:ascii="Arial" w:hAnsi="Arial" w:cs="Arial"/>
                <w:color w:val="000000"/>
                <w:sz w:val="16"/>
                <w:szCs w:val="16"/>
              </w:rPr>
            </w:pPr>
            <w:r>
              <w:rPr>
                <w:rFonts w:ascii="Arial" w:hAnsi="Arial" w:cs="Arial"/>
                <w:color w:val="000000"/>
                <w:sz w:val="16"/>
                <w:szCs w:val="16"/>
              </w:rPr>
              <w:t xml:space="preserve">        w tym amortyzacja środków trwałych w leasingu</w:t>
            </w:r>
          </w:p>
        </w:tc>
        <w:tc>
          <w:tcPr>
            <w:tcW w:w="819"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w:t>
            </w:r>
          </w:p>
        </w:tc>
        <w:tc>
          <w:tcPr>
            <w:tcW w:w="1024"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-172</w:t>
            </w:r>
          </w:p>
        </w:tc>
        <w:tc>
          <w:tcPr>
            <w:tcW w:w="992"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w:t>
            </w:r>
          </w:p>
        </w:tc>
        <w:tc>
          <w:tcPr>
            <w:tcW w:w="1095"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w:t>
            </w:r>
          </w:p>
        </w:tc>
        <w:tc>
          <w:tcPr>
            <w:tcW w:w="960"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0</w:t>
            </w:r>
          </w:p>
        </w:tc>
        <w:tc>
          <w:tcPr>
            <w:tcW w:w="960" w:type="dxa"/>
            <w:tcBorders>
              <w:top w:val="nil"/>
              <w:left w:val="nil"/>
              <w:bottom w:val="nil"/>
              <w:right w:val="nil"/>
            </w:tcBorders>
            <w:shd w:val="clear" w:color="auto" w:fill="auto"/>
            <w:noWrap/>
            <w:vAlign w:val="center"/>
            <w:hideMark/>
          </w:tcPr>
          <w:p w:rsidR="003C41BA" w:rsidRPr="003C0E18" w:rsidRDefault="003C41BA" w:rsidP="003C41BA">
            <w:pPr>
              <w:jc w:val="right"/>
              <w:rPr>
                <w:rFonts w:ascii="Arial" w:hAnsi="Arial" w:cs="Arial"/>
                <w:color w:val="000000"/>
                <w:sz w:val="16"/>
                <w:szCs w:val="16"/>
              </w:rPr>
            </w:pPr>
            <w:r w:rsidRPr="001E57B5">
              <w:rPr>
                <w:rFonts w:ascii="Arial" w:hAnsi="Arial" w:cs="Arial"/>
                <w:color w:val="000000"/>
                <w:sz w:val="16"/>
                <w:szCs w:val="16"/>
              </w:rPr>
              <w:t>-</w:t>
            </w:r>
          </w:p>
        </w:tc>
        <w:tc>
          <w:tcPr>
            <w:tcW w:w="813"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-172</w:t>
            </w:r>
          </w:p>
        </w:tc>
      </w:tr>
      <w:tr w:rsidR="003C41BA" w:rsidRPr="0066570B" w:rsidTr="00C42EEA">
        <w:trPr>
          <w:trHeight w:val="283"/>
        </w:trPr>
        <w:tc>
          <w:tcPr>
            <w:tcW w:w="2850" w:type="dxa"/>
            <w:tcBorders>
              <w:top w:val="nil"/>
              <w:left w:val="nil"/>
              <w:bottom w:val="nil"/>
              <w:right w:val="nil"/>
            </w:tcBorders>
            <w:shd w:val="clear" w:color="auto" w:fill="auto"/>
            <w:noWrap/>
            <w:vAlign w:val="center"/>
            <w:hideMark/>
          </w:tcPr>
          <w:p w:rsidR="003C41BA" w:rsidRDefault="003C41BA" w:rsidP="003C41BA">
            <w:pPr>
              <w:rPr>
                <w:rFonts w:ascii="Arial" w:hAnsi="Arial" w:cs="Arial"/>
                <w:color w:val="000000"/>
                <w:sz w:val="16"/>
                <w:szCs w:val="16"/>
              </w:rPr>
            </w:pPr>
            <w:r>
              <w:rPr>
                <w:rFonts w:ascii="Arial" w:hAnsi="Arial" w:cs="Arial"/>
                <w:color w:val="000000"/>
                <w:sz w:val="16"/>
                <w:szCs w:val="16"/>
              </w:rPr>
              <w:t>Zmniejszenie umorzenia z tytułu likwidacji, sprzedaży i inne</w:t>
            </w:r>
          </w:p>
        </w:tc>
        <w:tc>
          <w:tcPr>
            <w:tcW w:w="819"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w:t>
            </w:r>
          </w:p>
        </w:tc>
        <w:tc>
          <w:tcPr>
            <w:tcW w:w="1024"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485</w:t>
            </w:r>
          </w:p>
        </w:tc>
        <w:tc>
          <w:tcPr>
            <w:tcW w:w="992"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427</w:t>
            </w:r>
          </w:p>
        </w:tc>
        <w:tc>
          <w:tcPr>
            <w:tcW w:w="1095"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3</w:t>
            </w:r>
          </w:p>
        </w:tc>
        <w:tc>
          <w:tcPr>
            <w:tcW w:w="960"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423</w:t>
            </w:r>
          </w:p>
        </w:tc>
        <w:tc>
          <w:tcPr>
            <w:tcW w:w="960" w:type="dxa"/>
            <w:tcBorders>
              <w:top w:val="nil"/>
              <w:left w:val="nil"/>
              <w:bottom w:val="nil"/>
              <w:right w:val="nil"/>
            </w:tcBorders>
            <w:shd w:val="clear" w:color="auto" w:fill="auto"/>
            <w:noWrap/>
            <w:vAlign w:val="center"/>
            <w:hideMark/>
          </w:tcPr>
          <w:p w:rsidR="003C41BA" w:rsidRPr="003C0E18" w:rsidRDefault="003C41BA" w:rsidP="003C41BA">
            <w:pPr>
              <w:jc w:val="right"/>
              <w:rPr>
                <w:rFonts w:ascii="Arial" w:hAnsi="Arial" w:cs="Arial"/>
                <w:color w:val="000000"/>
                <w:sz w:val="16"/>
                <w:szCs w:val="16"/>
              </w:rPr>
            </w:pPr>
            <w:r w:rsidRPr="001E57B5">
              <w:rPr>
                <w:rFonts w:ascii="Arial" w:hAnsi="Arial" w:cs="Arial"/>
                <w:color w:val="000000"/>
                <w:sz w:val="16"/>
                <w:szCs w:val="16"/>
              </w:rPr>
              <w:t>-</w:t>
            </w:r>
          </w:p>
        </w:tc>
        <w:tc>
          <w:tcPr>
            <w:tcW w:w="813"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1 338</w:t>
            </w:r>
          </w:p>
        </w:tc>
      </w:tr>
      <w:tr w:rsidR="003C41BA" w:rsidRPr="0066570B" w:rsidTr="00C42EEA">
        <w:trPr>
          <w:trHeight w:val="283"/>
        </w:trPr>
        <w:tc>
          <w:tcPr>
            <w:tcW w:w="2850" w:type="dxa"/>
            <w:tcBorders>
              <w:top w:val="nil"/>
              <w:left w:val="nil"/>
              <w:bottom w:val="single" w:sz="4" w:space="0" w:color="auto"/>
              <w:right w:val="nil"/>
            </w:tcBorders>
            <w:shd w:val="clear" w:color="auto" w:fill="auto"/>
            <w:noWrap/>
            <w:vAlign w:val="bottom"/>
            <w:hideMark/>
          </w:tcPr>
          <w:p w:rsidR="003C41BA" w:rsidRDefault="003C41BA" w:rsidP="003C41BA">
            <w:pPr>
              <w:rPr>
                <w:rFonts w:ascii="Arial" w:hAnsi="Arial" w:cs="Arial"/>
                <w:color w:val="000000"/>
                <w:sz w:val="16"/>
                <w:szCs w:val="16"/>
              </w:rPr>
            </w:pPr>
            <w:r>
              <w:rPr>
                <w:rFonts w:ascii="Arial" w:hAnsi="Arial" w:cs="Arial"/>
                <w:color w:val="000000"/>
                <w:sz w:val="16"/>
                <w:szCs w:val="16"/>
              </w:rPr>
              <w:t> </w:t>
            </w:r>
          </w:p>
        </w:tc>
        <w:tc>
          <w:tcPr>
            <w:tcW w:w="819" w:type="dxa"/>
            <w:tcBorders>
              <w:top w:val="nil"/>
              <w:left w:val="nil"/>
              <w:bottom w:val="single" w:sz="4" w:space="0" w:color="auto"/>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 </w:t>
            </w:r>
          </w:p>
        </w:tc>
        <w:tc>
          <w:tcPr>
            <w:tcW w:w="1024" w:type="dxa"/>
            <w:tcBorders>
              <w:top w:val="nil"/>
              <w:left w:val="nil"/>
              <w:bottom w:val="single" w:sz="4" w:space="0" w:color="auto"/>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auto"/>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 </w:t>
            </w:r>
          </w:p>
        </w:tc>
        <w:tc>
          <w:tcPr>
            <w:tcW w:w="1095" w:type="dxa"/>
            <w:tcBorders>
              <w:top w:val="nil"/>
              <w:left w:val="nil"/>
              <w:bottom w:val="single" w:sz="4" w:space="0" w:color="auto"/>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 </w:t>
            </w:r>
          </w:p>
        </w:tc>
        <w:tc>
          <w:tcPr>
            <w:tcW w:w="960" w:type="dxa"/>
            <w:tcBorders>
              <w:top w:val="nil"/>
              <w:left w:val="nil"/>
              <w:bottom w:val="single" w:sz="4" w:space="0" w:color="auto"/>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 </w:t>
            </w:r>
          </w:p>
        </w:tc>
        <w:tc>
          <w:tcPr>
            <w:tcW w:w="960" w:type="dxa"/>
            <w:tcBorders>
              <w:top w:val="nil"/>
              <w:left w:val="nil"/>
              <w:bottom w:val="single" w:sz="4" w:space="0" w:color="auto"/>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 </w:t>
            </w:r>
          </w:p>
        </w:tc>
        <w:tc>
          <w:tcPr>
            <w:tcW w:w="813" w:type="dxa"/>
            <w:tcBorders>
              <w:top w:val="nil"/>
              <w:left w:val="nil"/>
              <w:bottom w:val="single" w:sz="4" w:space="0" w:color="auto"/>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 </w:t>
            </w:r>
          </w:p>
        </w:tc>
      </w:tr>
      <w:tr w:rsidR="003C41BA" w:rsidRPr="0066570B" w:rsidTr="00C42EEA">
        <w:trPr>
          <w:trHeight w:val="283"/>
        </w:trPr>
        <w:tc>
          <w:tcPr>
            <w:tcW w:w="2850" w:type="dxa"/>
            <w:tcBorders>
              <w:top w:val="single" w:sz="4" w:space="0" w:color="auto"/>
              <w:left w:val="nil"/>
              <w:bottom w:val="nil"/>
              <w:right w:val="nil"/>
            </w:tcBorders>
            <w:shd w:val="clear" w:color="auto" w:fill="auto"/>
            <w:noWrap/>
            <w:vAlign w:val="center"/>
            <w:hideMark/>
          </w:tcPr>
          <w:p w:rsidR="003C41BA" w:rsidRDefault="003C41BA" w:rsidP="003C41BA">
            <w:pPr>
              <w:rPr>
                <w:rFonts w:ascii="Arial" w:hAnsi="Arial" w:cs="Arial"/>
                <w:b/>
                <w:bCs/>
                <w:color w:val="000000"/>
                <w:sz w:val="16"/>
                <w:szCs w:val="16"/>
              </w:rPr>
            </w:pPr>
            <w:r>
              <w:rPr>
                <w:rFonts w:ascii="Arial" w:hAnsi="Arial" w:cs="Arial"/>
                <w:b/>
                <w:bCs/>
                <w:color w:val="000000"/>
                <w:sz w:val="16"/>
                <w:szCs w:val="16"/>
              </w:rPr>
              <w:t>Stan na 30 września 2020 r.</w:t>
            </w:r>
          </w:p>
        </w:tc>
        <w:tc>
          <w:tcPr>
            <w:tcW w:w="819" w:type="dxa"/>
            <w:tcBorders>
              <w:top w:val="single" w:sz="4" w:space="0" w:color="auto"/>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p>
        </w:tc>
        <w:tc>
          <w:tcPr>
            <w:tcW w:w="1024" w:type="dxa"/>
            <w:tcBorders>
              <w:top w:val="single" w:sz="4" w:space="0" w:color="auto"/>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p>
        </w:tc>
        <w:tc>
          <w:tcPr>
            <w:tcW w:w="992" w:type="dxa"/>
            <w:tcBorders>
              <w:top w:val="single" w:sz="4" w:space="0" w:color="auto"/>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p>
        </w:tc>
        <w:tc>
          <w:tcPr>
            <w:tcW w:w="1095" w:type="dxa"/>
            <w:tcBorders>
              <w:top w:val="single" w:sz="4" w:space="0" w:color="auto"/>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p>
        </w:tc>
        <w:tc>
          <w:tcPr>
            <w:tcW w:w="960" w:type="dxa"/>
            <w:tcBorders>
              <w:top w:val="single" w:sz="4" w:space="0" w:color="auto"/>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p>
        </w:tc>
        <w:tc>
          <w:tcPr>
            <w:tcW w:w="960" w:type="dxa"/>
            <w:tcBorders>
              <w:top w:val="single" w:sz="4" w:space="0" w:color="auto"/>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p>
        </w:tc>
        <w:tc>
          <w:tcPr>
            <w:tcW w:w="813" w:type="dxa"/>
            <w:tcBorders>
              <w:top w:val="single" w:sz="4" w:space="0" w:color="auto"/>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p>
        </w:tc>
      </w:tr>
      <w:tr w:rsidR="003C41BA" w:rsidRPr="0066570B" w:rsidTr="00C42EEA">
        <w:trPr>
          <w:trHeight w:val="283"/>
        </w:trPr>
        <w:tc>
          <w:tcPr>
            <w:tcW w:w="3669" w:type="dxa"/>
            <w:gridSpan w:val="2"/>
            <w:tcBorders>
              <w:top w:val="nil"/>
              <w:left w:val="nil"/>
              <w:bottom w:val="nil"/>
              <w:right w:val="nil"/>
            </w:tcBorders>
            <w:shd w:val="clear" w:color="auto" w:fill="auto"/>
            <w:noWrap/>
            <w:vAlign w:val="center"/>
            <w:hideMark/>
          </w:tcPr>
          <w:p w:rsidR="003C41BA" w:rsidRDefault="003C41BA" w:rsidP="003C41BA">
            <w:pPr>
              <w:rPr>
                <w:rFonts w:ascii="Arial" w:hAnsi="Arial" w:cs="Arial"/>
                <w:color w:val="000000"/>
                <w:sz w:val="16"/>
                <w:szCs w:val="16"/>
              </w:rPr>
            </w:pPr>
            <w:r>
              <w:rPr>
                <w:rFonts w:ascii="Arial" w:hAnsi="Arial" w:cs="Arial"/>
                <w:color w:val="000000"/>
                <w:sz w:val="16"/>
                <w:szCs w:val="16"/>
              </w:rPr>
              <w:t>Wartość brutto</w:t>
            </w:r>
          </w:p>
        </w:tc>
        <w:tc>
          <w:tcPr>
            <w:tcW w:w="1024"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7 083</w:t>
            </w:r>
          </w:p>
        </w:tc>
        <w:tc>
          <w:tcPr>
            <w:tcW w:w="992"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124 592</w:t>
            </w:r>
          </w:p>
        </w:tc>
        <w:tc>
          <w:tcPr>
            <w:tcW w:w="1095"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8 762</w:t>
            </w:r>
          </w:p>
        </w:tc>
        <w:tc>
          <w:tcPr>
            <w:tcW w:w="960"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923</w:t>
            </w:r>
          </w:p>
        </w:tc>
        <w:tc>
          <w:tcPr>
            <w:tcW w:w="960"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10 132</w:t>
            </w:r>
          </w:p>
        </w:tc>
        <w:tc>
          <w:tcPr>
            <w:tcW w:w="813" w:type="dxa"/>
            <w:tcBorders>
              <w:top w:val="nil"/>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43 254</w:t>
            </w:r>
          </w:p>
        </w:tc>
      </w:tr>
      <w:tr w:rsidR="003C41BA" w:rsidRPr="0066570B" w:rsidTr="00C42EEA">
        <w:trPr>
          <w:trHeight w:val="283"/>
        </w:trPr>
        <w:tc>
          <w:tcPr>
            <w:tcW w:w="2850" w:type="dxa"/>
            <w:tcBorders>
              <w:top w:val="nil"/>
              <w:left w:val="nil"/>
              <w:right w:val="nil"/>
            </w:tcBorders>
            <w:shd w:val="clear" w:color="auto" w:fill="auto"/>
            <w:vAlign w:val="center"/>
            <w:hideMark/>
          </w:tcPr>
          <w:p w:rsidR="003C41BA" w:rsidRDefault="003C41BA" w:rsidP="003C41BA">
            <w:pPr>
              <w:rPr>
                <w:rFonts w:ascii="Arial" w:hAnsi="Arial" w:cs="Arial"/>
                <w:color w:val="000000"/>
                <w:sz w:val="16"/>
                <w:szCs w:val="16"/>
              </w:rPr>
            </w:pPr>
            <w:r>
              <w:rPr>
                <w:rFonts w:ascii="Arial" w:hAnsi="Arial" w:cs="Arial"/>
                <w:color w:val="000000"/>
                <w:sz w:val="16"/>
                <w:szCs w:val="16"/>
              </w:rPr>
              <w:t>Umorzenie</w:t>
            </w:r>
          </w:p>
        </w:tc>
        <w:tc>
          <w:tcPr>
            <w:tcW w:w="819" w:type="dxa"/>
            <w:tcBorders>
              <w:top w:val="nil"/>
              <w:left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w:t>
            </w:r>
          </w:p>
        </w:tc>
        <w:tc>
          <w:tcPr>
            <w:tcW w:w="1024" w:type="dxa"/>
            <w:tcBorders>
              <w:top w:val="nil"/>
              <w:left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-38 097</w:t>
            </w:r>
          </w:p>
        </w:tc>
        <w:tc>
          <w:tcPr>
            <w:tcW w:w="992" w:type="dxa"/>
            <w:tcBorders>
              <w:top w:val="nil"/>
              <w:left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-7 045</w:t>
            </w:r>
          </w:p>
        </w:tc>
        <w:tc>
          <w:tcPr>
            <w:tcW w:w="1095" w:type="dxa"/>
            <w:tcBorders>
              <w:top w:val="nil"/>
              <w:left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-686</w:t>
            </w:r>
          </w:p>
        </w:tc>
        <w:tc>
          <w:tcPr>
            <w:tcW w:w="960" w:type="dxa"/>
            <w:tcBorders>
              <w:top w:val="nil"/>
              <w:left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-9 436</w:t>
            </w:r>
          </w:p>
        </w:tc>
        <w:tc>
          <w:tcPr>
            <w:tcW w:w="960" w:type="dxa"/>
            <w:tcBorders>
              <w:top w:val="nil"/>
              <w:left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w:t>
            </w:r>
          </w:p>
        </w:tc>
        <w:tc>
          <w:tcPr>
            <w:tcW w:w="813" w:type="dxa"/>
            <w:tcBorders>
              <w:top w:val="nil"/>
              <w:left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-55 263</w:t>
            </w:r>
          </w:p>
        </w:tc>
      </w:tr>
      <w:tr w:rsidR="003C41BA" w:rsidRPr="0066570B" w:rsidTr="00C42EEA">
        <w:trPr>
          <w:trHeight w:val="283"/>
        </w:trPr>
        <w:tc>
          <w:tcPr>
            <w:tcW w:w="2850" w:type="dxa"/>
            <w:tcBorders>
              <w:top w:val="nil"/>
              <w:left w:val="nil"/>
              <w:bottom w:val="single" w:sz="4" w:space="0" w:color="auto"/>
              <w:right w:val="nil"/>
            </w:tcBorders>
            <w:shd w:val="clear" w:color="auto" w:fill="auto"/>
            <w:noWrap/>
            <w:vAlign w:val="center"/>
            <w:hideMark/>
          </w:tcPr>
          <w:p w:rsidR="003C41BA" w:rsidRPr="00A645BB" w:rsidRDefault="003C41BA" w:rsidP="003C41BA">
            <w:pPr>
              <w:rPr>
                <w:rFonts w:ascii="Arial" w:hAnsi="Arial" w:cs="Arial"/>
                <w:b/>
                <w:color w:val="000000"/>
                <w:sz w:val="16"/>
                <w:szCs w:val="16"/>
              </w:rPr>
            </w:pPr>
            <w:r w:rsidRPr="00A645BB">
              <w:rPr>
                <w:rFonts w:ascii="Arial" w:hAnsi="Arial" w:cs="Arial"/>
                <w:b/>
                <w:color w:val="000000"/>
                <w:sz w:val="16"/>
                <w:szCs w:val="16"/>
              </w:rPr>
              <w:t xml:space="preserve">Wartość księgowa netto  środków trwałych </w:t>
            </w:r>
          </w:p>
        </w:tc>
        <w:tc>
          <w:tcPr>
            <w:tcW w:w="819" w:type="dxa"/>
            <w:tcBorders>
              <w:top w:val="nil"/>
              <w:left w:val="nil"/>
              <w:bottom w:val="single" w:sz="4" w:space="0" w:color="auto"/>
              <w:right w:val="nil"/>
            </w:tcBorders>
            <w:shd w:val="clear" w:color="auto" w:fill="auto"/>
            <w:noWrap/>
            <w:vAlign w:val="center"/>
            <w:hideMark/>
          </w:tcPr>
          <w:p w:rsidR="003C41BA" w:rsidRPr="00A645BB" w:rsidRDefault="003C41BA" w:rsidP="003C41BA">
            <w:pPr>
              <w:jc w:val="right"/>
              <w:rPr>
                <w:rFonts w:ascii="Arial" w:hAnsi="Arial" w:cs="Arial"/>
                <w:b/>
                <w:color w:val="000000"/>
                <w:sz w:val="16"/>
                <w:szCs w:val="16"/>
              </w:rPr>
            </w:pPr>
            <w:r w:rsidRPr="00A645BB">
              <w:rPr>
                <w:rFonts w:ascii="Arial" w:hAnsi="Arial" w:cs="Arial"/>
                <w:b/>
                <w:color w:val="000000"/>
                <w:sz w:val="16"/>
                <w:szCs w:val="16"/>
              </w:rPr>
              <w:t>7</w:t>
            </w:r>
            <w:r>
              <w:rPr>
                <w:rFonts w:ascii="Arial" w:hAnsi="Arial" w:cs="Arial"/>
                <w:b/>
                <w:color w:val="000000"/>
                <w:sz w:val="16"/>
                <w:szCs w:val="16"/>
              </w:rPr>
              <w:t xml:space="preserve"> </w:t>
            </w:r>
            <w:r w:rsidRPr="00A645BB">
              <w:rPr>
                <w:rFonts w:ascii="Arial" w:hAnsi="Arial" w:cs="Arial"/>
                <w:b/>
                <w:color w:val="000000"/>
                <w:sz w:val="16"/>
                <w:szCs w:val="16"/>
              </w:rPr>
              <w:t>083</w:t>
            </w:r>
          </w:p>
        </w:tc>
        <w:tc>
          <w:tcPr>
            <w:tcW w:w="1024" w:type="dxa"/>
            <w:tcBorders>
              <w:top w:val="nil"/>
              <w:left w:val="nil"/>
              <w:bottom w:val="single" w:sz="4" w:space="0" w:color="auto"/>
              <w:right w:val="nil"/>
            </w:tcBorders>
            <w:shd w:val="clear" w:color="auto" w:fill="auto"/>
            <w:noWrap/>
            <w:vAlign w:val="center"/>
            <w:hideMark/>
          </w:tcPr>
          <w:p w:rsidR="003C41BA" w:rsidRPr="00A645BB" w:rsidRDefault="003C41BA" w:rsidP="003C41BA">
            <w:pPr>
              <w:jc w:val="right"/>
              <w:rPr>
                <w:rFonts w:ascii="Arial" w:hAnsi="Arial" w:cs="Arial"/>
                <w:b/>
                <w:color w:val="000000"/>
                <w:sz w:val="16"/>
                <w:szCs w:val="16"/>
              </w:rPr>
            </w:pPr>
            <w:r w:rsidRPr="00A645BB">
              <w:rPr>
                <w:rFonts w:ascii="Arial" w:hAnsi="Arial" w:cs="Arial"/>
                <w:b/>
                <w:color w:val="000000"/>
                <w:sz w:val="16"/>
                <w:szCs w:val="16"/>
              </w:rPr>
              <w:t>86 495</w:t>
            </w:r>
          </w:p>
        </w:tc>
        <w:tc>
          <w:tcPr>
            <w:tcW w:w="992" w:type="dxa"/>
            <w:tcBorders>
              <w:top w:val="nil"/>
              <w:left w:val="nil"/>
              <w:bottom w:val="single" w:sz="4" w:space="0" w:color="auto"/>
              <w:right w:val="nil"/>
            </w:tcBorders>
            <w:shd w:val="clear" w:color="auto" w:fill="auto"/>
            <w:noWrap/>
            <w:vAlign w:val="center"/>
            <w:hideMark/>
          </w:tcPr>
          <w:p w:rsidR="003C41BA" w:rsidRPr="00A645BB" w:rsidRDefault="003C41BA" w:rsidP="003C41BA">
            <w:pPr>
              <w:jc w:val="right"/>
              <w:rPr>
                <w:rFonts w:ascii="Arial" w:hAnsi="Arial" w:cs="Arial"/>
                <w:b/>
                <w:color w:val="000000"/>
                <w:sz w:val="16"/>
                <w:szCs w:val="16"/>
              </w:rPr>
            </w:pPr>
            <w:r w:rsidRPr="00A645BB">
              <w:rPr>
                <w:rFonts w:ascii="Arial" w:hAnsi="Arial" w:cs="Arial"/>
                <w:b/>
                <w:color w:val="000000"/>
                <w:sz w:val="16"/>
                <w:szCs w:val="16"/>
              </w:rPr>
              <w:t>1 717</w:t>
            </w:r>
          </w:p>
        </w:tc>
        <w:tc>
          <w:tcPr>
            <w:tcW w:w="1095" w:type="dxa"/>
            <w:tcBorders>
              <w:top w:val="nil"/>
              <w:left w:val="nil"/>
              <w:bottom w:val="single" w:sz="4" w:space="0" w:color="auto"/>
              <w:right w:val="nil"/>
            </w:tcBorders>
            <w:shd w:val="clear" w:color="auto" w:fill="auto"/>
            <w:noWrap/>
            <w:vAlign w:val="center"/>
            <w:hideMark/>
          </w:tcPr>
          <w:p w:rsidR="003C41BA" w:rsidRPr="00A645BB" w:rsidRDefault="003C41BA" w:rsidP="003C41BA">
            <w:pPr>
              <w:jc w:val="right"/>
              <w:rPr>
                <w:rFonts w:ascii="Arial" w:hAnsi="Arial" w:cs="Arial"/>
                <w:b/>
                <w:color w:val="000000"/>
                <w:sz w:val="16"/>
                <w:szCs w:val="16"/>
              </w:rPr>
            </w:pPr>
            <w:r w:rsidRPr="00A645BB">
              <w:rPr>
                <w:rFonts w:ascii="Arial" w:hAnsi="Arial" w:cs="Arial"/>
                <w:b/>
                <w:color w:val="000000"/>
                <w:sz w:val="16"/>
                <w:szCs w:val="16"/>
              </w:rPr>
              <w:t>238</w:t>
            </w:r>
          </w:p>
        </w:tc>
        <w:tc>
          <w:tcPr>
            <w:tcW w:w="960" w:type="dxa"/>
            <w:tcBorders>
              <w:top w:val="nil"/>
              <w:left w:val="nil"/>
              <w:bottom w:val="single" w:sz="4" w:space="0" w:color="auto"/>
              <w:right w:val="nil"/>
            </w:tcBorders>
            <w:shd w:val="clear" w:color="auto" w:fill="auto"/>
            <w:noWrap/>
            <w:vAlign w:val="center"/>
            <w:hideMark/>
          </w:tcPr>
          <w:p w:rsidR="003C41BA" w:rsidRPr="00A645BB" w:rsidRDefault="003C41BA" w:rsidP="003C41BA">
            <w:pPr>
              <w:jc w:val="right"/>
              <w:rPr>
                <w:rFonts w:ascii="Arial" w:hAnsi="Arial" w:cs="Arial"/>
                <w:b/>
                <w:color w:val="000000"/>
                <w:sz w:val="16"/>
                <w:szCs w:val="16"/>
              </w:rPr>
            </w:pPr>
            <w:r w:rsidRPr="00A645BB">
              <w:rPr>
                <w:rFonts w:ascii="Arial" w:hAnsi="Arial" w:cs="Arial"/>
                <w:b/>
                <w:color w:val="000000"/>
                <w:sz w:val="16"/>
                <w:szCs w:val="16"/>
              </w:rPr>
              <w:t>696</w:t>
            </w:r>
          </w:p>
        </w:tc>
        <w:tc>
          <w:tcPr>
            <w:tcW w:w="960" w:type="dxa"/>
            <w:tcBorders>
              <w:top w:val="nil"/>
              <w:left w:val="nil"/>
              <w:bottom w:val="single" w:sz="4" w:space="0" w:color="auto"/>
              <w:right w:val="nil"/>
            </w:tcBorders>
            <w:shd w:val="clear" w:color="auto" w:fill="auto"/>
            <w:noWrap/>
            <w:vAlign w:val="center"/>
            <w:hideMark/>
          </w:tcPr>
          <w:p w:rsidR="003C41BA" w:rsidRPr="00A645BB" w:rsidRDefault="003C41BA" w:rsidP="003C41BA">
            <w:pPr>
              <w:jc w:val="right"/>
              <w:rPr>
                <w:rFonts w:ascii="Arial" w:hAnsi="Arial" w:cs="Arial"/>
                <w:b/>
                <w:color w:val="000000"/>
                <w:sz w:val="16"/>
                <w:szCs w:val="16"/>
              </w:rPr>
            </w:pPr>
            <w:r w:rsidRPr="00A645BB">
              <w:rPr>
                <w:rFonts w:ascii="Arial" w:hAnsi="Arial" w:cs="Arial"/>
                <w:b/>
                <w:color w:val="000000"/>
                <w:sz w:val="16"/>
                <w:szCs w:val="16"/>
              </w:rPr>
              <w:t>43 254</w:t>
            </w:r>
          </w:p>
        </w:tc>
        <w:tc>
          <w:tcPr>
            <w:tcW w:w="813" w:type="dxa"/>
            <w:tcBorders>
              <w:top w:val="nil"/>
              <w:left w:val="nil"/>
              <w:bottom w:val="single" w:sz="4" w:space="0" w:color="auto"/>
              <w:right w:val="nil"/>
            </w:tcBorders>
            <w:shd w:val="clear" w:color="auto" w:fill="auto"/>
            <w:noWrap/>
            <w:vAlign w:val="center"/>
            <w:hideMark/>
          </w:tcPr>
          <w:p w:rsidR="003C41BA" w:rsidRPr="00A645BB" w:rsidRDefault="003C41BA" w:rsidP="003C41BA">
            <w:pPr>
              <w:jc w:val="right"/>
              <w:rPr>
                <w:rFonts w:ascii="Arial" w:hAnsi="Arial" w:cs="Arial"/>
                <w:b/>
                <w:color w:val="000000"/>
                <w:sz w:val="16"/>
                <w:szCs w:val="16"/>
              </w:rPr>
            </w:pPr>
            <w:r w:rsidRPr="00A645BB">
              <w:rPr>
                <w:rFonts w:ascii="Arial" w:hAnsi="Arial" w:cs="Arial"/>
                <w:b/>
                <w:color w:val="000000"/>
                <w:sz w:val="16"/>
                <w:szCs w:val="16"/>
              </w:rPr>
              <w:t>139 484</w:t>
            </w:r>
          </w:p>
        </w:tc>
      </w:tr>
      <w:tr w:rsidR="003C41BA" w:rsidRPr="0066570B" w:rsidTr="00C42EEA">
        <w:trPr>
          <w:trHeight w:val="283"/>
        </w:trPr>
        <w:tc>
          <w:tcPr>
            <w:tcW w:w="2850" w:type="dxa"/>
            <w:tcBorders>
              <w:top w:val="single" w:sz="4" w:space="0" w:color="auto"/>
              <w:left w:val="nil"/>
              <w:bottom w:val="nil"/>
              <w:right w:val="nil"/>
            </w:tcBorders>
            <w:shd w:val="clear" w:color="auto" w:fill="auto"/>
            <w:noWrap/>
            <w:vAlign w:val="center"/>
            <w:hideMark/>
          </w:tcPr>
          <w:p w:rsidR="003C41BA" w:rsidRDefault="003C41BA" w:rsidP="003C41BA">
            <w:pPr>
              <w:rPr>
                <w:rFonts w:ascii="Arial" w:hAnsi="Arial" w:cs="Arial"/>
                <w:color w:val="000000"/>
                <w:sz w:val="16"/>
                <w:szCs w:val="16"/>
              </w:rPr>
            </w:pPr>
            <w:r>
              <w:rPr>
                <w:rFonts w:ascii="Arial" w:hAnsi="Arial" w:cs="Arial"/>
                <w:color w:val="000000"/>
                <w:sz w:val="16"/>
                <w:szCs w:val="16"/>
              </w:rPr>
              <w:t xml:space="preserve">      w tym wartość księgowa netto środków trwałych w leasingu</w:t>
            </w:r>
          </w:p>
        </w:tc>
        <w:tc>
          <w:tcPr>
            <w:tcW w:w="819" w:type="dxa"/>
            <w:tcBorders>
              <w:top w:val="single" w:sz="4" w:space="0" w:color="auto"/>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6 764</w:t>
            </w:r>
          </w:p>
        </w:tc>
        <w:tc>
          <w:tcPr>
            <w:tcW w:w="1024" w:type="dxa"/>
            <w:tcBorders>
              <w:top w:val="single" w:sz="4" w:space="0" w:color="auto"/>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477</w:t>
            </w:r>
          </w:p>
        </w:tc>
        <w:tc>
          <w:tcPr>
            <w:tcW w:w="992" w:type="dxa"/>
            <w:tcBorders>
              <w:top w:val="single" w:sz="4" w:space="0" w:color="auto"/>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p>
        </w:tc>
        <w:tc>
          <w:tcPr>
            <w:tcW w:w="1095" w:type="dxa"/>
            <w:tcBorders>
              <w:top w:val="single" w:sz="4" w:space="0" w:color="auto"/>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p>
        </w:tc>
        <w:tc>
          <w:tcPr>
            <w:tcW w:w="960" w:type="dxa"/>
            <w:tcBorders>
              <w:top w:val="single" w:sz="4" w:space="0" w:color="auto"/>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p>
        </w:tc>
        <w:tc>
          <w:tcPr>
            <w:tcW w:w="960" w:type="dxa"/>
            <w:tcBorders>
              <w:top w:val="single" w:sz="4" w:space="0" w:color="auto"/>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p>
        </w:tc>
        <w:tc>
          <w:tcPr>
            <w:tcW w:w="813" w:type="dxa"/>
            <w:tcBorders>
              <w:top w:val="single" w:sz="4" w:space="0" w:color="auto"/>
              <w:left w:val="nil"/>
              <w:bottom w:val="nil"/>
              <w:right w:val="nil"/>
            </w:tcBorders>
            <w:shd w:val="clear" w:color="auto" w:fill="auto"/>
            <w:noWrap/>
            <w:vAlign w:val="center"/>
            <w:hideMark/>
          </w:tcPr>
          <w:p w:rsidR="003C41BA" w:rsidRDefault="003C41BA" w:rsidP="003C41BA">
            <w:pPr>
              <w:jc w:val="right"/>
              <w:rPr>
                <w:rFonts w:ascii="Arial" w:hAnsi="Arial" w:cs="Arial"/>
                <w:color w:val="000000"/>
                <w:sz w:val="16"/>
                <w:szCs w:val="16"/>
              </w:rPr>
            </w:pPr>
            <w:r>
              <w:rPr>
                <w:rFonts w:ascii="Arial" w:hAnsi="Arial" w:cs="Arial"/>
                <w:color w:val="000000"/>
                <w:sz w:val="16"/>
                <w:szCs w:val="16"/>
              </w:rPr>
              <w:t>7 241</w:t>
            </w:r>
          </w:p>
        </w:tc>
      </w:tr>
    </w:tbl>
    <w:p w:rsidR="005D3822" w:rsidRPr="000C16CB" w:rsidRDefault="005D3822" w:rsidP="005D3822">
      <w:pPr>
        <w:tabs>
          <w:tab w:val="left" w:pos="540"/>
        </w:tabs>
        <w:spacing w:line="260" w:lineRule="exact"/>
        <w:jc w:val="both"/>
        <w:rPr>
          <w:rFonts w:ascii="Arial" w:hAnsi="Arial" w:cs="Arial"/>
          <w:b/>
          <w:bCs/>
          <w:sz w:val="18"/>
          <w:szCs w:val="18"/>
        </w:rPr>
      </w:pPr>
    </w:p>
    <w:p w:rsidR="008322CC" w:rsidRDefault="008322CC">
      <w:pPr>
        <w:rPr>
          <w:rFonts w:ascii="Arial" w:hAnsi="Arial" w:cs="Arial"/>
          <w:b/>
          <w:bCs/>
          <w:sz w:val="18"/>
          <w:szCs w:val="18"/>
        </w:rPr>
      </w:pPr>
    </w:p>
    <w:p w:rsidR="005D3822" w:rsidRPr="00E7638B" w:rsidRDefault="005D3822" w:rsidP="005D3822">
      <w:pPr>
        <w:tabs>
          <w:tab w:val="left" w:pos="540"/>
        </w:tabs>
        <w:spacing w:line="260" w:lineRule="exact"/>
        <w:jc w:val="both"/>
        <w:rPr>
          <w:rFonts w:ascii="Arial" w:hAnsi="Arial" w:cs="Arial"/>
          <w:b/>
          <w:bCs/>
          <w:sz w:val="18"/>
          <w:szCs w:val="18"/>
        </w:rPr>
      </w:pPr>
      <w:r w:rsidRPr="00E7638B">
        <w:rPr>
          <w:rFonts w:ascii="Arial" w:hAnsi="Arial" w:cs="Arial"/>
          <w:b/>
          <w:bCs/>
          <w:sz w:val="18"/>
          <w:szCs w:val="18"/>
        </w:rPr>
        <w:t>XV. Poczynione zobowiązania na rzecz dokonania zakupu rzeczowych aktywów trwałych.</w:t>
      </w:r>
    </w:p>
    <w:p w:rsidR="005D3822" w:rsidRPr="00E7638B" w:rsidRDefault="005D3822" w:rsidP="005D3822">
      <w:pPr>
        <w:jc w:val="both"/>
        <w:rPr>
          <w:rFonts w:ascii="Arial" w:hAnsi="Arial" w:cs="Arial"/>
          <w:bCs/>
          <w:sz w:val="18"/>
          <w:szCs w:val="18"/>
        </w:rPr>
      </w:pPr>
    </w:p>
    <w:p w:rsidR="00250D8D" w:rsidRPr="00E9583B" w:rsidRDefault="00250D8D" w:rsidP="00250D8D">
      <w:pPr>
        <w:spacing w:line="260" w:lineRule="exact"/>
        <w:jc w:val="both"/>
        <w:rPr>
          <w:rFonts w:ascii="Arial" w:hAnsi="Arial" w:cs="Arial"/>
          <w:sz w:val="18"/>
          <w:szCs w:val="18"/>
        </w:rPr>
      </w:pPr>
      <w:r w:rsidRPr="00E9583B">
        <w:rPr>
          <w:rFonts w:ascii="Arial" w:hAnsi="Arial" w:cs="Arial"/>
          <w:sz w:val="18"/>
          <w:szCs w:val="18"/>
        </w:rPr>
        <w:t xml:space="preserve">Dnia 17.07.2019 r. podpisana została umowa na roboty budowlane związane z rozbudową, przebudową </w:t>
      </w:r>
      <w:r w:rsidRPr="00E9583B">
        <w:rPr>
          <w:rFonts w:ascii="Arial" w:hAnsi="Arial" w:cs="Arial"/>
          <w:sz w:val="18"/>
          <w:szCs w:val="18"/>
        </w:rPr>
        <w:br/>
        <w:t xml:space="preserve">i nadbudową zespołu sanatoryjno-uzdrowiskowego „Interferie Argentyt” z firmą ADAMIETZ Sp. z o. o. z siedzibą w Strzelcach Opolskich, ul. Braci </w:t>
      </w:r>
      <w:proofErr w:type="spellStart"/>
      <w:r w:rsidRPr="00E9583B">
        <w:rPr>
          <w:rFonts w:ascii="Arial" w:hAnsi="Arial" w:cs="Arial"/>
          <w:sz w:val="18"/>
          <w:szCs w:val="18"/>
        </w:rPr>
        <w:t>Prankel</w:t>
      </w:r>
      <w:proofErr w:type="spellEnd"/>
      <w:r w:rsidRPr="00E9583B">
        <w:rPr>
          <w:rFonts w:ascii="Arial" w:hAnsi="Arial" w:cs="Arial"/>
          <w:sz w:val="18"/>
          <w:szCs w:val="18"/>
        </w:rPr>
        <w:t xml:space="preserve"> 1, 47-100 Strzelce Opolskie („Generalny Wykonawca”).</w:t>
      </w:r>
    </w:p>
    <w:p w:rsidR="00250D8D" w:rsidRPr="00E9583B" w:rsidRDefault="00250D8D" w:rsidP="00250D8D">
      <w:pPr>
        <w:spacing w:line="260" w:lineRule="exact"/>
        <w:jc w:val="both"/>
        <w:rPr>
          <w:rFonts w:ascii="Arial" w:hAnsi="Arial" w:cs="Arial"/>
          <w:sz w:val="18"/>
          <w:szCs w:val="18"/>
        </w:rPr>
      </w:pPr>
      <w:r w:rsidRPr="00E9583B">
        <w:rPr>
          <w:rFonts w:ascii="Arial" w:hAnsi="Arial" w:cs="Arial"/>
          <w:sz w:val="18"/>
          <w:szCs w:val="18"/>
        </w:rPr>
        <w:t>Za kompleksową realizację przedmiotu kontraktu określono wynagrodzenie ryczałtowe w kwocie netto 45.400 tys. zł. netto + podatek VAT.</w:t>
      </w:r>
    </w:p>
    <w:p w:rsidR="00250D8D" w:rsidRPr="00E9583B" w:rsidRDefault="00250D8D" w:rsidP="00250D8D">
      <w:pPr>
        <w:spacing w:line="260" w:lineRule="exact"/>
        <w:jc w:val="both"/>
        <w:rPr>
          <w:rFonts w:ascii="Arial" w:hAnsi="Arial" w:cs="Arial"/>
          <w:sz w:val="18"/>
          <w:szCs w:val="18"/>
        </w:rPr>
      </w:pPr>
      <w:r w:rsidRPr="00E9583B">
        <w:rPr>
          <w:rFonts w:ascii="Arial" w:hAnsi="Arial" w:cs="Arial"/>
          <w:sz w:val="18"/>
          <w:szCs w:val="18"/>
        </w:rPr>
        <w:t>Aneksem nr 1 do umowy zmieniono wynagrodzenie Generalnego Wykonawcy na kwotę 44 216 tys. zł. netto +podatek VAT.</w:t>
      </w:r>
    </w:p>
    <w:p w:rsidR="00250D8D" w:rsidRPr="00E9583B" w:rsidRDefault="00250D8D" w:rsidP="00250D8D">
      <w:pPr>
        <w:spacing w:line="260" w:lineRule="exact"/>
        <w:jc w:val="both"/>
        <w:rPr>
          <w:rFonts w:ascii="Arial" w:hAnsi="Arial" w:cs="Arial"/>
          <w:sz w:val="18"/>
          <w:szCs w:val="18"/>
        </w:rPr>
      </w:pPr>
      <w:r w:rsidRPr="00E9583B">
        <w:rPr>
          <w:rFonts w:ascii="Arial" w:hAnsi="Arial" w:cs="Arial"/>
          <w:sz w:val="18"/>
          <w:szCs w:val="18"/>
        </w:rPr>
        <w:t>Aneksem nr 2 zostało zmienione wynagrodzenie Generalnego Wykonawcy na kwotę 47 042 tys. zł + podatek VAT</w:t>
      </w:r>
    </w:p>
    <w:p w:rsidR="00250D8D" w:rsidRPr="00E9583B" w:rsidRDefault="00250D8D" w:rsidP="00250D8D">
      <w:pPr>
        <w:spacing w:line="260" w:lineRule="exact"/>
        <w:jc w:val="both"/>
        <w:rPr>
          <w:rFonts w:ascii="Arial" w:hAnsi="Arial" w:cs="Arial"/>
          <w:sz w:val="18"/>
          <w:szCs w:val="18"/>
        </w:rPr>
      </w:pPr>
      <w:r w:rsidRPr="00E9583B">
        <w:rPr>
          <w:rFonts w:ascii="Arial" w:hAnsi="Arial" w:cs="Arial"/>
          <w:sz w:val="18"/>
          <w:szCs w:val="18"/>
        </w:rPr>
        <w:t>Aneksem nr 3 zostało zmienione wynagrodzenie Generalnego Wykonawcy na kwotę 47 335 tys. zł +podatek VAT</w:t>
      </w:r>
    </w:p>
    <w:p w:rsidR="00250D8D" w:rsidRPr="00E9583B" w:rsidRDefault="00250D8D" w:rsidP="00250D8D">
      <w:pPr>
        <w:spacing w:line="260" w:lineRule="exact"/>
        <w:jc w:val="both"/>
        <w:rPr>
          <w:rFonts w:ascii="Arial" w:hAnsi="Arial" w:cs="Arial"/>
          <w:sz w:val="18"/>
          <w:szCs w:val="18"/>
        </w:rPr>
      </w:pPr>
    </w:p>
    <w:p w:rsidR="00250D8D" w:rsidRPr="00E9583B" w:rsidRDefault="00250D8D" w:rsidP="00250D8D">
      <w:pPr>
        <w:spacing w:line="260" w:lineRule="exact"/>
        <w:jc w:val="both"/>
        <w:rPr>
          <w:rFonts w:ascii="Arial" w:hAnsi="Arial" w:cs="Arial"/>
          <w:sz w:val="18"/>
          <w:szCs w:val="18"/>
        </w:rPr>
      </w:pPr>
      <w:r w:rsidRPr="00E9583B">
        <w:rPr>
          <w:rFonts w:ascii="Arial" w:hAnsi="Arial" w:cs="Arial"/>
          <w:sz w:val="18"/>
          <w:szCs w:val="18"/>
        </w:rPr>
        <w:t>Inwestycja była realizowana zgodnie z dokumentacją projektową opracowaną przez R2 Lesław Rubik z siedzibą we Wrocławiu przy ul. Marszałka Piłsudskiego 23, 50-044 Wrocław.</w:t>
      </w:r>
    </w:p>
    <w:p w:rsidR="00250D8D" w:rsidRPr="00E9583B" w:rsidRDefault="00250D8D" w:rsidP="00250D8D">
      <w:pPr>
        <w:spacing w:line="260" w:lineRule="exact"/>
        <w:jc w:val="both"/>
        <w:rPr>
          <w:rFonts w:ascii="Arial" w:hAnsi="Arial" w:cs="Arial"/>
          <w:sz w:val="18"/>
          <w:szCs w:val="18"/>
        </w:rPr>
      </w:pPr>
      <w:r w:rsidRPr="00E9583B">
        <w:rPr>
          <w:rFonts w:ascii="Arial" w:hAnsi="Arial" w:cs="Arial"/>
          <w:sz w:val="18"/>
          <w:szCs w:val="18"/>
        </w:rPr>
        <w:t xml:space="preserve">Łączne wynagrodzenie Projektanta wynosi 2 293 tys. </w:t>
      </w:r>
      <w:proofErr w:type="spellStart"/>
      <w:r w:rsidRPr="00E9583B">
        <w:rPr>
          <w:rFonts w:ascii="Arial" w:hAnsi="Arial" w:cs="Arial"/>
          <w:sz w:val="18"/>
          <w:szCs w:val="18"/>
        </w:rPr>
        <w:t>zl</w:t>
      </w:r>
      <w:proofErr w:type="spellEnd"/>
      <w:r w:rsidRPr="00E9583B">
        <w:rPr>
          <w:rFonts w:ascii="Arial" w:hAnsi="Arial" w:cs="Arial"/>
          <w:sz w:val="18"/>
          <w:szCs w:val="18"/>
        </w:rPr>
        <w:t>.</w:t>
      </w:r>
    </w:p>
    <w:p w:rsidR="00250D8D" w:rsidRPr="00E9583B" w:rsidRDefault="00250D8D" w:rsidP="00250D8D">
      <w:pPr>
        <w:spacing w:line="260" w:lineRule="exact"/>
        <w:jc w:val="both"/>
        <w:rPr>
          <w:rFonts w:ascii="Arial" w:hAnsi="Arial" w:cs="Arial"/>
          <w:sz w:val="18"/>
          <w:szCs w:val="18"/>
        </w:rPr>
      </w:pPr>
    </w:p>
    <w:p w:rsidR="00250D8D" w:rsidRPr="00E9583B" w:rsidRDefault="00250D8D" w:rsidP="00250D8D">
      <w:pPr>
        <w:spacing w:line="260" w:lineRule="exact"/>
        <w:jc w:val="both"/>
        <w:rPr>
          <w:rFonts w:ascii="Arial" w:hAnsi="Arial" w:cs="Arial"/>
          <w:sz w:val="18"/>
          <w:szCs w:val="18"/>
        </w:rPr>
      </w:pPr>
      <w:r w:rsidRPr="00E9583B">
        <w:rPr>
          <w:rFonts w:ascii="Arial" w:hAnsi="Arial" w:cs="Arial"/>
          <w:sz w:val="18"/>
          <w:szCs w:val="18"/>
        </w:rPr>
        <w:t xml:space="preserve">Dnia 30 września 2020 r zawarty został aneks nr 3 do umowy z MIASTOPROJEKT WROCŁAW Sp. z o.o. </w:t>
      </w:r>
      <w:r w:rsidRPr="00E9583B">
        <w:rPr>
          <w:rFonts w:ascii="Arial" w:hAnsi="Arial" w:cs="Arial"/>
          <w:sz w:val="18"/>
          <w:szCs w:val="18"/>
        </w:rPr>
        <w:br/>
        <w:t>z siedzibą we Wrocławiu przy ul. Snopkowej 2B, 52-225 Wrocław. Przedmiotem umowy jest pełnienie przez Wykonawcę funkcji inwestora zastępczego. Zgodnie z brzmieniem aneksu nr 3 łączne wynagrodzenie ryczałtowe netto za wykonanie całego przedmiotu umowy określono na kwotę 875 tys. złotych.</w:t>
      </w:r>
    </w:p>
    <w:p w:rsidR="00250D8D" w:rsidRPr="00E9583B" w:rsidRDefault="00250D8D" w:rsidP="00250D8D">
      <w:pPr>
        <w:spacing w:line="260" w:lineRule="exact"/>
        <w:jc w:val="both"/>
        <w:rPr>
          <w:rFonts w:ascii="Arial" w:hAnsi="Arial" w:cs="Arial"/>
          <w:sz w:val="18"/>
          <w:szCs w:val="18"/>
        </w:rPr>
      </w:pPr>
    </w:p>
    <w:p w:rsidR="00250D8D" w:rsidRPr="00E9583B" w:rsidRDefault="00250D8D" w:rsidP="00250D8D">
      <w:pPr>
        <w:spacing w:line="260" w:lineRule="exact"/>
        <w:jc w:val="both"/>
        <w:rPr>
          <w:rFonts w:ascii="Arial" w:hAnsi="Arial" w:cs="Arial"/>
          <w:sz w:val="18"/>
          <w:szCs w:val="18"/>
        </w:rPr>
      </w:pPr>
      <w:r w:rsidRPr="00E9583B">
        <w:rPr>
          <w:rFonts w:ascii="Arial" w:hAnsi="Arial" w:cs="Arial"/>
          <w:sz w:val="18"/>
          <w:szCs w:val="18"/>
        </w:rPr>
        <w:t xml:space="preserve">Spółka zawarła umowy na modernizację wszystkich pokoi za łączną cenę 1 770 tys. zł. netto +podatek VAT. Zakończono budowę przyległego parkingu  za cenę 1 146 tys. zł. netto +podatek VAT. </w:t>
      </w:r>
    </w:p>
    <w:p w:rsidR="00250D8D" w:rsidRPr="00E9583B" w:rsidRDefault="00250D8D" w:rsidP="00250D8D">
      <w:pPr>
        <w:spacing w:line="260" w:lineRule="exact"/>
        <w:jc w:val="both"/>
        <w:rPr>
          <w:rFonts w:ascii="Arial" w:hAnsi="Arial" w:cs="Arial"/>
          <w:sz w:val="18"/>
          <w:szCs w:val="18"/>
        </w:rPr>
      </w:pPr>
    </w:p>
    <w:p w:rsidR="00250D8D" w:rsidRPr="00E9583B" w:rsidRDefault="00250D8D" w:rsidP="00250D8D">
      <w:pPr>
        <w:spacing w:line="260" w:lineRule="exact"/>
        <w:jc w:val="both"/>
        <w:rPr>
          <w:rFonts w:ascii="Arial" w:hAnsi="Arial" w:cs="Arial"/>
          <w:sz w:val="18"/>
          <w:szCs w:val="18"/>
        </w:rPr>
      </w:pPr>
      <w:r w:rsidRPr="00E9583B">
        <w:rPr>
          <w:rFonts w:ascii="Arial" w:hAnsi="Arial" w:cs="Arial"/>
          <w:sz w:val="18"/>
          <w:szCs w:val="18"/>
        </w:rPr>
        <w:t>Dodatkowo Spółka zawarła umowy na dostawy wyposażenia technologii kuchni, pokoi i stref ogólnych, urządzeń do bazy zabiegowej oraz inne  usługi i dostawy związane z  rozbudową SU Argentyt w Dąbkach na łączną kwotę 3 000 tys. zł + podatek VAT.</w:t>
      </w:r>
    </w:p>
    <w:p w:rsidR="00250D8D" w:rsidRPr="00E9583B" w:rsidRDefault="00250D8D" w:rsidP="00250D8D">
      <w:pPr>
        <w:spacing w:line="260" w:lineRule="exact"/>
        <w:jc w:val="both"/>
        <w:rPr>
          <w:rFonts w:ascii="Arial" w:hAnsi="Arial" w:cs="Arial"/>
          <w:sz w:val="18"/>
          <w:szCs w:val="18"/>
        </w:rPr>
      </w:pPr>
    </w:p>
    <w:p w:rsidR="00250D8D" w:rsidRPr="00E9583B" w:rsidRDefault="00250D8D" w:rsidP="00250D8D">
      <w:pPr>
        <w:spacing w:line="260" w:lineRule="exact"/>
        <w:jc w:val="both"/>
        <w:rPr>
          <w:rFonts w:ascii="Arial" w:hAnsi="Arial" w:cs="Arial"/>
          <w:sz w:val="18"/>
          <w:szCs w:val="18"/>
        </w:rPr>
      </w:pPr>
      <w:r w:rsidRPr="00E9583B">
        <w:rPr>
          <w:rFonts w:ascii="Arial" w:hAnsi="Arial" w:cs="Arial"/>
          <w:sz w:val="18"/>
          <w:szCs w:val="18"/>
        </w:rPr>
        <w:t>Budżet inwestycji wynosił 59 649 tys. zł.</w:t>
      </w:r>
    </w:p>
    <w:p w:rsidR="00250D8D" w:rsidRPr="00E9583B" w:rsidRDefault="00250D8D" w:rsidP="00250D8D">
      <w:pPr>
        <w:spacing w:line="260" w:lineRule="exact"/>
        <w:jc w:val="both"/>
        <w:rPr>
          <w:rFonts w:ascii="Arial" w:hAnsi="Arial" w:cs="Arial"/>
          <w:sz w:val="18"/>
          <w:szCs w:val="18"/>
        </w:rPr>
      </w:pPr>
    </w:p>
    <w:p w:rsidR="00250D8D" w:rsidRPr="00E9583B" w:rsidRDefault="00250D8D" w:rsidP="00250D8D">
      <w:pPr>
        <w:spacing w:line="260" w:lineRule="exact"/>
        <w:jc w:val="both"/>
        <w:rPr>
          <w:rFonts w:ascii="Arial" w:hAnsi="Arial" w:cs="Arial"/>
          <w:sz w:val="18"/>
          <w:szCs w:val="18"/>
        </w:rPr>
      </w:pPr>
      <w:r w:rsidRPr="00E9583B">
        <w:rPr>
          <w:rFonts w:ascii="Arial" w:hAnsi="Arial" w:cs="Arial"/>
          <w:sz w:val="18"/>
          <w:szCs w:val="18"/>
        </w:rPr>
        <w:t xml:space="preserve">Generalny Wykonawca nie dotrzymał umownego terminu zakończenia i rozliczenia inwestycji (31.01.2021 r.). </w:t>
      </w:r>
    </w:p>
    <w:p w:rsidR="00250D8D" w:rsidRDefault="00250D8D" w:rsidP="00250D8D">
      <w:pPr>
        <w:tabs>
          <w:tab w:val="left" w:pos="540"/>
        </w:tabs>
        <w:spacing w:line="260" w:lineRule="exact"/>
        <w:jc w:val="both"/>
        <w:rPr>
          <w:rFonts w:ascii="Arial" w:hAnsi="Arial" w:cs="Arial"/>
          <w:bCs/>
          <w:sz w:val="18"/>
          <w:szCs w:val="18"/>
        </w:rPr>
      </w:pPr>
      <w:r w:rsidRPr="00E9583B">
        <w:rPr>
          <w:rFonts w:ascii="Arial" w:hAnsi="Arial" w:cs="Arial"/>
          <w:sz w:val="18"/>
          <w:szCs w:val="18"/>
        </w:rPr>
        <w:t>W dniu 15.07.2021 r. został dokonany odbiór końcowy robót realizowanych przez Generalnego Wykonawcę - ADAMIETZ sp. z o.o.</w:t>
      </w:r>
      <w:r>
        <w:rPr>
          <w:rFonts w:ascii="Arial" w:hAnsi="Arial" w:cs="Arial"/>
          <w:sz w:val="18"/>
          <w:szCs w:val="18"/>
        </w:rPr>
        <w:t xml:space="preserve"> </w:t>
      </w:r>
    </w:p>
    <w:p w:rsidR="005D3822" w:rsidRPr="00F31D8E" w:rsidRDefault="005D3822" w:rsidP="005D3822">
      <w:pPr>
        <w:jc w:val="both"/>
        <w:rPr>
          <w:rFonts w:ascii="Arial" w:hAnsi="Arial" w:cs="Arial"/>
          <w:bCs/>
          <w:sz w:val="18"/>
          <w:szCs w:val="18"/>
        </w:rPr>
      </w:pPr>
    </w:p>
    <w:p w:rsidR="005D3822" w:rsidRDefault="005D3822" w:rsidP="005D3822">
      <w:pPr>
        <w:rPr>
          <w:rFonts w:ascii="Arial" w:hAnsi="Arial" w:cs="Arial"/>
          <w:b/>
          <w:bCs/>
          <w:sz w:val="18"/>
          <w:szCs w:val="18"/>
        </w:rPr>
      </w:pPr>
    </w:p>
    <w:p w:rsidR="005D3822" w:rsidRPr="00F31D8E" w:rsidRDefault="005D3822" w:rsidP="005D3822">
      <w:pPr>
        <w:tabs>
          <w:tab w:val="left" w:pos="540"/>
        </w:tabs>
        <w:spacing w:line="260" w:lineRule="exact"/>
        <w:jc w:val="both"/>
        <w:rPr>
          <w:rFonts w:ascii="Arial" w:hAnsi="Arial" w:cs="Arial"/>
          <w:b/>
          <w:bCs/>
          <w:sz w:val="18"/>
          <w:szCs w:val="18"/>
        </w:rPr>
      </w:pPr>
      <w:r w:rsidRPr="00F31D8E">
        <w:rPr>
          <w:rFonts w:ascii="Arial" w:hAnsi="Arial" w:cs="Arial"/>
          <w:b/>
          <w:bCs/>
          <w:sz w:val="18"/>
          <w:szCs w:val="18"/>
        </w:rPr>
        <w:t>XV</w:t>
      </w:r>
      <w:r>
        <w:rPr>
          <w:rFonts w:ascii="Arial" w:hAnsi="Arial" w:cs="Arial"/>
          <w:b/>
          <w:bCs/>
          <w:sz w:val="18"/>
          <w:szCs w:val="18"/>
        </w:rPr>
        <w:t>I</w:t>
      </w:r>
      <w:r w:rsidRPr="00F31D8E">
        <w:rPr>
          <w:rFonts w:ascii="Arial" w:hAnsi="Arial" w:cs="Arial"/>
          <w:b/>
          <w:bCs/>
          <w:sz w:val="18"/>
          <w:szCs w:val="18"/>
        </w:rPr>
        <w:t xml:space="preserve">. Wskazanie postępowań toczących się przed sądem, organem właściwym dla postępowania arbitrażowego lub organem administracji publicznej. </w:t>
      </w:r>
    </w:p>
    <w:p w:rsidR="005D3822" w:rsidRPr="00F31D8E" w:rsidRDefault="005D3822" w:rsidP="005D3822">
      <w:pPr>
        <w:tabs>
          <w:tab w:val="left" w:pos="540"/>
        </w:tabs>
        <w:spacing w:line="260" w:lineRule="exact"/>
        <w:jc w:val="both"/>
        <w:rPr>
          <w:rFonts w:ascii="Arial" w:hAnsi="Arial" w:cs="Arial"/>
          <w:b/>
          <w:bCs/>
          <w:sz w:val="18"/>
          <w:szCs w:val="18"/>
        </w:rPr>
      </w:pPr>
    </w:p>
    <w:p w:rsidR="005D3822" w:rsidRPr="007040BC" w:rsidRDefault="001120DD" w:rsidP="005D3822">
      <w:pPr>
        <w:tabs>
          <w:tab w:val="left" w:pos="540"/>
        </w:tabs>
        <w:spacing w:line="260" w:lineRule="exact"/>
        <w:jc w:val="both"/>
        <w:rPr>
          <w:rFonts w:ascii="Arial" w:hAnsi="Arial" w:cs="Arial"/>
          <w:bCs/>
          <w:sz w:val="18"/>
          <w:szCs w:val="18"/>
        </w:rPr>
      </w:pPr>
      <w:r>
        <w:rPr>
          <w:rFonts w:ascii="Arial" w:hAnsi="Arial" w:cs="Arial"/>
          <w:bCs/>
          <w:sz w:val="18"/>
          <w:szCs w:val="18"/>
        </w:rPr>
        <w:t>Na dzień 30 września</w:t>
      </w:r>
      <w:r w:rsidR="005D3822" w:rsidRPr="007040BC">
        <w:rPr>
          <w:rFonts w:ascii="Arial" w:hAnsi="Arial" w:cs="Arial"/>
          <w:bCs/>
          <w:sz w:val="18"/>
          <w:szCs w:val="18"/>
        </w:rPr>
        <w:t xml:space="preserve"> </w:t>
      </w:r>
      <w:r w:rsidR="005D3822">
        <w:rPr>
          <w:rFonts w:ascii="Arial" w:hAnsi="Arial" w:cs="Arial"/>
          <w:bCs/>
          <w:sz w:val="18"/>
          <w:szCs w:val="18"/>
        </w:rPr>
        <w:t>202</w:t>
      </w:r>
      <w:r w:rsidR="00C42EEA">
        <w:rPr>
          <w:rFonts w:ascii="Arial" w:hAnsi="Arial" w:cs="Arial"/>
          <w:bCs/>
          <w:sz w:val="18"/>
          <w:szCs w:val="18"/>
        </w:rPr>
        <w:t>1</w:t>
      </w:r>
      <w:r w:rsidR="005D3822" w:rsidRPr="007040BC">
        <w:rPr>
          <w:rFonts w:ascii="Arial" w:hAnsi="Arial" w:cs="Arial"/>
          <w:bCs/>
          <w:sz w:val="18"/>
          <w:szCs w:val="18"/>
        </w:rPr>
        <w:t xml:space="preserve"> r. łączna wartość toczących się postępowań przed sądami, organami właściwymi dla postępowań arbitrażowych oraz organami administracji publicznej, dotyczących zobowiązań oraz wierzytelności Spółki nie stanowiła znaczącej kwoty.</w:t>
      </w:r>
    </w:p>
    <w:p w:rsidR="005D3822" w:rsidRDefault="005D3822" w:rsidP="005D3822">
      <w:pPr>
        <w:rPr>
          <w:rFonts w:ascii="Arial" w:hAnsi="Arial" w:cs="Arial"/>
          <w:b/>
          <w:bCs/>
          <w:sz w:val="18"/>
          <w:szCs w:val="18"/>
        </w:rPr>
      </w:pPr>
    </w:p>
    <w:p w:rsidR="005D3822" w:rsidRPr="00F31D8E" w:rsidRDefault="005D3822" w:rsidP="005D3822">
      <w:pPr>
        <w:rPr>
          <w:rFonts w:ascii="Arial" w:hAnsi="Arial" w:cs="Arial"/>
          <w:b/>
          <w:bCs/>
          <w:sz w:val="18"/>
          <w:szCs w:val="18"/>
        </w:rPr>
      </w:pPr>
    </w:p>
    <w:p w:rsidR="005D3822" w:rsidRPr="00F31D8E" w:rsidRDefault="005D3822" w:rsidP="005D3822">
      <w:pPr>
        <w:tabs>
          <w:tab w:val="left" w:pos="540"/>
        </w:tabs>
        <w:spacing w:line="260" w:lineRule="exact"/>
        <w:jc w:val="both"/>
        <w:rPr>
          <w:rFonts w:ascii="Arial" w:hAnsi="Arial" w:cs="Arial"/>
          <w:b/>
          <w:bCs/>
          <w:sz w:val="18"/>
          <w:szCs w:val="18"/>
        </w:rPr>
      </w:pPr>
      <w:r w:rsidRPr="00F31D8E">
        <w:rPr>
          <w:rFonts w:ascii="Arial" w:hAnsi="Arial" w:cs="Arial"/>
          <w:b/>
          <w:bCs/>
          <w:sz w:val="18"/>
          <w:szCs w:val="18"/>
        </w:rPr>
        <w:t>XV</w:t>
      </w:r>
      <w:r>
        <w:rPr>
          <w:rFonts w:ascii="Arial" w:hAnsi="Arial" w:cs="Arial"/>
          <w:b/>
          <w:bCs/>
          <w:sz w:val="18"/>
          <w:szCs w:val="18"/>
        </w:rPr>
        <w:t>I</w:t>
      </w:r>
      <w:r w:rsidRPr="00F31D8E">
        <w:rPr>
          <w:rFonts w:ascii="Arial" w:hAnsi="Arial" w:cs="Arial"/>
          <w:b/>
          <w:bCs/>
          <w:sz w:val="18"/>
          <w:szCs w:val="18"/>
        </w:rPr>
        <w:t>I. Korekty błędów poprzednich okresów.</w:t>
      </w:r>
    </w:p>
    <w:p w:rsidR="005D3822" w:rsidRDefault="005D3822" w:rsidP="005D3822">
      <w:pPr>
        <w:tabs>
          <w:tab w:val="left" w:pos="540"/>
        </w:tabs>
        <w:spacing w:line="260" w:lineRule="exact"/>
        <w:jc w:val="both"/>
        <w:rPr>
          <w:rFonts w:ascii="Arial" w:hAnsi="Arial" w:cs="Arial"/>
          <w:bCs/>
          <w:sz w:val="18"/>
          <w:szCs w:val="18"/>
        </w:rPr>
      </w:pPr>
    </w:p>
    <w:p w:rsidR="005D3822" w:rsidRPr="007040BC" w:rsidRDefault="00834B9B" w:rsidP="005D3822">
      <w:pPr>
        <w:tabs>
          <w:tab w:val="left" w:pos="540"/>
        </w:tabs>
        <w:spacing w:line="260" w:lineRule="exact"/>
        <w:jc w:val="both"/>
        <w:rPr>
          <w:rFonts w:ascii="Arial" w:hAnsi="Arial" w:cs="Arial"/>
          <w:bCs/>
          <w:sz w:val="18"/>
          <w:szCs w:val="18"/>
        </w:rPr>
      </w:pPr>
      <w:r>
        <w:rPr>
          <w:rFonts w:ascii="Arial" w:hAnsi="Arial" w:cs="Arial"/>
          <w:bCs/>
          <w:sz w:val="18"/>
          <w:szCs w:val="18"/>
        </w:rPr>
        <w:t>N</w:t>
      </w:r>
      <w:r w:rsidR="005D3822" w:rsidRPr="007040BC">
        <w:rPr>
          <w:rFonts w:ascii="Arial" w:hAnsi="Arial" w:cs="Arial"/>
          <w:bCs/>
          <w:sz w:val="18"/>
          <w:szCs w:val="18"/>
        </w:rPr>
        <w:t>ie wystąpiły korekty błędów poprzednich okresów.</w:t>
      </w:r>
    </w:p>
    <w:p w:rsidR="005D3822" w:rsidRDefault="005D3822" w:rsidP="005D3822">
      <w:pPr>
        <w:rPr>
          <w:rFonts w:ascii="Arial" w:hAnsi="Arial" w:cs="Arial"/>
          <w:b/>
          <w:bCs/>
          <w:sz w:val="18"/>
          <w:szCs w:val="18"/>
        </w:rPr>
      </w:pPr>
    </w:p>
    <w:p w:rsidR="005D3822" w:rsidRPr="00F31D8E" w:rsidRDefault="005D3822" w:rsidP="005D3822">
      <w:pPr>
        <w:tabs>
          <w:tab w:val="left" w:pos="540"/>
        </w:tabs>
        <w:spacing w:line="260" w:lineRule="exact"/>
        <w:jc w:val="both"/>
        <w:rPr>
          <w:rFonts w:ascii="Arial" w:hAnsi="Arial" w:cs="Arial"/>
          <w:b/>
          <w:bCs/>
          <w:sz w:val="18"/>
          <w:szCs w:val="18"/>
        </w:rPr>
      </w:pPr>
      <w:r w:rsidRPr="00F31D8E">
        <w:rPr>
          <w:rFonts w:ascii="Arial" w:hAnsi="Arial" w:cs="Arial"/>
          <w:b/>
          <w:bCs/>
          <w:sz w:val="18"/>
          <w:szCs w:val="18"/>
        </w:rPr>
        <w:t>XVI</w:t>
      </w:r>
      <w:r>
        <w:rPr>
          <w:rFonts w:ascii="Arial" w:hAnsi="Arial" w:cs="Arial"/>
          <w:b/>
          <w:bCs/>
          <w:sz w:val="18"/>
          <w:szCs w:val="18"/>
        </w:rPr>
        <w:t>I</w:t>
      </w:r>
      <w:r w:rsidRPr="00F31D8E">
        <w:rPr>
          <w:rFonts w:ascii="Arial" w:hAnsi="Arial" w:cs="Arial"/>
          <w:b/>
          <w:bCs/>
          <w:sz w:val="18"/>
          <w:szCs w:val="18"/>
        </w:rPr>
        <w:t xml:space="preserve">I. Informacje o udzieleniu przez INTERFERIE S.A. (Emitenta) poręczeń kredytu lub pożyczki lub udzieleniu gwarancji – jednostce stowarzyszonej z Emitentem, jeżeli łączna wartość istniejących poręczeń lub gwarancji stanowi równowartość co najmniej 10% kapitałów własnych Emitenta. </w:t>
      </w:r>
    </w:p>
    <w:p w:rsidR="005D3822" w:rsidRPr="00F31D8E" w:rsidRDefault="005D3822" w:rsidP="005D3822">
      <w:pPr>
        <w:tabs>
          <w:tab w:val="left" w:pos="540"/>
        </w:tabs>
        <w:spacing w:line="260" w:lineRule="exact"/>
        <w:jc w:val="both"/>
        <w:rPr>
          <w:rFonts w:ascii="Arial" w:hAnsi="Arial" w:cs="Arial"/>
          <w:bCs/>
          <w:sz w:val="18"/>
          <w:szCs w:val="18"/>
        </w:rPr>
      </w:pPr>
    </w:p>
    <w:p w:rsidR="005D3822" w:rsidRPr="007040BC" w:rsidRDefault="005D3822" w:rsidP="005D3822">
      <w:pPr>
        <w:spacing w:line="260" w:lineRule="atLeast"/>
        <w:jc w:val="both"/>
        <w:rPr>
          <w:rFonts w:ascii="Arial" w:hAnsi="Arial" w:cs="Arial"/>
          <w:sz w:val="18"/>
          <w:szCs w:val="18"/>
        </w:rPr>
      </w:pPr>
      <w:r w:rsidRPr="007040BC">
        <w:rPr>
          <w:rFonts w:ascii="Arial" w:hAnsi="Arial" w:cs="Arial"/>
          <w:sz w:val="18"/>
          <w:szCs w:val="18"/>
        </w:rPr>
        <w:t xml:space="preserve">Nie udzielono poręczeń: kredytu, pożyczki i gwarancji, które byłyby znaczące. </w:t>
      </w:r>
    </w:p>
    <w:p w:rsidR="005D3822" w:rsidRDefault="005D3822" w:rsidP="005D3822">
      <w:pPr>
        <w:rPr>
          <w:rFonts w:ascii="Arial" w:hAnsi="Arial" w:cs="Arial"/>
          <w:b/>
          <w:bCs/>
          <w:sz w:val="18"/>
          <w:szCs w:val="18"/>
        </w:rPr>
      </w:pPr>
    </w:p>
    <w:p w:rsidR="005D3822" w:rsidRPr="00F31D8E" w:rsidRDefault="005D3822" w:rsidP="005D3822">
      <w:pPr>
        <w:tabs>
          <w:tab w:val="left" w:pos="540"/>
        </w:tabs>
        <w:spacing w:line="260" w:lineRule="exact"/>
        <w:jc w:val="both"/>
        <w:rPr>
          <w:rFonts w:ascii="Arial" w:hAnsi="Arial" w:cs="Arial"/>
          <w:b/>
          <w:bCs/>
          <w:sz w:val="18"/>
          <w:szCs w:val="18"/>
        </w:rPr>
      </w:pPr>
      <w:r w:rsidRPr="00F31D8E">
        <w:rPr>
          <w:rFonts w:ascii="Arial" w:hAnsi="Arial" w:cs="Arial"/>
          <w:b/>
          <w:bCs/>
          <w:sz w:val="18"/>
          <w:szCs w:val="18"/>
        </w:rPr>
        <w:t>X</w:t>
      </w:r>
      <w:r>
        <w:rPr>
          <w:rFonts w:ascii="Arial" w:hAnsi="Arial" w:cs="Arial"/>
          <w:b/>
          <w:bCs/>
          <w:sz w:val="18"/>
          <w:szCs w:val="18"/>
        </w:rPr>
        <w:t>IX</w:t>
      </w:r>
      <w:r w:rsidRPr="00F31D8E">
        <w:rPr>
          <w:rFonts w:ascii="Arial" w:hAnsi="Arial" w:cs="Arial"/>
          <w:b/>
          <w:bCs/>
          <w:sz w:val="18"/>
          <w:szCs w:val="18"/>
        </w:rPr>
        <w:t xml:space="preserve">. Informacje o zawarciu przez Emitenta lub jednostkę od niego zależną jednej lub wielu transakcji </w:t>
      </w:r>
      <w:r w:rsidRPr="00F31D8E">
        <w:rPr>
          <w:rFonts w:ascii="Arial" w:hAnsi="Arial" w:cs="Arial"/>
          <w:b/>
          <w:bCs/>
          <w:sz w:val="18"/>
          <w:szCs w:val="18"/>
        </w:rPr>
        <w:br/>
        <w:t>z podmiotami powiązanymi, jeżeli pojedynczo lub łącznie są one istotne i zostały zawarte na innych warunkach niż rynkowe.</w:t>
      </w:r>
    </w:p>
    <w:p w:rsidR="005D3822" w:rsidRPr="00F31D8E" w:rsidRDefault="005D3822" w:rsidP="005D3822">
      <w:pPr>
        <w:tabs>
          <w:tab w:val="left" w:pos="540"/>
        </w:tabs>
        <w:spacing w:line="260" w:lineRule="exact"/>
        <w:jc w:val="both"/>
        <w:rPr>
          <w:rFonts w:ascii="Arial" w:hAnsi="Arial" w:cs="Arial"/>
          <w:b/>
          <w:bCs/>
          <w:sz w:val="18"/>
          <w:szCs w:val="18"/>
        </w:rPr>
      </w:pPr>
    </w:p>
    <w:p w:rsidR="005D3822" w:rsidRDefault="005D3822" w:rsidP="005D3822">
      <w:pPr>
        <w:tabs>
          <w:tab w:val="left" w:pos="540"/>
        </w:tabs>
        <w:spacing w:line="260" w:lineRule="exact"/>
        <w:jc w:val="both"/>
        <w:rPr>
          <w:rFonts w:ascii="Arial" w:hAnsi="Arial" w:cs="Arial"/>
          <w:bCs/>
          <w:sz w:val="18"/>
          <w:szCs w:val="18"/>
        </w:rPr>
      </w:pPr>
      <w:r w:rsidRPr="00F31D8E">
        <w:rPr>
          <w:rFonts w:ascii="Arial" w:hAnsi="Arial" w:cs="Arial"/>
          <w:bCs/>
          <w:sz w:val="18"/>
          <w:szCs w:val="18"/>
        </w:rPr>
        <w:t>W okresie od dnia 01.01.</w:t>
      </w:r>
      <w:r>
        <w:rPr>
          <w:rFonts w:ascii="Arial" w:hAnsi="Arial" w:cs="Arial"/>
          <w:bCs/>
          <w:sz w:val="18"/>
          <w:szCs w:val="18"/>
        </w:rPr>
        <w:t>20</w:t>
      </w:r>
      <w:r w:rsidR="00AC67E4">
        <w:rPr>
          <w:rFonts w:ascii="Arial" w:hAnsi="Arial" w:cs="Arial"/>
          <w:bCs/>
          <w:sz w:val="18"/>
          <w:szCs w:val="18"/>
        </w:rPr>
        <w:t>2</w:t>
      </w:r>
      <w:r w:rsidR="00C42EEA">
        <w:rPr>
          <w:rFonts w:ascii="Arial" w:hAnsi="Arial" w:cs="Arial"/>
          <w:bCs/>
          <w:sz w:val="18"/>
          <w:szCs w:val="18"/>
        </w:rPr>
        <w:t>1</w:t>
      </w:r>
      <w:r w:rsidRPr="00F31D8E">
        <w:rPr>
          <w:rFonts w:ascii="Arial" w:hAnsi="Arial" w:cs="Arial"/>
          <w:bCs/>
          <w:sz w:val="18"/>
          <w:szCs w:val="18"/>
        </w:rPr>
        <w:t xml:space="preserve"> r. do dnia 30.09.</w:t>
      </w:r>
      <w:r>
        <w:rPr>
          <w:rFonts w:ascii="Arial" w:hAnsi="Arial" w:cs="Arial"/>
          <w:bCs/>
          <w:sz w:val="18"/>
          <w:szCs w:val="18"/>
        </w:rPr>
        <w:t>20</w:t>
      </w:r>
      <w:r w:rsidR="00AC67E4">
        <w:rPr>
          <w:rFonts w:ascii="Arial" w:hAnsi="Arial" w:cs="Arial"/>
          <w:bCs/>
          <w:sz w:val="18"/>
          <w:szCs w:val="18"/>
        </w:rPr>
        <w:t>2</w:t>
      </w:r>
      <w:r w:rsidR="00C42EEA">
        <w:rPr>
          <w:rFonts w:ascii="Arial" w:hAnsi="Arial" w:cs="Arial"/>
          <w:bCs/>
          <w:sz w:val="18"/>
          <w:szCs w:val="18"/>
        </w:rPr>
        <w:t>1</w:t>
      </w:r>
      <w:r w:rsidRPr="00F31D8E">
        <w:rPr>
          <w:rFonts w:ascii="Arial" w:hAnsi="Arial" w:cs="Arial"/>
          <w:bCs/>
          <w:sz w:val="18"/>
          <w:szCs w:val="18"/>
        </w:rPr>
        <w:t xml:space="preserve"> r. INTERFERIE S.A. nie zawarła jednej lub wielu transakcji </w:t>
      </w:r>
      <w:r w:rsidRPr="00F31D8E">
        <w:rPr>
          <w:rFonts w:ascii="Arial" w:hAnsi="Arial" w:cs="Arial"/>
          <w:bCs/>
          <w:sz w:val="18"/>
          <w:szCs w:val="18"/>
        </w:rPr>
        <w:br/>
        <w:t>z podmiotami powiązanymi, na warunkach innych niż rynkowe.</w:t>
      </w:r>
    </w:p>
    <w:p w:rsidR="005D3822" w:rsidRPr="00F31D8E" w:rsidRDefault="005D3822" w:rsidP="005D3822">
      <w:pPr>
        <w:tabs>
          <w:tab w:val="left" w:pos="540"/>
        </w:tabs>
        <w:spacing w:line="260" w:lineRule="exact"/>
        <w:jc w:val="both"/>
        <w:rPr>
          <w:rFonts w:ascii="Arial" w:hAnsi="Arial" w:cs="Arial"/>
          <w:bCs/>
          <w:sz w:val="18"/>
          <w:szCs w:val="18"/>
        </w:rPr>
      </w:pPr>
    </w:p>
    <w:p w:rsidR="005D3822" w:rsidRPr="00F31D8E" w:rsidRDefault="005D3822" w:rsidP="005D3822">
      <w:pPr>
        <w:tabs>
          <w:tab w:val="left" w:pos="540"/>
        </w:tabs>
        <w:spacing w:line="260" w:lineRule="exact"/>
        <w:jc w:val="both"/>
        <w:rPr>
          <w:rFonts w:ascii="Arial" w:hAnsi="Arial" w:cs="Arial"/>
          <w:b/>
          <w:bCs/>
          <w:sz w:val="18"/>
          <w:szCs w:val="18"/>
        </w:rPr>
      </w:pPr>
      <w:r>
        <w:rPr>
          <w:rFonts w:ascii="Arial" w:hAnsi="Arial" w:cs="Arial"/>
          <w:b/>
          <w:bCs/>
          <w:sz w:val="18"/>
          <w:szCs w:val="18"/>
        </w:rPr>
        <w:t>X</w:t>
      </w:r>
      <w:r w:rsidRPr="00F31D8E">
        <w:rPr>
          <w:rFonts w:ascii="Arial" w:hAnsi="Arial" w:cs="Arial"/>
          <w:b/>
          <w:bCs/>
          <w:sz w:val="18"/>
          <w:szCs w:val="18"/>
        </w:rPr>
        <w:t xml:space="preserve">X. Stanowisko Zarządu odnośnie możliwości zrealizowania wcześniej publikowanych prognoz wyników na rok </w:t>
      </w:r>
      <w:r>
        <w:rPr>
          <w:rFonts w:ascii="Arial" w:hAnsi="Arial" w:cs="Arial"/>
          <w:b/>
          <w:bCs/>
          <w:sz w:val="18"/>
          <w:szCs w:val="18"/>
        </w:rPr>
        <w:t>202</w:t>
      </w:r>
      <w:r w:rsidR="00C42EEA">
        <w:rPr>
          <w:rFonts w:ascii="Arial" w:hAnsi="Arial" w:cs="Arial"/>
          <w:b/>
          <w:bCs/>
          <w:sz w:val="18"/>
          <w:szCs w:val="18"/>
        </w:rPr>
        <w:t>1</w:t>
      </w:r>
      <w:r w:rsidRPr="00F31D8E">
        <w:rPr>
          <w:rFonts w:ascii="Arial" w:hAnsi="Arial" w:cs="Arial"/>
          <w:b/>
          <w:bCs/>
          <w:sz w:val="18"/>
          <w:szCs w:val="18"/>
        </w:rPr>
        <w:t>, w świetle wyników zaprezentowanych w skonsolidowanym raporcie kwartalnym w stosunku do wyników prognozowanych.</w:t>
      </w:r>
    </w:p>
    <w:p w:rsidR="005D3822" w:rsidRDefault="005D3822" w:rsidP="005D3822">
      <w:pPr>
        <w:tabs>
          <w:tab w:val="left" w:pos="540"/>
        </w:tabs>
        <w:spacing w:line="260" w:lineRule="exact"/>
        <w:jc w:val="both"/>
        <w:rPr>
          <w:rFonts w:ascii="Arial" w:hAnsi="Arial" w:cs="Arial"/>
          <w:bCs/>
          <w:sz w:val="18"/>
          <w:szCs w:val="18"/>
        </w:rPr>
      </w:pPr>
    </w:p>
    <w:p w:rsidR="005D3822" w:rsidRPr="00F31D8E" w:rsidRDefault="005D3822" w:rsidP="005D3822">
      <w:pPr>
        <w:tabs>
          <w:tab w:val="left" w:pos="540"/>
        </w:tabs>
        <w:spacing w:line="260" w:lineRule="exact"/>
        <w:jc w:val="both"/>
        <w:rPr>
          <w:rFonts w:ascii="Arial" w:hAnsi="Arial" w:cs="Arial"/>
          <w:bCs/>
          <w:sz w:val="18"/>
          <w:szCs w:val="18"/>
        </w:rPr>
      </w:pPr>
      <w:r w:rsidRPr="00F31D8E">
        <w:rPr>
          <w:rFonts w:ascii="Arial" w:hAnsi="Arial" w:cs="Arial"/>
          <w:bCs/>
          <w:sz w:val="18"/>
          <w:szCs w:val="18"/>
        </w:rPr>
        <w:t xml:space="preserve">Zarząd INTERFERIE S.A. nie publikował prognoz wyników na </w:t>
      </w:r>
      <w:r>
        <w:rPr>
          <w:rFonts w:ascii="Arial" w:hAnsi="Arial" w:cs="Arial"/>
          <w:bCs/>
          <w:sz w:val="18"/>
          <w:szCs w:val="18"/>
        </w:rPr>
        <w:t>202</w:t>
      </w:r>
      <w:r w:rsidR="001120DD">
        <w:rPr>
          <w:rFonts w:ascii="Arial" w:hAnsi="Arial" w:cs="Arial"/>
          <w:bCs/>
          <w:sz w:val="18"/>
          <w:szCs w:val="18"/>
        </w:rPr>
        <w:t>1</w:t>
      </w:r>
      <w:r w:rsidRPr="00F31D8E">
        <w:rPr>
          <w:rFonts w:ascii="Arial" w:hAnsi="Arial" w:cs="Arial"/>
          <w:bCs/>
          <w:sz w:val="18"/>
          <w:szCs w:val="18"/>
        </w:rPr>
        <w:t xml:space="preserve"> rok.</w:t>
      </w:r>
    </w:p>
    <w:p w:rsidR="005D3822" w:rsidRPr="00F31D8E" w:rsidRDefault="005D3822" w:rsidP="005D3822">
      <w:pPr>
        <w:rPr>
          <w:rFonts w:ascii="Arial" w:hAnsi="Arial" w:cs="Arial"/>
          <w:b/>
          <w:bCs/>
          <w:sz w:val="18"/>
          <w:szCs w:val="18"/>
        </w:rPr>
      </w:pPr>
    </w:p>
    <w:p w:rsidR="005D3822" w:rsidRPr="00F31D8E" w:rsidRDefault="005D3822" w:rsidP="005D3822">
      <w:pPr>
        <w:tabs>
          <w:tab w:val="left" w:pos="540"/>
        </w:tabs>
        <w:spacing w:line="260" w:lineRule="exact"/>
        <w:jc w:val="both"/>
        <w:rPr>
          <w:rFonts w:ascii="Arial" w:hAnsi="Arial" w:cs="Arial"/>
          <w:b/>
          <w:bCs/>
          <w:sz w:val="18"/>
          <w:szCs w:val="18"/>
        </w:rPr>
      </w:pPr>
      <w:r w:rsidRPr="00F31D8E">
        <w:rPr>
          <w:rFonts w:ascii="Arial" w:hAnsi="Arial" w:cs="Arial"/>
          <w:b/>
          <w:bCs/>
          <w:sz w:val="18"/>
          <w:szCs w:val="18"/>
        </w:rPr>
        <w:t>XX</w:t>
      </w:r>
      <w:r>
        <w:rPr>
          <w:rFonts w:ascii="Arial" w:hAnsi="Arial" w:cs="Arial"/>
          <w:b/>
          <w:bCs/>
          <w:sz w:val="18"/>
          <w:szCs w:val="18"/>
        </w:rPr>
        <w:t>I</w:t>
      </w:r>
      <w:r w:rsidRPr="00F31D8E">
        <w:rPr>
          <w:rFonts w:ascii="Arial" w:hAnsi="Arial" w:cs="Arial"/>
          <w:b/>
          <w:bCs/>
          <w:sz w:val="18"/>
          <w:szCs w:val="18"/>
        </w:rPr>
        <w:t>. Akcjonariusze posiadający co najmniej 5% ogólnej liczby głosów na Walnym Zgromadzeniu INTERFERIE S.A. na dzień przekazania raportu, zmiany w strukturze własności znacznych pakietów akcji jednostki dominującej w okresie od przekazania poprzedniego raportu.</w:t>
      </w:r>
    </w:p>
    <w:p w:rsidR="005D3822" w:rsidRPr="00F31D8E" w:rsidRDefault="005D3822" w:rsidP="005D3822">
      <w:pPr>
        <w:tabs>
          <w:tab w:val="left" w:pos="540"/>
        </w:tabs>
        <w:spacing w:line="260" w:lineRule="exact"/>
        <w:jc w:val="both"/>
        <w:rPr>
          <w:rFonts w:ascii="Arial" w:hAnsi="Arial" w:cs="Arial"/>
          <w:bCs/>
          <w:sz w:val="18"/>
          <w:szCs w:val="18"/>
        </w:rPr>
      </w:pPr>
    </w:p>
    <w:p w:rsidR="005D3822" w:rsidRPr="00CA0C51" w:rsidRDefault="005D3822" w:rsidP="005D3822">
      <w:pPr>
        <w:tabs>
          <w:tab w:val="left" w:pos="540"/>
        </w:tabs>
        <w:spacing w:line="260" w:lineRule="exact"/>
        <w:jc w:val="both"/>
        <w:rPr>
          <w:rFonts w:ascii="Arial" w:hAnsi="Arial" w:cs="Arial"/>
          <w:bCs/>
          <w:sz w:val="18"/>
          <w:szCs w:val="18"/>
        </w:rPr>
      </w:pPr>
      <w:r w:rsidRPr="00CA0C51">
        <w:rPr>
          <w:rFonts w:ascii="Arial" w:hAnsi="Arial" w:cs="Arial"/>
          <w:bCs/>
          <w:sz w:val="18"/>
          <w:szCs w:val="18"/>
        </w:rPr>
        <w:t>Zgodnie z zawiadomieniami otrzymanymi przez INTERFERIE S.A. na podstawie art. 147 ustawy Prawo</w:t>
      </w:r>
      <w:r w:rsidRPr="00CA0C51">
        <w:rPr>
          <w:rFonts w:ascii="Arial" w:hAnsi="Arial" w:cs="Arial"/>
          <w:bCs/>
          <w:sz w:val="18"/>
          <w:szCs w:val="18"/>
        </w:rPr>
        <w:br/>
        <w:t xml:space="preserve"> o publicznym obrocie papierami wartościowymi, następujący akcjonariusze posiadają co najmniej 5% ogólnej liczby głosów na Walnym Zgromadzeniu INTERFERIE S.A. na dzień przekazania niniejszego raportu:</w:t>
      </w:r>
    </w:p>
    <w:p w:rsidR="00834B9B" w:rsidRDefault="00834B9B">
      <w:pPr>
        <w:rPr>
          <w:rFonts w:ascii="Arial" w:hAnsi="Arial" w:cs="Arial"/>
          <w:sz w:val="18"/>
          <w:szCs w:val="18"/>
        </w:rPr>
      </w:pPr>
    </w:p>
    <w:p w:rsidR="005D3822" w:rsidRDefault="005D3822" w:rsidP="005D3822">
      <w:pPr>
        <w:tabs>
          <w:tab w:val="left" w:pos="540"/>
        </w:tabs>
        <w:spacing w:line="260" w:lineRule="exact"/>
        <w:jc w:val="both"/>
        <w:rPr>
          <w:rFonts w:ascii="Arial" w:hAnsi="Arial" w:cs="Arial"/>
          <w:sz w:val="18"/>
          <w:szCs w:val="18"/>
        </w:rPr>
      </w:pPr>
    </w:p>
    <w:tbl>
      <w:tblPr>
        <w:tblW w:w="8178" w:type="dxa"/>
        <w:tblInd w:w="57" w:type="dxa"/>
        <w:tblCellMar>
          <w:left w:w="70" w:type="dxa"/>
          <w:right w:w="70" w:type="dxa"/>
        </w:tblCellMar>
        <w:tblLook w:val="0000" w:firstRow="0" w:lastRow="0" w:firstColumn="0" w:lastColumn="0" w:noHBand="0" w:noVBand="0"/>
      </w:tblPr>
      <w:tblGrid>
        <w:gridCol w:w="2538"/>
        <w:gridCol w:w="1435"/>
        <w:gridCol w:w="2110"/>
        <w:gridCol w:w="2095"/>
      </w:tblGrid>
      <w:tr w:rsidR="005D3822" w:rsidRPr="00F06708" w:rsidTr="00FB7083">
        <w:trPr>
          <w:trHeight w:val="304"/>
        </w:trPr>
        <w:tc>
          <w:tcPr>
            <w:tcW w:w="2538" w:type="dxa"/>
            <w:tcBorders>
              <w:top w:val="nil"/>
              <w:left w:val="nil"/>
              <w:bottom w:val="single" w:sz="4" w:space="0" w:color="auto"/>
              <w:right w:val="nil"/>
            </w:tcBorders>
            <w:vAlign w:val="center"/>
          </w:tcPr>
          <w:p w:rsidR="00F06708" w:rsidRDefault="005D3822" w:rsidP="00FB7083">
            <w:pPr>
              <w:jc w:val="center"/>
              <w:rPr>
                <w:rFonts w:ascii="Arial" w:hAnsi="Arial" w:cs="Arial"/>
                <w:b/>
                <w:bCs/>
                <w:sz w:val="16"/>
                <w:szCs w:val="16"/>
              </w:rPr>
            </w:pPr>
            <w:r w:rsidRPr="00F06708">
              <w:rPr>
                <w:rFonts w:ascii="Arial" w:hAnsi="Arial" w:cs="Arial"/>
                <w:b/>
                <w:bCs/>
                <w:sz w:val="16"/>
                <w:szCs w:val="16"/>
              </w:rPr>
              <w:t xml:space="preserve">Struktura akcjonariatu </w:t>
            </w:r>
          </w:p>
          <w:p w:rsidR="005D3822" w:rsidRPr="00F06708" w:rsidRDefault="005D3822" w:rsidP="00FB7083">
            <w:pPr>
              <w:jc w:val="center"/>
              <w:rPr>
                <w:rFonts w:ascii="Arial" w:hAnsi="Arial" w:cs="Arial"/>
                <w:b/>
                <w:bCs/>
                <w:sz w:val="16"/>
                <w:szCs w:val="16"/>
              </w:rPr>
            </w:pPr>
            <w:r w:rsidRPr="00F06708">
              <w:rPr>
                <w:rFonts w:ascii="Arial" w:hAnsi="Arial" w:cs="Arial"/>
                <w:b/>
                <w:bCs/>
                <w:sz w:val="16"/>
                <w:szCs w:val="16"/>
              </w:rPr>
              <w:t>powyżej 5%</w:t>
            </w:r>
          </w:p>
        </w:tc>
        <w:tc>
          <w:tcPr>
            <w:tcW w:w="1435" w:type="dxa"/>
            <w:tcBorders>
              <w:top w:val="nil"/>
              <w:left w:val="nil"/>
              <w:bottom w:val="single" w:sz="4" w:space="0" w:color="auto"/>
              <w:right w:val="nil"/>
            </w:tcBorders>
            <w:vAlign w:val="center"/>
          </w:tcPr>
          <w:p w:rsidR="00F06708" w:rsidRDefault="005D3822" w:rsidP="00FB7083">
            <w:pPr>
              <w:jc w:val="center"/>
              <w:rPr>
                <w:rFonts w:ascii="Arial" w:hAnsi="Arial" w:cs="Arial"/>
                <w:b/>
                <w:bCs/>
                <w:sz w:val="16"/>
                <w:szCs w:val="16"/>
              </w:rPr>
            </w:pPr>
            <w:r w:rsidRPr="00F06708">
              <w:rPr>
                <w:rFonts w:ascii="Arial" w:hAnsi="Arial" w:cs="Arial"/>
                <w:b/>
                <w:bCs/>
                <w:sz w:val="16"/>
                <w:szCs w:val="16"/>
              </w:rPr>
              <w:t>Liczba</w:t>
            </w:r>
          </w:p>
          <w:p w:rsidR="005D3822" w:rsidRPr="00F06708" w:rsidRDefault="005D3822" w:rsidP="00FB7083">
            <w:pPr>
              <w:jc w:val="center"/>
              <w:rPr>
                <w:rFonts w:ascii="Arial" w:hAnsi="Arial" w:cs="Arial"/>
                <w:b/>
                <w:bCs/>
                <w:sz w:val="16"/>
                <w:szCs w:val="16"/>
              </w:rPr>
            </w:pPr>
            <w:r w:rsidRPr="00F06708">
              <w:rPr>
                <w:rFonts w:ascii="Arial" w:hAnsi="Arial" w:cs="Arial"/>
                <w:b/>
                <w:bCs/>
                <w:sz w:val="16"/>
                <w:szCs w:val="16"/>
              </w:rPr>
              <w:t xml:space="preserve"> głosów</w:t>
            </w:r>
          </w:p>
        </w:tc>
        <w:tc>
          <w:tcPr>
            <w:tcW w:w="2110" w:type="dxa"/>
            <w:tcBorders>
              <w:top w:val="nil"/>
              <w:left w:val="nil"/>
              <w:bottom w:val="single" w:sz="4" w:space="0" w:color="auto"/>
              <w:right w:val="nil"/>
            </w:tcBorders>
            <w:vAlign w:val="center"/>
          </w:tcPr>
          <w:p w:rsidR="005D3822" w:rsidRPr="00F06708" w:rsidRDefault="005D3822" w:rsidP="00FB7083">
            <w:pPr>
              <w:jc w:val="center"/>
              <w:rPr>
                <w:rFonts w:ascii="Arial" w:hAnsi="Arial" w:cs="Arial"/>
                <w:b/>
                <w:bCs/>
                <w:sz w:val="16"/>
                <w:szCs w:val="16"/>
              </w:rPr>
            </w:pPr>
            <w:r w:rsidRPr="00F06708">
              <w:rPr>
                <w:rFonts w:ascii="Arial" w:hAnsi="Arial" w:cs="Arial"/>
                <w:b/>
                <w:bCs/>
                <w:sz w:val="16"/>
                <w:szCs w:val="16"/>
              </w:rPr>
              <w:t>Akcjonariat według liczby głosów</w:t>
            </w:r>
          </w:p>
        </w:tc>
        <w:tc>
          <w:tcPr>
            <w:tcW w:w="2095" w:type="dxa"/>
            <w:tcBorders>
              <w:top w:val="nil"/>
              <w:left w:val="nil"/>
              <w:bottom w:val="single" w:sz="4" w:space="0" w:color="auto"/>
              <w:right w:val="nil"/>
            </w:tcBorders>
            <w:vAlign w:val="center"/>
          </w:tcPr>
          <w:p w:rsidR="005D3822" w:rsidRPr="00F06708" w:rsidRDefault="005D3822" w:rsidP="00FB7083">
            <w:pPr>
              <w:jc w:val="center"/>
              <w:rPr>
                <w:rFonts w:ascii="Arial" w:hAnsi="Arial" w:cs="Arial"/>
                <w:b/>
                <w:bCs/>
                <w:sz w:val="16"/>
                <w:szCs w:val="16"/>
              </w:rPr>
            </w:pPr>
            <w:r w:rsidRPr="00F06708">
              <w:rPr>
                <w:rFonts w:ascii="Arial" w:hAnsi="Arial" w:cs="Arial"/>
                <w:b/>
                <w:bCs/>
                <w:sz w:val="16"/>
                <w:szCs w:val="16"/>
              </w:rPr>
              <w:t>Akcjonariat według liczby akcji</w:t>
            </w:r>
          </w:p>
        </w:tc>
      </w:tr>
      <w:tr w:rsidR="005D3822" w:rsidRPr="00F06708" w:rsidTr="00FB7083">
        <w:trPr>
          <w:trHeight w:val="234"/>
        </w:trPr>
        <w:tc>
          <w:tcPr>
            <w:tcW w:w="2538" w:type="dxa"/>
            <w:tcBorders>
              <w:top w:val="nil"/>
              <w:left w:val="nil"/>
              <w:bottom w:val="nil"/>
              <w:right w:val="nil"/>
            </w:tcBorders>
            <w:vAlign w:val="bottom"/>
          </w:tcPr>
          <w:p w:rsidR="005D3822" w:rsidRPr="00F06708" w:rsidRDefault="005D3822" w:rsidP="00FB7083">
            <w:pPr>
              <w:rPr>
                <w:rFonts w:ascii="Arial" w:hAnsi="Arial" w:cs="Arial"/>
                <w:sz w:val="16"/>
                <w:szCs w:val="16"/>
              </w:rPr>
            </w:pPr>
            <w:r w:rsidRPr="00F06708">
              <w:rPr>
                <w:rFonts w:ascii="Arial" w:hAnsi="Arial" w:cs="Arial"/>
                <w:sz w:val="16"/>
                <w:szCs w:val="16"/>
              </w:rPr>
              <w:t>Fundusz Hotele 01 Spółka z o.o. spółka komandytowo-akcyjna</w:t>
            </w:r>
          </w:p>
        </w:tc>
        <w:tc>
          <w:tcPr>
            <w:tcW w:w="1435" w:type="dxa"/>
            <w:tcBorders>
              <w:top w:val="nil"/>
              <w:left w:val="nil"/>
              <w:bottom w:val="nil"/>
              <w:right w:val="nil"/>
            </w:tcBorders>
            <w:vAlign w:val="bottom"/>
          </w:tcPr>
          <w:p w:rsidR="005D3822" w:rsidRPr="00F06708" w:rsidRDefault="005D3822" w:rsidP="00FB7083">
            <w:pPr>
              <w:jc w:val="center"/>
              <w:rPr>
                <w:rFonts w:ascii="Arial" w:hAnsi="Arial" w:cs="Arial"/>
                <w:sz w:val="16"/>
                <w:szCs w:val="16"/>
              </w:rPr>
            </w:pPr>
            <w:r w:rsidRPr="00F06708">
              <w:rPr>
                <w:rFonts w:ascii="Arial" w:hAnsi="Arial" w:cs="Arial"/>
                <w:sz w:val="16"/>
                <w:szCs w:val="16"/>
              </w:rPr>
              <w:t>9 861 625</w:t>
            </w:r>
          </w:p>
        </w:tc>
        <w:tc>
          <w:tcPr>
            <w:tcW w:w="2110" w:type="dxa"/>
            <w:tcBorders>
              <w:top w:val="nil"/>
              <w:left w:val="nil"/>
              <w:bottom w:val="nil"/>
              <w:right w:val="nil"/>
            </w:tcBorders>
            <w:vAlign w:val="bottom"/>
          </w:tcPr>
          <w:p w:rsidR="005D3822" w:rsidRPr="00F06708" w:rsidRDefault="005D3822" w:rsidP="00FB7083">
            <w:pPr>
              <w:jc w:val="center"/>
              <w:rPr>
                <w:rFonts w:ascii="Arial" w:hAnsi="Arial" w:cs="Arial"/>
                <w:sz w:val="16"/>
                <w:szCs w:val="16"/>
              </w:rPr>
            </w:pPr>
            <w:r w:rsidRPr="00F06708">
              <w:rPr>
                <w:rFonts w:ascii="Arial" w:hAnsi="Arial" w:cs="Arial"/>
                <w:sz w:val="16"/>
                <w:szCs w:val="16"/>
              </w:rPr>
              <w:t>67,71%</w:t>
            </w:r>
          </w:p>
        </w:tc>
        <w:tc>
          <w:tcPr>
            <w:tcW w:w="2095" w:type="dxa"/>
            <w:tcBorders>
              <w:top w:val="nil"/>
              <w:left w:val="nil"/>
              <w:bottom w:val="nil"/>
              <w:right w:val="nil"/>
            </w:tcBorders>
            <w:vAlign w:val="bottom"/>
          </w:tcPr>
          <w:p w:rsidR="005D3822" w:rsidRPr="00F06708" w:rsidRDefault="005D3822" w:rsidP="00FB7083">
            <w:pPr>
              <w:jc w:val="center"/>
              <w:rPr>
                <w:rFonts w:ascii="Arial" w:hAnsi="Arial" w:cs="Arial"/>
                <w:sz w:val="16"/>
                <w:szCs w:val="16"/>
              </w:rPr>
            </w:pPr>
            <w:r w:rsidRPr="00F06708">
              <w:rPr>
                <w:rFonts w:ascii="Arial" w:hAnsi="Arial" w:cs="Arial"/>
                <w:sz w:val="16"/>
                <w:szCs w:val="16"/>
              </w:rPr>
              <w:t>67,71%</w:t>
            </w:r>
          </w:p>
        </w:tc>
      </w:tr>
      <w:tr w:rsidR="005D3822" w:rsidRPr="00F06708" w:rsidTr="00FB7083">
        <w:trPr>
          <w:trHeight w:val="307"/>
        </w:trPr>
        <w:tc>
          <w:tcPr>
            <w:tcW w:w="2538" w:type="dxa"/>
            <w:tcBorders>
              <w:top w:val="nil"/>
              <w:left w:val="nil"/>
              <w:bottom w:val="nil"/>
              <w:right w:val="nil"/>
            </w:tcBorders>
            <w:vAlign w:val="bottom"/>
          </w:tcPr>
          <w:p w:rsidR="005D3822" w:rsidRPr="00F06708" w:rsidRDefault="005D3822" w:rsidP="00FB7083">
            <w:pPr>
              <w:rPr>
                <w:rFonts w:ascii="Arial" w:hAnsi="Arial" w:cs="Arial"/>
                <w:sz w:val="16"/>
                <w:szCs w:val="16"/>
              </w:rPr>
            </w:pPr>
            <w:r w:rsidRPr="00F06708">
              <w:rPr>
                <w:rFonts w:ascii="Arial" w:hAnsi="Arial" w:cs="Arial"/>
                <w:sz w:val="16"/>
                <w:szCs w:val="16"/>
              </w:rPr>
              <w:t>URBEX Sp. z o.o.</w:t>
            </w:r>
          </w:p>
        </w:tc>
        <w:tc>
          <w:tcPr>
            <w:tcW w:w="1435" w:type="dxa"/>
            <w:tcBorders>
              <w:top w:val="nil"/>
              <w:left w:val="nil"/>
              <w:bottom w:val="nil"/>
              <w:right w:val="nil"/>
            </w:tcBorders>
            <w:vAlign w:val="bottom"/>
          </w:tcPr>
          <w:p w:rsidR="005D3822" w:rsidRPr="00F06708" w:rsidRDefault="005D3822" w:rsidP="00FB7083">
            <w:pPr>
              <w:jc w:val="center"/>
              <w:rPr>
                <w:rFonts w:ascii="Arial" w:hAnsi="Arial" w:cs="Arial"/>
                <w:sz w:val="16"/>
                <w:szCs w:val="16"/>
              </w:rPr>
            </w:pPr>
            <w:r w:rsidRPr="00F06708">
              <w:rPr>
                <w:rFonts w:ascii="Arial" w:hAnsi="Arial" w:cs="Arial"/>
                <w:sz w:val="16"/>
                <w:szCs w:val="16"/>
              </w:rPr>
              <w:t>2 197 969</w:t>
            </w:r>
          </w:p>
        </w:tc>
        <w:tc>
          <w:tcPr>
            <w:tcW w:w="2110" w:type="dxa"/>
            <w:tcBorders>
              <w:top w:val="nil"/>
              <w:left w:val="nil"/>
              <w:bottom w:val="nil"/>
              <w:right w:val="nil"/>
            </w:tcBorders>
            <w:vAlign w:val="bottom"/>
          </w:tcPr>
          <w:p w:rsidR="005D3822" w:rsidRPr="00F06708" w:rsidRDefault="005D3822" w:rsidP="00FB7083">
            <w:pPr>
              <w:jc w:val="center"/>
              <w:rPr>
                <w:rFonts w:ascii="Arial" w:hAnsi="Arial" w:cs="Arial"/>
                <w:sz w:val="16"/>
                <w:szCs w:val="16"/>
              </w:rPr>
            </w:pPr>
            <w:r w:rsidRPr="00F06708">
              <w:rPr>
                <w:rFonts w:ascii="Arial" w:hAnsi="Arial" w:cs="Arial"/>
                <w:sz w:val="16"/>
                <w:szCs w:val="16"/>
              </w:rPr>
              <w:t>15,09%</w:t>
            </w:r>
          </w:p>
        </w:tc>
        <w:tc>
          <w:tcPr>
            <w:tcW w:w="2095" w:type="dxa"/>
            <w:tcBorders>
              <w:top w:val="nil"/>
              <w:left w:val="nil"/>
              <w:bottom w:val="nil"/>
              <w:right w:val="nil"/>
            </w:tcBorders>
            <w:vAlign w:val="bottom"/>
          </w:tcPr>
          <w:p w:rsidR="005D3822" w:rsidRPr="00F06708" w:rsidRDefault="005D3822" w:rsidP="00FB7083">
            <w:pPr>
              <w:jc w:val="center"/>
              <w:rPr>
                <w:rFonts w:ascii="Arial" w:hAnsi="Arial" w:cs="Arial"/>
                <w:sz w:val="16"/>
                <w:szCs w:val="16"/>
              </w:rPr>
            </w:pPr>
            <w:r w:rsidRPr="00F06708">
              <w:rPr>
                <w:rFonts w:ascii="Arial" w:hAnsi="Arial" w:cs="Arial"/>
                <w:sz w:val="16"/>
                <w:szCs w:val="16"/>
              </w:rPr>
              <w:t>15,09%</w:t>
            </w:r>
          </w:p>
        </w:tc>
      </w:tr>
      <w:tr w:rsidR="005D3822" w:rsidRPr="00F06708" w:rsidTr="00FB7083">
        <w:trPr>
          <w:trHeight w:val="211"/>
        </w:trPr>
        <w:tc>
          <w:tcPr>
            <w:tcW w:w="2538" w:type="dxa"/>
            <w:tcBorders>
              <w:top w:val="nil"/>
              <w:left w:val="nil"/>
              <w:bottom w:val="nil"/>
              <w:right w:val="nil"/>
            </w:tcBorders>
            <w:vAlign w:val="bottom"/>
          </w:tcPr>
          <w:p w:rsidR="005D3822" w:rsidRPr="00F06708" w:rsidRDefault="005D3822" w:rsidP="00FB7083">
            <w:pPr>
              <w:rPr>
                <w:rFonts w:ascii="Arial" w:hAnsi="Arial" w:cs="Arial"/>
                <w:sz w:val="16"/>
                <w:szCs w:val="16"/>
              </w:rPr>
            </w:pPr>
            <w:r w:rsidRPr="00F06708">
              <w:rPr>
                <w:rFonts w:ascii="Arial" w:hAnsi="Arial" w:cs="Arial"/>
                <w:sz w:val="16"/>
                <w:szCs w:val="16"/>
              </w:rPr>
              <w:t>pozostali</w:t>
            </w:r>
          </w:p>
        </w:tc>
        <w:tc>
          <w:tcPr>
            <w:tcW w:w="1435" w:type="dxa"/>
            <w:tcBorders>
              <w:top w:val="nil"/>
              <w:left w:val="nil"/>
              <w:bottom w:val="nil"/>
              <w:right w:val="nil"/>
            </w:tcBorders>
            <w:vAlign w:val="bottom"/>
          </w:tcPr>
          <w:p w:rsidR="005D3822" w:rsidRPr="00F06708" w:rsidRDefault="005D3822" w:rsidP="00FB7083">
            <w:pPr>
              <w:jc w:val="center"/>
              <w:rPr>
                <w:rFonts w:ascii="Arial" w:hAnsi="Arial" w:cs="Arial"/>
                <w:sz w:val="16"/>
                <w:szCs w:val="16"/>
              </w:rPr>
            </w:pPr>
            <w:r w:rsidRPr="00F06708">
              <w:rPr>
                <w:rFonts w:ascii="Arial" w:hAnsi="Arial" w:cs="Arial"/>
                <w:sz w:val="16"/>
                <w:szCs w:val="16"/>
              </w:rPr>
              <w:t>2 504 606</w:t>
            </w:r>
          </w:p>
        </w:tc>
        <w:tc>
          <w:tcPr>
            <w:tcW w:w="2110" w:type="dxa"/>
            <w:tcBorders>
              <w:top w:val="nil"/>
              <w:left w:val="nil"/>
              <w:bottom w:val="nil"/>
              <w:right w:val="nil"/>
            </w:tcBorders>
            <w:vAlign w:val="bottom"/>
          </w:tcPr>
          <w:p w:rsidR="005D3822" w:rsidRPr="00F06708" w:rsidRDefault="005D3822" w:rsidP="00FB7083">
            <w:pPr>
              <w:jc w:val="center"/>
              <w:rPr>
                <w:rFonts w:ascii="Arial" w:hAnsi="Arial" w:cs="Arial"/>
                <w:sz w:val="16"/>
                <w:szCs w:val="16"/>
              </w:rPr>
            </w:pPr>
            <w:r w:rsidRPr="00F06708">
              <w:rPr>
                <w:rFonts w:ascii="Arial" w:hAnsi="Arial" w:cs="Arial"/>
                <w:sz w:val="16"/>
                <w:szCs w:val="16"/>
              </w:rPr>
              <w:t>17,20%</w:t>
            </w:r>
          </w:p>
        </w:tc>
        <w:tc>
          <w:tcPr>
            <w:tcW w:w="2095" w:type="dxa"/>
            <w:tcBorders>
              <w:top w:val="nil"/>
              <w:left w:val="nil"/>
              <w:bottom w:val="nil"/>
              <w:right w:val="nil"/>
            </w:tcBorders>
            <w:vAlign w:val="bottom"/>
          </w:tcPr>
          <w:p w:rsidR="005D3822" w:rsidRPr="00F06708" w:rsidRDefault="005D3822" w:rsidP="00FB7083">
            <w:pPr>
              <w:jc w:val="center"/>
              <w:rPr>
                <w:rFonts w:ascii="Arial" w:hAnsi="Arial" w:cs="Arial"/>
                <w:sz w:val="16"/>
                <w:szCs w:val="16"/>
              </w:rPr>
            </w:pPr>
            <w:r w:rsidRPr="00F06708">
              <w:rPr>
                <w:rFonts w:ascii="Arial" w:hAnsi="Arial" w:cs="Arial"/>
                <w:sz w:val="16"/>
                <w:szCs w:val="16"/>
              </w:rPr>
              <w:t>17,20%</w:t>
            </w:r>
          </w:p>
        </w:tc>
      </w:tr>
    </w:tbl>
    <w:p w:rsidR="005D3822" w:rsidRPr="00CA0C51" w:rsidRDefault="005D3822" w:rsidP="005D3822">
      <w:pPr>
        <w:tabs>
          <w:tab w:val="left" w:pos="540"/>
        </w:tabs>
        <w:spacing w:line="260" w:lineRule="exact"/>
        <w:jc w:val="both"/>
        <w:rPr>
          <w:rFonts w:ascii="Arial" w:hAnsi="Arial" w:cs="Arial"/>
          <w:sz w:val="18"/>
          <w:szCs w:val="18"/>
        </w:rPr>
      </w:pPr>
    </w:p>
    <w:p w:rsidR="005D3822" w:rsidRDefault="005D3822" w:rsidP="005D3822">
      <w:pPr>
        <w:rPr>
          <w:rFonts w:ascii="Arial" w:hAnsi="Arial" w:cs="Arial"/>
          <w:sz w:val="18"/>
          <w:szCs w:val="18"/>
        </w:rPr>
      </w:pPr>
    </w:p>
    <w:p w:rsidR="005D3822" w:rsidRPr="00CA0C51" w:rsidRDefault="005D3822" w:rsidP="005D3822">
      <w:pPr>
        <w:tabs>
          <w:tab w:val="left" w:pos="540"/>
        </w:tabs>
        <w:spacing w:line="260" w:lineRule="exact"/>
        <w:jc w:val="both"/>
        <w:rPr>
          <w:rFonts w:ascii="Arial" w:hAnsi="Arial" w:cs="Arial"/>
          <w:sz w:val="18"/>
          <w:szCs w:val="18"/>
        </w:rPr>
      </w:pPr>
      <w:r w:rsidRPr="00CA0C51">
        <w:rPr>
          <w:rFonts w:ascii="Arial" w:hAnsi="Arial" w:cs="Arial"/>
          <w:sz w:val="18"/>
          <w:szCs w:val="18"/>
        </w:rPr>
        <w:t xml:space="preserve">KGHM VI Fundusz Inwestycyjny Zamknięty Aktywów Niepublicznych (dalej: Fundusz) oraz jego spółki zależnej - Fundusz Hotele 01 Spółka z ograniczoną odpowiedzialnością spółka komandytowo- akcyjna z siedzibą we Wrocławiu (dalej: Podmiot Zależny 1) oraz spółki zależnej -Fundusz Hotele 01 Spółka z ograniczoną odpowiedzialnością z siedzibą we Wrocławiu (dalej: Podmiot Zależny 2): </w:t>
      </w:r>
    </w:p>
    <w:p w:rsidR="005D3822" w:rsidRPr="00CA0C51" w:rsidRDefault="005D3822" w:rsidP="005D3822">
      <w:pPr>
        <w:tabs>
          <w:tab w:val="left" w:pos="540"/>
        </w:tabs>
        <w:spacing w:line="260" w:lineRule="exact"/>
        <w:jc w:val="both"/>
        <w:rPr>
          <w:rFonts w:ascii="Arial" w:hAnsi="Arial" w:cs="Arial"/>
          <w:sz w:val="18"/>
          <w:szCs w:val="18"/>
        </w:rPr>
      </w:pPr>
      <w:r w:rsidRPr="00CA0C51">
        <w:rPr>
          <w:rFonts w:ascii="Arial" w:hAnsi="Arial" w:cs="Arial"/>
          <w:sz w:val="18"/>
          <w:szCs w:val="18"/>
        </w:rPr>
        <w:t xml:space="preserve">- za pośrednictwem Podmiotu Zależnego 2, </w:t>
      </w:r>
      <w:r w:rsidR="00C42EEA">
        <w:rPr>
          <w:rFonts w:ascii="Arial" w:hAnsi="Arial" w:cs="Arial"/>
          <w:sz w:val="18"/>
          <w:szCs w:val="18"/>
        </w:rPr>
        <w:t>310 500</w:t>
      </w:r>
      <w:r w:rsidRPr="00CA0C51">
        <w:rPr>
          <w:rFonts w:ascii="Arial" w:hAnsi="Arial" w:cs="Arial"/>
          <w:sz w:val="18"/>
          <w:szCs w:val="18"/>
        </w:rPr>
        <w:t xml:space="preserve"> akcji INTERFERIE S.A. stanowiących </w:t>
      </w:r>
      <w:r w:rsidR="00C42EEA">
        <w:rPr>
          <w:rFonts w:ascii="Arial" w:hAnsi="Arial" w:cs="Arial"/>
          <w:sz w:val="18"/>
          <w:szCs w:val="18"/>
        </w:rPr>
        <w:t>2,13</w:t>
      </w:r>
      <w:r w:rsidRPr="00CA0C51">
        <w:rPr>
          <w:rFonts w:ascii="Arial" w:hAnsi="Arial" w:cs="Arial"/>
          <w:sz w:val="18"/>
          <w:szCs w:val="18"/>
        </w:rPr>
        <w:t xml:space="preserve"> % w kapitale zakładowym i uprawniających do </w:t>
      </w:r>
      <w:r w:rsidR="00C42EEA">
        <w:rPr>
          <w:rFonts w:ascii="Arial" w:hAnsi="Arial" w:cs="Arial"/>
          <w:sz w:val="18"/>
          <w:szCs w:val="18"/>
        </w:rPr>
        <w:t>310 500</w:t>
      </w:r>
      <w:r w:rsidRPr="00CA0C51">
        <w:rPr>
          <w:rFonts w:ascii="Arial" w:hAnsi="Arial" w:cs="Arial"/>
          <w:sz w:val="18"/>
          <w:szCs w:val="18"/>
        </w:rPr>
        <w:t xml:space="preserve"> głosów na Wal</w:t>
      </w:r>
      <w:r w:rsidR="00C42EEA">
        <w:rPr>
          <w:rFonts w:ascii="Arial" w:hAnsi="Arial" w:cs="Arial"/>
          <w:sz w:val="18"/>
          <w:szCs w:val="18"/>
        </w:rPr>
        <w:t xml:space="preserve">nym Zgromadzeniu, stanowiących 2,13 </w:t>
      </w:r>
      <w:r w:rsidRPr="00CA0C51">
        <w:rPr>
          <w:rFonts w:ascii="Arial" w:hAnsi="Arial" w:cs="Arial"/>
          <w:sz w:val="18"/>
          <w:szCs w:val="18"/>
        </w:rPr>
        <w:t>% ogólnej liczby głosów oraz</w:t>
      </w:r>
    </w:p>
    <w:p w:rsidR="005D3822" w:rsidRPr="00CA0C51" w:rsidRDefault="005D3822" w:rsidP="005D3822">
      <w:pPr>
        <w:tabs>
          <w:tab w:val="left" w:pos="540"/>
        </w:tabs>
        <w:spacing w:line="260" w:lineRule="exact"/>
        <w:jc w:val="both"/>
        <w:rPr>
          <w:rFonts w:ascii="Arial" w:hAnsi="Arial" w:cs="Arial"/>
          <w:sz w:val="18"/>
          <w:szCs w:val="18"/>
        </w:rPr>
      </w:pPr>
      <w:r w:rsidRPr="00CA0C51">
        <w:rPr>
          <w:rFonts w:ascii="Arial" w:hAnsi="Arial" w:cs="Arial"/>
          <w:sz w:val="18"/>
          <w:szCs w:val="18"/>
        </w:rPr>
        <w:t>- za pośrednictwe</w:t>
      </w:r>
      <w:r w:rsidR="007878E8">
        <w:rPr>
          <w:rFonts w:ascii="Arial" w:hAnsi="Arial" w:cs="Arial"/>
          <w:sz w:val="18"/>
          <w:szCs w:val="18"/>
        </w:rPr>
        <w:t>m Podmiotu Zależnego 1,</w:t>
      </w:r>
      <w:r w:rsidRPr="00CA0C51">
        <w:rPr>
          <w:rFonts w:ascii="Arial" w:hAnsi="Arial" w:cs="Arial"/>
          <w:sz w:val="18"/>
          <w:szCs w:val="18"/>
        </w:rPr>
        <w:t xml:space="preserve"> </w:t>
      </w:r>
      <w:r w:rsidR="007878E8" w:rsidRPr="007878E8">
        <w:rPr>
          <w:rFonts w:ascii="Arial" w:hAnsi="Arial" w:cs="Arial"/>
          <w:sz w:val="18"/>
          <w:szCs w:val="18"/>
        </w:rPr>
        <w:t>9 842 125</w:t>
      </w:r>
      <w:r w:rsidRPr="00CA0C51">
        <w:rPr>
          <w:rFonts w:ascii="Arial" w:hAnsi="Arial" w:cs="Arial"/>
          <w:sz w:val="18"/>
          <w:szCs w:val="18"/>
        </w:rPr>
        <w:t xml:space="preserve"> akcji zwykłych na okaziciela INTERFERIE S.A., które stanowią 67,</w:t>
      </w:r>
      <w:r w:rsidR="007878E8">
        <w:rPr>
          <w:rFonts w:ascii="Arial" w:hAnsi="Arial" w:cs="Arial"/>
          <w:sz w:val="18"/>
          <w:szCs w:val="18"/>
        </w:rPr>
        <w:t xml:space="preserve">58 % kapitału zakładowego i dają </w:t>
      </w:r>
      <w:r w:rsidR="007878E8" w:rsidRPr="007878E8">
        <w:rPr>
          <w:rFonts w:ascii="Arial" w:hAnsi="Arial" w:cs="Arial"/>
          <w:sz w:val="18"/>
          <w:szCs w:val="18"/>
        </w:rPr>
        <w:t>9</w:t>
      </w:r>
      <w:r w:rsidR="007878E8">
        <w:rPr>
          <w:rFonts w:ascii="Arial" w:hAnsi="Arial" w:cs="Arial"/>
          <w:sz w:val="18"/>
          <w:szCs w:val="18"/>
        </w:rPr>
        <w:t> </w:t>
      </w:r>
      <w:r w:rsidR="007878E8" w:rsidRPr="007878E8">
        <w:rPr>
          <w:rFonts w:ascii="Arial" w:hAnsi="Arial" w:cs="Arial"/>
          <w:sz w:val="18"/>
          <w:szCs w:val="18"/>
        </w:rPr>
        <w:t>842</w:t>
      </w:r>
      <w:r w:rsidR="007878E8">
        <w:rPr>
          <w:rFonts w:ascii="Arial" w:hAnsi="Arial" w:cs="Arial"/>
          <w:sz w:val="18"/>
          <w:szCs w:val="18"/>
        </w:rPr>
        <w:t xml:space="preserve"> </w:t>
      </w:r>
      <w:r w:rsidR="007878E8" w:rsidRPr="007878E8">
        <w:rPr>
          <w:rFonts w:ascii="Arial" w:hAnsi="Arial" w:cs="Arial"/>
          <w:sz w:val="18"/>
          <w:szCs w:val="18"/>
        </w:rPr>
        <w:t>125</w:t>
      </w:r>
      <w:r w:rsidR="007878E8" w:rsidRPr="00CA0C51">
        <w:rPr>
          <w:rFonts w:ascii="Arial" w:hAnsi="Arial" w:cs="Arial"/>
          <w:sz w:val="18"/>
          <w:szCs w:val="18"/>
        </w:rPr>
        <w:t xml:space="preserve"> </w:t>
      </w:r>
      <w:r w:rsidRPr="00CA0C51">
        <w:rPr>
          <w:rFonts w:ascii="Arial" w:hAnsi="Arial" w:cs="Arial"/>
          <w:sz w:val="18"/>
          <w:szCs w:val="18"/>
        </w:rPr>
        <w:t>głosów na Walnym Zgromadzeniu, co stanowi 67,</w:t>
      </w:r>
      <w:r w:rsidR="007878E8">
        <w:rPr>
          <w:rFonts w:ascii="Arial" w:hAnsi="Arial" w:cs="Arial"/>
          <w:sz w:val="18"/>
          <w:szCs w:val="18"/>
        </w:rPr>
        <w:t>58</w:t>
      </w:r>
      <w:r w:rsidRPr="00CA0C51">
        <w:rPr>
          <w:rFonts w:ascii="Arial" w:hAnsi="Arial" w:cs="Arial"/>
          <w:sz w:val="18"/>
          <w:szCs w:val="18"/>
        </w:rPr>
        <w:t xml:space="preserve"> % </w:t>
      </w:r>
      <w:r>
        <w:rPr>
          <w:rFonts w:ascii="Arial" w:hAnsi="Arial" w:cs="Arial"/>
          <w:sz w:val="18"/>
          <w:szCs w:val="18"/>
        </w:rPr>
        <w:br/>
      </w:r>
      <w:r w:rsidRPr="00CA0C51">
        <w:rPr>
          <w:rFonts w:ascii="Arial" w:hAnsi="Arial" w:cs="Arial"/>
          <w:sz w:val="18"/>
          <w:szCs w:val="18"/>
        </w:rPr>
        <w:t>w ogólnej liczbie głosów.</w:t>
      </w:r>
    </w:p>
    <w:p w:rsidR="005D3822" w:rsidRDefault="005D3822" w:rsidP="005D3822">
      <w:pPr>
        <w:tabs>
          <w:tab w:val="left" w:pos="540"/>
        </w:tabs>
        <w:spacing w:line="260" w:lineRule="exact"/>
        <w:jc w:val="both"/>
        <w:rPr>
          <w:rFonts w:ascii="Arial" w:hAnsi="Arial" w:cs="Arial"/>
          <w:sz w:val="18"/>
          <w:szCs w:val="18"/>
        </w:rPr>
      </w:pPr>
    </w:p>
    <w:p w:rsidR="005D3822" w:rsidRPr="00CA0C51" w:rsidRDefault="005D3822" w:rsidP="005D3822">
      <w:pPr>
        <w:tabs>
          <w:tab w:val="left" w:pos="540"/>
        </w:tabs>
        <w:spacing w:line="260" w:lineRule="exact"/>
        <w:jc w:val="both"/>
        <w:rPr>
          <w:rFonts w:ascii="Arial" w:hAnsi="Arial" w:cs="Arial"/>
          <w:sz w:val="18"/>
          <w:szCs w:val="18"/>
        </w:rPr>
      </w:pPr>
      <w:r w:rsidRPr="00CA0C51">
        <w:rPr>
          <w:rFonts w:ascii="Arial" w:hAnsi="Arial" w:cs="Arial"/>
          <w:sz w:val="18"/>
          <w:szCs w:val="18"/>
        </w:rPr>
        <w:t xml:space="preserve"> Zatem pośrednio, poprzez podmioty zależne, Fundusz posiada łącznie </w:t>
      </w:r>
      <w:r w:rsidR="007878E8" w:rsidRPr="007878E8">
        <w:rPr>
          <w:rFonts w:ascii="Arial" w:hAnsi="Arial" w:cs="Arial"/>
          <w:sz w:val="18"/>
          <w:szCs w:val="18"/>
        </w:rPr>
        <w:t>10 152 625</w:t>
      </w:r>
      <w:r w:rsidRPr="00CA0C51">
        <w:rPr>
          <w:rFonts w:ascii="Arial" w:hAnsi="Arial" w:cs="Arial"/>
          <w:sz w:val="18"/>
          <w:szCs w:val="18"/>
        </w:rPr>
        <w:t xml:space="preserve"> akcji INTERFERIE S.A. stanowiących 69,</w:t>
      </w:r>
      <w:r w:rsidR="007878E8">
        <w:rPr>
          <w:rFonts w:ascii="Arial" w:hAnsi="Arial" w:cs="Arial"/>
          <w:sz w:val="18"/>
          <w:szCs w:val="18"/>
        </w:rPr>
        <w:t>71</w:t>
      </w:r>
      <w:r w:rsidRPr="00CA0C51">
        <w:rPr>
          <w:rFonts w:ascii="Arial" w:hAnsi="Arial" w:cs="Arial"/>
          <w:sz w:val="18"/>
          <w:szCs w:val="18"/>
        </w:rPr>
        <w:t xml:space="preserve">% w kapitale zakładowym i uprawniających do </w:t>
      </w:r>
      <w:r w:rsidR="007878E8" w:rsidRPr="007878E8">
        <w:rPr>
          <w:rFonts w:ascii="Arial" w:hAnsi="Arial" w:cs="Arial"/>
          <w:sz w:val="18"/>
          <w:szCs w:val="18"/>
        </w:rPr>
        <w:t>10 152 625</w:t>
      </w:r>
      <w:r w:rsidRPr="00CA0C51">
        <w:rPr>
          <w:rFonts w:ascii="Arial" w:hAnsi="Arial" w:cs="Arial"/>
          <w:sz w:val="18"/>
          <w:szCs w:val="18"/>
        </w:rPr>
        <w:t xml:space="preserve"> głosów na Walnym Zgromadzeniu tej spółki, stanowiących 69,</w:t>
      </w:r>
      <w:r w:rsidR="007878E8">
        <w:rPr>
          <w:rFonts w:ascii="Arial" w:hAnsi="Arial" w:cs="Arial"/>
          <w:sz w:val="18"/>
          <w:szCs w:val="18"/>
        </w:rPr>
        <w:t>71</w:t>
      </w:r>
      <w:r w:rsidRPr="00CA0C51">
        <w:rPr>
          <w:rFonts w:ascii="Arial" w:hAnsi="Arial" w:cs="Arial"/>
          <w:sz w:val="18"/>
          <w:szCs w:val="18"/>
        </w:rPr>
        <w:t>% ogólnej liczby głosów.</w:t>
      </w:r>
    </w:p>
    <w:p w:rsidR="005D3822" w:rsidRPr="00661ED4" w:rsidRDefault="005D3822" w:rsidP="005D3822">
      <w:pPr>
        <w:tabs>
          <w:tab w:val="left" w:pos="540"/>
        </w:tabs>
        <w:spacing w:line="260" w:lineRule="exact"/>
        <w:jc w:val="both"/>
        <w:rPr>
          <w:rFonts w:ascii="Arial" w:hAnsi="Arial" w:cs="Arial"/>
          <w:bCs/>
          <w:sz w:val="18"/>
          <w:szCs w:val="18"/>
        </w:rPr>
      </w:pPr>
    </w:p>
    <w:p w:rsidR="005D3822" w:rsidRPr="00661ED4" w:rsidRDefault="005D3822" w:rsidP="005D3822">
      <w:pPr>
        <w:tabs>
          <w:tab w:val="left" w:pos="540"/>
        </w:tabs>
        <w:spacing w:line="260" w:lineRule="exact"/>
        <w:jc w:val="both"/>
        <w:rPr>
          <w:rFonts w:ascii="Arial" w:hAnsi="Arial" w:cs="Arial"/>
          <w:bCs/>
          <w:sz w:val="18"/>
          <w:szCs w:val="18"/>
        </w:rPr>
      </w:pPr>
      <w:r w:rsidRPr="00661ED4">
        <w:rPr>
          <w:rFonts w:ascii="Arial" w:hAnsi="Arial" w:cs="Arial"/>
          <w:bCs/>
          <w:sz w:val="18"/>
          <w:szCs w:val="18"/>
        </w:rPr>
        <w:t>Kapitał zakładowy Spółki tworzy 14 564 200 akcji, w tym:</w:t>
      </w:r>
    </w:p>
    <w:p w:rsidR="005D3822" w:rsidRPr="00661ED4" w:rsidRDefault="005D3822" w:rsidP="005D3822">
      <w:pPr>
        <w:numPr>
          <w:ilvl w:val="0"/>
          <w:numId w:val="4"/>
        </w:numPr>
        <w:tabs>
          <w:tab w:val="left" w:pos="540"/>
        </w:tabs>
        <w:spacing w:line="260" w:lineRule="exact"/>
        <w:jc w:val="both"/>
        <w:rPr>
          <w:rFonts w:ascii="Arial" w:hAnsi="Arial" w:cs="Arial"/>
          <w:bCs/>
          <w:sz w:val="18"/>
          <w:szCs w:val="18"/>
        </w:rPr>
      </w:pPr>
      <w:r w:rsidRPr="00661ED4">
        <w:rPr>
          <w:rFonts w:ascii="Arial" w:hAnsi="Arial" w:cs="Arial"/>
          <w:bCs/>
          <w:sz w:val="18"/>
          <w:szCs w:val="18"/>
        </w:rPr>
        <w:t>akcje serii A - 9 564 200</w:t>
      </w:r>
    </w:p>
    <w:p w:rsidR="005D3822" w:rsidRPr="00661ED4" w:rsidRDefault="005D3822" w:rsidP="005D3822">
      <w:pPr>
        <w:numPr>
          <w:ilvl w:val="0"/>
          <w:numId w:val="4"/>
        </w:numPr>
        <w:tabs>
          <w:tab w:val="left" w:pos="540"/>
        </w:tabs>
        <w:spacing w:line="260" w:lineRule="exact"/>
        <w:jc w:val="both"/>
        <w:rPr>
          <w:rFonts w:ascii="Arial" w:hAnsi="Arial" w:cs="Arial"/>
          <w:bCs/>
          <w:sz w:val="18"/>
          <w:szCs w:val="18"/>
        </w:rPr>
      </w:pPr>
      <w:r w:rsidRPr="00661ED4">
        <w:rPr>
          <w:rFonts w:ascii="Arial" w:hAnsi="Arial" w:cs="Arial"/>
          <w:bCs/>
          <w:sz w:val="18"/>
          <w:szCs w:val="18"/>
        </w:rPr>
        <w:t>akcje serii B - 5 000 000</w:t>
      </w:r>
    </w:p>
    <w:p w:rsidR="005D3822" w:rsidRDefault="005D3822" w:rsidP="005D3822">
      <w:pPr>
        <w:tabs>
          <w:tab w:val="left" w:pos="540"/>
        </w:tabs>
        <w:spacing w:line="260" w:lineRule="exact"/>
        <w:jc w:val="both"/>
        <w:rPr>
          <w:rFonts w:ascii="Arial" w:hAnsi="Arial" w:cs="Arial"/>
          <w:bCs/>
          <w:sz w:val="18"/>
          <w:szCs w:val="18"/>
        </w:rPr>
      </w:pPr>
      <w:r w:rsidRPr="00661ED4">
        <w:rPr>
          <w:rFonts w:ascii="Arial" w:hAnsi="Arial" w:cs="Arial"/>
          <w:bCs/>
          <w:sz w:val="18"/>
          <w:szCs w:val="18"/>
        </w:rPr>
        <w:t>Wartość nominalna każdej akcji Emitenta wynosi 5 zł. Żadna seria nie jest uprzywilejowana.</w:t>
      </w:r>
    </w:p>
    <w:p w:rsidR="005D3822" w:rsidRDefault="005D3822" w:rsidP="005D3822">
      <w:pPr>
        <w:tabs>
          <w:tab w:val="left" w:pos="540"/>
        </w:tabs>
        <w:spacing w:line="260" w:lineRule="exact"/>
        <w:jc w:val="both"/>
        <w:rPr>
          <w:rFonts w:ascii="Arial" w:hAnsi="Arial" w:cs="Arial"/>
          <w:sz w:val="18"/>
          <w:szCs w:val="18"/>
        </w:rPr>
      </w:pPr>
    </w:p>
    <w:p w:rsidR="005D3822" w:rsidRPr="00CA0C51" w:rsidRDefault="005D3822" w:rsidP="005D3822">
      <w:pPr>
        <w:tabs>
          <w:tab w:val="left" w:pos="540"/>
        </w:tabs>
        <w:spacing w:line="260" w:lineRule="exact"/>
        <w:jc w:val="both"/>
        <w:rPr>
          <w:rFonts w:ascii="Arial" w:hAnsi="Arial" w:cs="Arial"/>
          <w:sz w:val="18"/>
          <w:szCs w:val="18"/>
        </w:rPr>
      </w:pPr>
      <w:r w:rsidRPr="00CA0C51">
        <w:rPr>
          <w:rFonts w:ascii="Arial" w:hAnsi="Arial" w:cs="Arial"/>
          <w:sz w:val="18"/>
          <w:szCs w:val="18"/>
        </w:rPr>
        <w:t xml:space="preserve">W trakcie </w:t>
      </w:r>
      <w:r>
        <w:rPr>
          <w:rFonts w:ascii="Arial" w:hAnsi="Arial" w:cs="Arial"/>
          <w:sz w:val="18"/>
          <w:szCs w:val="18"/>
        </w:rPr>
        <w:t xml:space="preserve">9 m-cy </w:t>
      </w:r>
      <w:r w:rsidRPr="00CA0C51">
        <w:rPr>
          <w:rFonts w:ascii="Arial" w:hAnsi="Arial" w:cs="Arial"/>
          <w:sz w:val="18"/>
          <w:szCs w:val="18"/>
        </w:rPr>
        <w:t>202</w:t>
      </w:r>
      <w:r w:rsidR="002D538C">
        <w:rPr>
          <w:rFonts w:ascii="Arial" w:hAnsi="Arial" w:cs="Arial"/>
          <w:sz w:val="18"/>
          <w:szCs w:val="18"/>
        </w:rPr>
        <w:t>1</w:t>
      </w:r>
      <w:r w:rsidRPr="00CA0C51">
        <w:rPr>
          <w:rFonts w:ascii="Arial" w:hAnsi="Arial" w:cs="Arial"/>
          <w:sz w:val="18"/>
          <w:szCs w:val="18"/>
        </w:rPr>
        <w:t xml:space="preserve"> roku nie nastąpiła zmiana liczby akcji.</w:t>
      </w:r>
    </w:p>
    <w:p w:rsidR="005D3822" w:rsidRPr="00CA0C51" w:rsidRDefault="005D3822" w:rsidP="005D3822">
      <w:pPr>
        <w:tabs>
          <w:tab w:val="left" w:pos="540"/>
        </w:tabs>
        <w:spacing w:line="260" w:lineRule="exact"/>
        <w:jc w:val="both"/>
        <w:rPr>
          <w:rFonts w:ascii="Arial" w:hAnsi="Arial" w:cs="Arial"/>
          <w:sz w:val="18"/>
          <w:szCs w:val="18"/>
        </w:rPr>
      </w:pPr>
      <w:r w:rsidRPr="00CA0C51">
        <w:rPr>
          <w:rFonts w:ascii="Arial" w:hAnsi="Arial" w:cs="Arial"/>
          <w:sz w:val="18"/>
          <w:szCs w:val="18"/>
        </w:rPr>
        <w:t>Wartość kapitału docelowego jest równa wartości nominalnej akcji obecnie wyemitowanych.</w:t>
      </w:r>
    </w:p>
    <w:p w:rsidR="005D3822" w:rsidRPr="00CA0C51" w:rsidRDefault="005D3822" w:rsidP="005D3822">
      <w:pPr>
        <w:tabs>
          <w:tab w:val="left" w:pos="540"/>
        </w:tabs>
        <w:spacing w:line="260" w:lineRule="exact"/>
        <w:jc w:val="both"/>
        <w:rPr>
          <w:rFonts w:ascii="Arial" w:hAnsi="Arial" w:cs="Arial"/>
          <w:sz w:val="18"/>
          <w:szCs w:val="18"/>
        </w:rPr>
      </w:pPr>
      <w:r w:rsidRPr="00CA0C51">
        <w:rPr>
          <w:rFonts w:ascii="Arial" w:hAnsi="Arial" w:cs="Arial"/>
          <w:sz w:val="18"/>
          <w:szCs w:val="18"/>
        </w:rPr>
        <w:t>W trakcie roku obrotowego nie było zmian w strukturze własności Spółki.</w:t>
      </w:r>
    </w:p>
    <w:p w:rsidR="005D3822" w:rsidRDefault="005D3822" w:rsidP="005D3822">
      <w:pPr>
        <w:tabs>
          <w:tab w:val="left" w:pos="540"/>
        </w:tabs>
        <w:spacing w:line="260" w:lineRule="exact"/>
        <w:jc w:val="both"/>
        <w:rPr>
          <w:rFonts w:ascii="Arial" w:hAnsi="Arial" w:cs="Arial"/>
          <w:bCs/>
          <w:sz w:val="18"/>
          <w:szCs w:val="18"/>
        </w:rPr>
      </w:pPr>
    </w:p>
    <w:p w:rsidR="005D3822" w:rsidRPr="00F31D8E" w:rsidRDefault="005D3822" w:rsidP="005D3822">
      <w:pPr>
        <w:tabs>
          <w:tab w:val="left" w:pos="540"/>
        </w:tabs>
        <w:spacing w:line="260" w:lineRule="exact"/>
        <w:jc w:val="both"/>
        <w:rPr>
          <w:rFonts w:ascii="Arial" w:hAnsi="Arial" w:cs="Arial"/>
          <w:b/>
          <w:bCs/>
          <w:sz w:val="18"/>
          <w:szCs w:val="18"/>
        </w:rPr>
      </w:pPr>
      <w:r w:rsidRPr="00F31D8E">
        <w:rPr>
          <w:rFonts w:ascii="Arial" w:hAnsi="Arial" w:cs="Arial"/>
          <w:b/>
          <w:bCs/>
          <w:sz w:val="18"/>
          <w:szCs w:val="18"/>
        </w:rPr>
        <w:t>XX</w:t>
      </w:r>
      <w:r>
        <w:rPr>
          <w:rFonts w:ascii="Arial" w:hAnsi="Arial" w:cs="Arial"/>
          <w:b/>
          <w:bCs/>
          <w:sz w:val="18"/>
          <w:szCs w:val="18"/>
        </w:rPr>
        <w:t>I</w:t>
      </w:r>
      <w:r w:rsidRPr="00F31D8E">
        <w:rPr>
          <w:rFonts w:ascii="Arial" w:hAnsi="Arial" w:cs="Arial"/>
          <w:b/>
          <w:bCs/>
          <w:sz w:val="18"/>
          <w:szCs w:val="18"/>
        </w:rPr>
        <w:t>I. Zestawienie zmian w stanie posiadania akcji INTERFERIE S.A. lub uprawnień do nich (opcji) przez osoby zarządzające i nadzorujące INTERFERIE S.A., zgodnie z posiadanymi przez INTERFERIE S.A. informacjami, w okresie od przekazania poprzedniego raportu.</w:t>
      </w:r>
    </w:p>
    <w:p w:rsidR="005D3822" w:rsidRPr="00F31D8E" w:rsidRDefault="005D3822" w:rsidP="005D3822">
      <w:pPr>
        <w:tabs>
          <w:tab w:val="left" w:pos="540"/>
        </w:tabs>
        <w:spacing w:line="260" w:lineRule="exact"/>
        <w:jc w:val="both"/>
        <w:rPr>
          <w:rFonts w:ascii="Arial" w:hAnsi="Arial" w:cs="Arial"/>
          <w:bCs/>
          <w:sz w:val="18"/>
          <w:szCs w:val="18"/>
        </w:rPr>
      </w:pPr>
    </w:p>
    <w:p w:rsidR="005D3822" w:rsidRPr="00F31D8E" w:rsidRDefault="005D3822" w:rsidP="005D3822">
      <w:pPr>
        <w:tabs>
          <w:tab w:val="left" w:pos="540"/>
        </w:tabs>
        <w:spacing w:line="260" w:lineRule="exact"/>
        <w:jc w:val="both"/>
        <w:rPr>
          <w:rFonts w:ascii="Arial" w:hAnsi="Arial" w:cs="Arial"/>
          <w:bCs/>
          <w:sz w:val="18"/>
          <w:szCs w:val="18"/>
        </w:rPr>
      </w:pPr>
      <w:r w:rsidRPr="00F31D8E">
        <w:rPr>
          <w:rFonts w:ascii="Arial" w:hAnsi="Arial" w:cs="Arial"/>
          <w:bCs/>
          <w:sz w:val="18"/>
          <w:szCs w:val="18"/>
        </w:rPr>
        <w:t>Zgodnie z posiadanymi przez INTERFERIE S.A. informacjami, osoby zarządzające i nadzorujące INTERFERIE S.A. nie posiadają akcji Spółki.</w:t>
      </w:r>
    </w:p>
    <w:p w:rsidR="00C310B8" w:rsidRDefault="00C310B8" w:rsidP="000D373B">
      <w:pPr>
        <w:tabs>
          <w:tab w:val="left" w:pos="540"/>
        </w:tabs>
        <w:spacing w:line="260" w:lineRule="exact"/>
        <w:jc w:val="both"/>
        <w:rPr>
          <w:rFonts w:ascii="Arial" w:hAnsi="Arial" w:cs="Arial"/>
          <w:b/>
          <w:bCs/>
          <w:sz w:val="18"/>
          <w:szCs w:val="18"/>
        </w:rPr>
      </w:pPr>
    </w:p>
    <w:p w:rsidR="005D3822" w:rsidRPr="00F31D8E" w:rsidRDefault="005D3822" w:rsidP="005D3822">
      <w:pPr>
        <w:tabs>
          <w:tab w:val="left" w:pos="540"/>
        </w:tabs>
        <w:spacing w:line="260" w:lineRule="exact"/>
        <w:jc w:val="both"/>
        <w:rPr>
          <w:rFonts w:ascii="Arial" w:hAnsi="Arial" w:cs="Arial"/>
          <w:b/>
          <w:bCs/>
          <w:sz w:val="18"/>
          <w:szCs w:val="18"/>
        </w:rPr>
      </w:pPr>
      <w:r w:rsidRPr="00F31D8E">
        <w:rPr>
          <w:rFonts w:ascii="Arial" w:hAnsi="Arial" w:cs="Arial"/>
          <w:b/>
          <w:bCs/>
          <w:sz w:val="18"/>
          <w:szCs w:val="18"/>
        </w:rPr>
        <w:t>XXI</w:t>
      </w:r>
      <w:r>
        <w:rPr>
          <w:rFonts w:ascii="Arial" w:hAnsi="Arial" w:cs="Arial"/>
          <w:b/>
          <w:bCs/>
          <w:sz w:val="18"/>
          <w:szCs w:val="18"/>
        </w:rPr>
        <w:t>I</w:t>
      </w:r>
      <w:r w:rsidRPr="00F31D8E">
        <w:rPr>
          <w:rFonts w:ascii="Arial" w:hAnsi="Arial" w:cs="Arial"/>
          <w:b/>
          <w:bCs/>
          <w:sz w:val="18"/>
          <w:szCs w:val="18"/>
        </w:rPr>
        <w:t>I. Inne informacje, które są istotne dla oceny sytuacji kadrowej, majątkowej, finansowej, wyniku finansowego i ich zmian, oraz informacje, które są istotne dla oceny możliwości realizacji zobowiązań.</w:t>
      </w:r>
    </w:p>
    <w:p w:rsidR="005D3822" w:rsidRPr="00F31D8E" w:rsidRDefault="005D3822" w:rsidP="005D3822">
      <w:pPr>
        <w:tabs>
          <w:tab w:val="left" w:pos="540"/>
        </w:tabs>
        <w:spacing w:line="260" w:lineRule="exact"/>
        <w:jc w:val="both"/>
        <w:rPr>
          <w:rFonts w:ascii="Arial" w:hAnsi="Arial" w:cs="Arial"/>
          <w:bCs/>
          <w:sz w:val="18"/>
          <w:szCs w:val="18"/>
        </w:rPr>
      </w:pPr>
    </w:p>
    <w:p w:rsidR="008B55FB" w:rsidRPr="003523B4" w:rsidRDefault="008B55FB" w:rsidP="008B55FB">
      <w:pPr>
        <w:tabs>
          <w:tab w:val="left" w:pos="540"/>
        </w:tabs>
        <w:spacing w:line="260" w:lineRule="exact"/>
        <w:jc w:val="both"/>
        <w:rPr>
          <w:rFonts w:ascii="Arial" w:hAnsi="Arial" w:cs="Arial"/>
          <w:bCs/>
          <w:sz w:val="18"/>
          <w:szCs w:val="18"/>
        </w:rPr>
      </w:pPr>
      <w:r w:rsidRPr="003523B4">
        <w:rPr>
          <w:rFonts w:ascii="Arial" w:hAnsi="Arial" w:cs="Arial"/>
          <w:bCs/>
          <w:sz w:val="18"/>
          <w:szCs w:val="18"/>
        </w:rPr>
        <w:t xml:space="preserve">Zarząd realizuje </w:t>
      </w:r>
      <w:r>
        <w:rPr>
          <w:rFonts w:ascii="Arial" w:hAnsi="Arial" w:cs="Arial"/>
          <w:bCs/>
          <w:sz w:val="18"/>
          <w:szCs w:val="18"/>
        </w:rPr>
        <w:t>założenia</w:t>
      </w:r>
      <w:r w:rsidRPr="003523B4">
        <w:rPr>
          <w:rFonts w:ascii="Arial" w:hAnsi="Arial" w:cs="Arial"/>
          <w:bCs/>
          <w:sz w:val="18"/>
          <w:szCs w:val="18"/>
        </w:rPr>
        <w:t xml:space="preserve"> </w:t>
      </w:r>
      <w:r>
        <w:rPr>
          <w:rFonts w:ascii="Arial" w:hAnsi="Arial" w:cs="Arial"/>
          <w:bCs/>
          <w:sz w:val="18"/>
          <w:szCs w:val="18"/>
        </w:rPr>
        <w:t>dotyczące</w:t>
      </w:r>
      <w:r w:rsidRPr="003523B4">
        <w:rPr>
          <w:rFonts w:ascii="Arial" w:hAnsi="Arial" w:cs="Arial"/>
          <w:bCs/>
          <w:sz w:val="18"/>
          <w:szCs w:val="18"/>
        </w:rPr>
        <w:t xml:space="preserve"> rozwoju Spółki w </w:t>
      </w:r>
      <w:r>
        <w:rPr>
          <w:rFonts w:ascii="Arial" w:hAnsi="Arial" w:cs="Arial"/>
          <w:bCs/>
          <w:sz w:val="18"/>
          <w:szCs w:val="18"/>
        </w:rPr>
        <w:t>obszarze</w:t>
      </w:r>
      <w:r w:rsidRPr="003523B4">
        <w:rPr>
          <w:rFonts w:ascii="Arial" w:hAnsi="Arial" w:cs="Arial"/>
          <w:bCs/>
          <w:sz w:val="18"/>
          <w:szCs w:val="18"/>
        </w:rPr>
        <w:t xml:space="preserve"> turystyki zdrowotnej</w:t>
      </w:r>
      <w:r>
        <w:rPr>
          <w:rFonts w:ascii="Arial" w:hAnsi="Arial" w:cs="Arial"/>
          <w:bCs/>
          <w:sz w:val="18"/>
          <w:szCs w:val="18"/>
        </w:rPr>
        <w:t>,</w:t>
      </w:r>
      <w:r w:rsidRPr="003523B4">
        <w:rPr>
          <w:rFonts w:ascii="Arial" w:hAnsi="Arial" w:cs="Arial"/>
          <w:bCs/>
          <w:sz w:val="18"/>
          <w:szCs w:val="18"/>
        </w:rPr>
        <w:t xml:space="preserve"> </w:t>
      </w:r>
      <w:r>
        <w:rPr>
          <w:rFonts w:ascii="Arial" w:hAnsi="Arial" w:cs="Arial"/>
          <w:bCs/>
          <w:sz w:val="18"/>
          <w:szCs w:val="18"/>
        </w:rPr>
        <w:t>poprzez realizowanie zadań inwestycyjnych.</w:t>
      </w:r>
      <w:r w:rsidRPr="003523B4">
        <w:rPr>
          <w:rFonts w:ascii="Arial" w:hAnsi="Arial" w:cs="Arial"/>
          <w:bCs/>
          <w:sz w:val="18"/>
          <w:szCs w:val="18"/>
        </w:rPr>
        <w:t xml:space="preserve"> </w:t>
      </w:r>
      <w:r>
        <w:rPr>
          <w:rFonts w:ascii="Arial" w:hAnsi="Arial" w:cs="Arial"/>
          <w:bCs/>
          <w:sz w:val="18"/>
          <w:szCs w:val="18"/>
        </w:rPr>
        <w:t>C</w:t>
      </w:r>
      <w:r w:rsidRPr="003523B4">
        <w:rPr>
          <w:rFonts w:ascii="Arial" w:hAnsi="Arial" w:cs="Arial"/>
          <w:bCs/>
          <w:sz w:val="18"/>
          <w:szCs w:val="18"/>
        </w:rPr>
        <w:t xml:space="preserve">zynnikiem mającym wpływ na przychody Spółki jest sytuacja związana z </w:t>
      </w:r>
      <w:r>
        <w:rPr>
          <w:rFonts w:ascii="Arial" w:hAnsi="Arial" w:cs="Arial"/>
          <w:bCs/>
          <w:sz w:val="18"/>
          <w:szCs w:val="18"/>
        </w:rPr>
        <w:t xml:space="preserve">ograniczeniami </w:t>
      </w:r>
      <w:r>
        <w:rPr>
          <w:rFonts w:ascii="Arial" w:hAnsi="Arial" w:cs="Arial"/>
          <w:bCs/>
          <w:sz w:val="18"/>
          <w:szCs w:val="18"/>
        </w:rPr>
        <w:br/>
        <w:t>w</w:t>
      </w:r>
      <w:r w:rsidRPr="003523B4">
        <w:rPr>
          <w:rFonts w:ascii="Arial" w:hAnsi="Arial" w:cs="Arial"/>
          <w:bCs/>
          <w:sz w:val="18"/>
          <w:szCs w:val="18"/>
        </w:rPr>
        <w:t xml:space="preserve"> działalności obiektów </w:t>
      </w:r>
      <w:r>
        <w:rPr>
          <w:rFonts w:ascii="Arial" w:hAnsi="Arial" w:cs="Arial"/>
          <w:bCs/>
          <w:sz w:val="18"/>
          <w:szCs w:val="18"/>
        </w:rPr>
        <w:t>Emitenta</w:t>
      </w:r>
      <w:r w:rsidRPr="003523B4">
        <w:rPr>
          <w:rFonts w:ascii="Arial" w:hAnsi="Arial" w:cs="Arial"/>
          <w:bCs/>
          <w:sz w:val="18"/>
          <w:szCs w:val="18"/>
        </w:rPr>
        <w:t>, spowodowana Covid-19, opisana w punkcie XXIV.</w:t>
      </w:r>
    </w:p>
    <w:p w:rsidR="008B55FB" w:rsidRPr="003523B4" w:rsidRDefault="008B55FB" w:rsidP="008B55FB">
      <w:pPr>
        <w:tabs>
          <w:tab w:val="left" w:pos="540"/>
        </w:tabs>
        <w:spacing w:line="260" w:lineRule="exact"/>
        <w:jc w:val="both"/>
        <w:rPr>
          <w:rFonts w:ascii="Arial" w:hAnsi="Arial" w:cs="Arial"/>
          <w:bCs/>
          <w:sz w:val="18"/>
          <w:szCs w:val="18"/>
        </w:rPr>
      </w:pPr>
      <w:r w:rsidRPr="003523B4">
        <w:rPr>
          <w:rFonts w:ascii="Arial" w:hAnsi="Arial" w:cs="Arial"/>
          <w:bCs/>
          <w:sz w:val="18"/>
          <w:szCs w:val="18"/>
        </w:rPr>
        <w:t xml:space="preserve">Kluczowym dla kolejnych kwartałów będzie </w:t>
      </w:r>
      <w:r>
        <w:rPr>
          <w:rFonts w:ascii="Arial" w:hAnsi="Arial" w:cs="Arial"/>
          <w:bCs/>
          <w:sz w:val="18"/>
          <w:szCs w:val="18"/>
        </w:rPr>
        <w:t>prawne przywrócenie funkcjonowania obiektów w pełnym zakresie oraz</w:t>
      </w:r>
      <w:r w:rsidRPr="003523B4">
        <w:rPr>
          <w:rFonts w:ascii="Arial" w:hAnsi="Arial" w:cs="Arial"/>
          <w:bCs/>
          <w:sz w:val="18"/>
          <w:szCs w:val="18"/>
        </w:rPr>
        <w:t xml:space="preserve"> planowana inwestycja w obiekcie INTERFERIE w Kołobrzegu.</w:t>
      </w:r>
    </w:p>
    <w:p w:rsidR="00C42EEA" w:rsidRPr="003523B4" w:rsidRDefault="00C42EEA" w:rsidP="00C42EEA">
      <w:pPr>
        <w:tabs>
          <w:tab w:val="left" w:pos="540"/>
        </w:tabs>
        <w:spacing w:line="260" w:lineRule="exact"/>
        <w:jc w:val="both"/>
        <w:rPr>
          <w:rFonts w:ascii="Arial" w:hAnsi="Arial" w:cs="Arial"/>
          <w:sz w:val="18"/>
          <w:szCs w:val="18"/>
        </w:rPr>
      </w:pPr>
    </w:p>
    <w:p w:rsidR="001643FD" w:rsidRPr="003523B4" w:rsidRDefault="001643FD" w:rsidP="001643FD">
      <w:pPr>
        <w:autoSpaceDE w:val="0"/>
        <w:autoSpaceDN w:val="0"/>
        <w:adjustRightInd w:val="0"/>
        <w:jc w:val="both"/>
        <w:rPr>
          <w:rFonts w:ascii="Arial" w:hAnsi="Arial" w:cs="Arial"/>
          <w:sz w:val="18"/>
          <w:szCs w:val="18"/>
        </w:rPr>
      </w:pPr>
      <w:r w:rsidRPr="003523B4">
        <w:rPr>
          <w:rFonts w:ascii="Arial" w:hAnsi="Arial" w:cs="Arial"/>
          <w:sz w:val="18"/>
          <w:szCs w:val="18"/>
        </w:rPr>
        <w:t xml:space="preserve">Na dzień bilansowy zarząd emitenta przeprowadził procedurę oceny istnienia przesłanek świadczących </w:t>
      </w:r>
      <w:r w:rsidRPr="003523B4">
        <w:rPr>
          <w:rFonts w:ascii="Arial" w:hAnsi="Arial" w:cs="Arial"/>
          <w:sz w:val="18"/>
          <w:szCs w:val="18"/>
        </w:rPr>
        <w:br/>
        <w:t xml:space="preserve">o możliwości utraty wartości. </w:t>
      </w:r>
    </w:p>
    <w:p w:rsidR="001643FD" w:rsidRPr="003523B4" w:rsidRDefault="001643FD" w:rsidP="001643FD">
      <w:pPr>
        <w:autoSpaceDE w:val="0"/>
        <w:autoSpaceDN w:val="0"/>
        <w:adjustRightInd w:val="0"/>
        <w:jc w:val="both"/>
        <w:rPr>
          <w:rFonts w:ascii="Arial" w:hAnsi="Arial" w:cs="Arial"/>
          <w:sz w:val="18"/>
          <w:szCs w:val="18"/>
        </w:rPr>
      </w:pPr>
    </w:p>
    <w:p w:rsidR="001643FD" w:rsidRPr="003523B4" w:rsidRDefault="001643FD" w:rsidP="001643FD">
      <w:pPr>
        <w:autoSpaceDE w:val="0"/>
        <w:autoSpaceDN w:val="0"/>
        <w:adjustRightInd w:val="0"/>
        <w:jc w:val="both"/>
        <w:rPr>
          <w:rFonts w:ascii="Arial" w:hAnsi="Arial" w:cs="Arial"/>
          <w:color w:val="000000"/>
          <w:sz w:val="18"/>
          <w:szCs w:val="18"/>
        </w:rPr>
      </w:pPr>
      <w:r w:rsidRPr="003523B4">
        <w:rPr>
          <w:rFonts w:ascii="Arial" w:hAnsi="Arial" w:cs="Arial"/>
          <w:color w:val="000000"/>
          <w:sz w:val="18"/>
          <w:szCs w:val="18"/>
        </w:rPr>
        <w:t xml:space="preserve">Oceniając istnienie przesłanek świadczących o możliwości utraty wartości któregoś ze składników aktywów, zarząd emitenta dokonał analizy co najmniej następujących przesłanek: </w:t>
      </w:r>
    </w:p>
    <w:p w:rsidR="001643FD" w:rsidRPr="003523B4" w:rsidRDefault="001643FD" w:rsidP="001643FD">
      <w:pPr>
        <w:autoSpaceDE w:val="0"/>
        <w:autoSpaceDN w:val="0"/>
        <w:adjustRightInd w:val="0"/>
        <w:jc w:val="both"/>
        <w:rPr>
          <w:rFonts w:ascii="Arial" w:hAnsi="Arial" w:cs="Arial"/>
          <w:bCs/>
          <w:color w:val="000000"/>
          <w:sz w:val="18"/>
          <w:szCs w:val="18"/>
        </w:rPr>
      </w:pPr>
    </w:p>
    <w:p w:rsidR="001643FD" w:rsidRPr="003523B4" w:rsidRDefault="001643FD" w:rsidP="001643FD">
      <w:pPr>
        <w:autoSpaceDE w:val="0"/>
        <w:autoSpaceDN w:val="0"/>
        <w:adjustRightInd w:val="0"/>
        <w:jc w:val="both"/>
        <w:rPr>
          <w:rFonts w:ascii="Arial" w:hAnsi="Arial" w:cs="Arial"/>
          <w:bCs/>
          <w:color w:val="000000"/>
          <w:sz w:val="18"/>
          <w:szCs w:val="18"/>
        </w:rPr>
      </w:pPr>
      <w:r w:rsidRPr="003523B4">
        <w:rPr>
          <w:rFonts w:ascii="Arial" w:hAnsi="Arial" w:cs="Arial"/>
          <w:bCs/>
          <w:color w:val="000000"/>
          <w:sz w:val="18"/>
          <w:szCs w:val="18"/>
        </w:rPr>
        <w:lastRenderedPageBreak/>
        <w:t>Przesłanki pochodzące z zewnętrznych źródeł informacji:</w:t>
      </w:r>
    </w:p>
    <w:p w:rsidR="001643FD" w:rsidRPr="003523B4" w:rsidRDefault="001643FD" w:rsidP="001643FD">
      <w:pPr>
        <w:autoSpaceDE w:val="0"/>
        <w:autoSpaceDN w:val="0"/>
        <w:adjustRightInd w:val="0"/>
        <w:jc w:val="both"/>
        <w:rPr>
          <w:rFonts w:ascii="Arial" w:hAnsi="Arial" w:cs="Arial"/>
          <w:color w:val="000000"/>
          <w:sz w:val="18"/>
          <w:szCs w:val="18"/>
        </w:rPr>
      </w:pPr>
    </w:p>
    <w:p w:rsidR="001643FD" w:rsidRPr="003523B4" w:rsidRDefault="001643FD" w:rsidP="001643FD">
      <w:pPr>
        <w:pStyle w:val="Akapitzlist"/>
        <w:numPr>
          <w:ilvl w:val="0"/>
          <w:numId w:val="47"/>
        </w:numPr>
        <w:autoSpaceDE w:val="0"/>
        <w:autoSpaceDN w:val="0"/>
        <w:adjustRightInd w:val="0"/>
        <w:spacing w:after="200" w:line="276" w:lineRule="auto"/>
        <w:jc w:val="both"/>
        <w:rPr>
          <w:rFonts w:ascii="Arial" w:hAnsi="Arial" w:cs="Arial"/>
          <w:color w:val="000000"/>
          <w:sz w:val="18"/>
          <w:szCs w:val="18"/>
        </w:rPr>
      </w:pPr>
      <w:r w:rsidRPr="003523B4">
        <w:rPr>
          <w:rFonts w:ascii="Arial" w:hAnsi="Arial" w:cs="Arial"/>
          <w:color w:val="000000"/>
          <w:sz w:val="18"/>
          <w:szCs w:val="18"/>
        </w:rPr>
        <w:t xml:space="preserve">istnieją obserwowalne przesłanki, że wartość rynkowa składnika aktywów spadła w danym okresie znacznie bardziej niż oczekiwano by wraz z upływem czasu lub w związku z normalnym użyciem, </w:t>
      </w:r>
    </w:p>
    <w:p w:rsidR="001643FD" w:rsidRPr="003523B4" w:rsidRDefault="001643FD" w:rsidP="001643FD">
      <w:pPr>
        <w:pStyle w:val="Akapitzlist"/>
        <w:numPr>
          <w:ilvl w:val="0"/>
          <w:numId w:val="47"/>
        </w:numPr>
        <w:autoSpaceDE w:val="0"/>
        <w:autoSpaceDN w:val="0"/>
        <w:adjustRightInd w:val="0"/>
        <w:spacing w:after="200" w:line="276" w:lineRule="auto"/>
        <w:jc w:val="both"/>
        <w:rPr>
          <w:rFonts w:ascii="Arial" w:hAnsi="Arial" w:cs="Arial"/>
          <w:color w:val="000000"/>
          <w:sz w:val="18"/>
          <w:szCs w:val="18"/>
        </w:rPr>
      </w:pPr>
      <w:r w:rsidRPr="003523B4">
        <w:rPr>
          <w:rFonts w:ascii="Arial" w:hAnsi="Arial" w:cs="Arial"/>
          <w:color w:val="000000"/>
          <w:sz w:val="18"/>
          <w:szCs w:val="18"/>
        </w:rPr>
        <w:t xml:space="preserve">w ciągu okresu nastąpiły lub nastąpią w niedalekiej przyszłości znaczące i niekorzystne dla jednostki zmiany o charakterze technologicznym, rynkowym, gospodarczym lub prawnym w otoczeniu, w którym jednostka prowadzi działalność, lub też na rynkach, na które dany składnik aktywów jest przeznaczony, </w:t>
      </w:r>
    </w:p>
    <w:p w:rsidR="001643FD" w:rsidRPr="003523B4" w:rsidRDefault="001643FD" w:rsidP="001643FD">
      <w:pPr>
        <w:pStyle w:val="Akapitzlist"/>
        <w:numPr>
          <w:ilvl w:val="0"/>
          <w:numId w:val="47"/>
        </w:numPr>
        <w:autoSpaceDE w:val="0"/>
        <w:autoSpaceDN w:val="0"/>
        <w:adjustRightInd w:val="0"/>
        <w:spacing w:after="200" w:line="276" w:lineRule="auto"/>
        <w:jc w:val="both"/>
        <w:rPr>
          <w:rFonts w:ascii="Arial" w:hAnsi="Arial" w:cs="Arial"/>
          <w:color w:val="000000"/>
          <w:sz w:val="18"/>
          <w:szCs w:val="18"/>
        </w:rPr>
      </w:pPr>
      <w:r w:rsidRPr="003523B4">
        <w:rPr>
          <w:rFonts w:ascii="Arial" w:hAnsi="Arial" w:cs="Arial"/>
          <w:color w:val="000000"/>
          <w:sz w:val="18"/>
          <w:szCs w:val="18"/>
        </w:rPr>
        <w:t xml:space="preserve">w ciągu okresu nastąpił wzrost rynkowych stóp procentowych lub innych rynkowych stóp zwrotu </w:t>
      </w:r>
      <w:r w:rsidRPr="003523B4">
        <w:rPr>
          <w:rFonts w:ascii="Arial" w:hAnsi="Arial" w:cs="Arial"/>
          <w:color w:val="000000"/>
          <w:sz w:val="18"/>
          <w:szCs w:val="18"/>
        </w:rPr>
        <w:br/>
        <w:t xml:space="preserve">z inwestycji i prawdopodobne jest, że wzrost ten wpłynie na stopę dyskontową stosowaną do wyliczenia wartości użytkowej danego składnika aktywów i istotnie obniży wartość odzyskiwalną składnika aktywów, </w:t>
      </w:r>
    </w:p>
    <w:p w:rsidR="001643FD" w:rsidRPr="003523B4" w:rsidRDefault="001643FD" w:rsidP="001643FD">
      <w:pPr>
        <w:pStyle w:val="Akapitzlist"/>
        <w:numPr>
          <w:ilvl w:val="0"/>
          <w:numId w:val="47"/>
        </w:numPr>
        <w:autoSpaceDE w:val="0"/>
        <w:autoSpaceDN w:val="0"/>
        <w:adjustRightInd w:val="0"/>
        <w:spacing w:after="200" w:line="276" w:lineRule="auto"/>
        <w:jc w:val="both"/>
        <w:rPr>
          <w:rFonts w:ascii="Arial" w:hAnsi="Arial" w:cs="Arial"/>
          <w:color w:val="000000"/>
          <w:sz w:val="18"/>
          <w:szCs w:val="18"/>
        </w:rPr>
      </w:pPr>
      <w:r w:rsidRPr="003523B4">
        <w:rPr>
          <w:rFonts w:ascii="Arial" w:hAnsi="Arial" w:cs="Arial"/>
          <w:color w:val="000000"/>
          <w:sz w:val="18"/>
          <w:szCs w:val="18"/>
        </w:rPr>
        <w:t xml:space="preserve">wartość bilansowa aktywów netto jednostki sporządzającej sprawozdanie finansowe jest wyższa od wartości ich rynkowej kapitalizacji. </w:t>
      </w:r>
    </w:p>
    <w:p w:rsidR="001643FD" w:rsidRPr="003523B4" w:rsidRDefault="001643FD" w:rsidP="001643FD">
      <w:pPr>
        <w:autoSpaceDE w:val="0"/>
        <w:autoSpaceDN w:val="0"/>
        <w:adjustRightInd w:val="0"/>
        <w:jc w:val="both"/>
        <w:rPr>
          <w:rFonts w:ascii="Arial" w:hAnsi="Arial" w:cs="Arial"/>
          <w:bCs/>
          <w:color w:val="000000"/>
          <w:sz w:val="18"/>
          <w:szCs w:val="18"/>
        </w:rPr>
      </w:pPr>
      <w:r w:rsidRPr="003523B4">
        <w:rPr>
          <w:rFonts w:ascii="Arial" w:hAnsi="Arial" w:cs="Arial"/>
          <w:bCs/>
          <w:color w:val="000000"/>
          <w:sz w:val="18"/>
          <w:szCs w:val="18"/>
        </w:rPr>
        <w:t>Przesłanki pochodzące z wewnętrznych źródeł informacji:</w:t>
      </w:r>
    </w:p>
    <w:p w:rsidR="001643FD" w:rsidRPr="003523B4" w:rsidRDefault="001643FD" w:rsidP="001643FD">
      <w:pPr>
        <w:autoSpaceDE w:val="0"/>
        <w:autoSpaceDN w:val="0"/>
        <w:adjustRightInd w:val="0"/>
        <w:jc w:val="both"/>
        <w:rPr>
          <w:rFonts w:ascii="Arial" w:hAnsi="Arial" w:cs="Arial"/>
          <w:color w:val="000000"/>
          <w:sz w:val="18"/>
          <w:szCs w:val="18"/>
        </w:rPr>
      </w:pPr>
    </w:p>
    <w:p w:rsidR="001643FD" w:rsidRPr="003523B4" w:rsidRDefault="001643FD" w:rsidP="001643FD">
      <w:pPr>
        <w:pStyle w:val="Akapitzlist"/>
        <w:numPr>
          <w:ilvl w:val="0"/>
          <w:numId w:val="47"/>
        </w:numPr>
        <w:autoSpaceDE w:val="0"/>
        <w:autoSpaceDN w:val="0"/>
        <w:adjustRightInd w:val="0"/>
        <w:spacing w:after="200" w:line="276" w:lineRule="auto"/>
        <w:jc w:val="both"/>
        <w:rPr>
          <w:rFonts w:ascii="Arial" w:hAnsi="Arial" w:cs="Arial"/>
          <w:color w:val="000000"/>
          <w:sz w:val="18"/>
          <w:szCs w:val="18"/>
        </w:rPr>
      </w:pPr>
      <w:r w:rsidRPr="003523B4">
        <w:rPr>
          <w:rFonts w:ascii="Arial" w:hAnsi="Arial" w:cs="Arial"/>
          <w:color w:val="000000"/>
          <w:sz w:val="18"/>
          <w:szCs w:val="18"/>
        </w:rPr>
        <w:t xml:space="preserve">dostępne są dowody na to, że nastąpiła utrata przydatności danego składnika aktywów lub jego fizyczne uszkodzenie, </w:t>
      </w:r>
    </w:p>
    <w:p w:rsidR="001643FD" w:rsidRPr="003523B4" w:rsidRDefault="001643FD" w:rsidP="001643FD">
      <w:pPr>
        <w:pStyle w:val="Akapitzlist"/>
        <w:numPr>
          <w:ilvl w:val="0"/>
          <w:numId w:val="47"/>
        </w:numPr>
        <w:autoSpaceDE w:val="0"/>
        <w:autoSpaceDN w:val="0"/>
        <w:adjustRightInd w:val="0"/>
        <w:spacing w:after="200" w:line="276" w:lineRule="auto"/>
        <w:jc w:val="both"/>
        <w:rPr>
          <w:rFonts w:ascii="Arial" w:hAnsi="Arial" w:cs="Arial"/>
          <w:color w:val="000000"/>
          <w:sz w:val="18"/>
          <w:szCs w:val="18"/>
        </w:rPr>
      </w:pPr>
      <w:r w:rsidRPr="003523B4">
        <w:rPr>
          <w:rFonts w:ascii="Arial" w:hAnsi="Arial" w:cs="Arial"/>
          <w:color w:val="000000"/>
          <w:sz w:val="18"/>
          <w:szCs w:val="18"/>
        </w:rPr>
        <w:t xml:space="preserve">w ciągu okresu nastąpiły lub też prawdopodobne jest, że w niedalekiej przyszłości nastąpią znaczące </w:t>
      </w:r>
      <w:r w:rsidRPr="003523B4">
        <w:rPr>
          <w:rFonts w:ascii="Arial" w:hAnsi="Arial" w:cs="Arial"/>
          <w:color w:val="000000"/>
          <w:sz w:val="18"/>
          <w:szCs w:val="18"/>
        </w:rPr>
        <w:br/>
        <w:t xml:space="preserve">i niekorzystne dla jednostki zmiany dotyczące zakresu lub sposobu, w jaki dany składnik aktywów jest aktualnie użytkowany, lub, zgodnie z oczekiwaniami, będzie użytkowany. Do takich zmian zalicza się niewykorzystywanie składnika aktywów, plany zaniechania działalności lub restrukturyzacji działalności, do której dany składnik należy, lub plany zbycia tego składnika aktywów przed uprzednio przewidzianym terminem oraz ponowna ocena okresu użytkowania danego składnika aktywów z nieokreślonego na okres określony. </w:t>
      </w:r>
    </w:p>
    <w:p w:rsidR="001643FD" w:rsidRDefault="001643FD" w:rsidP="00F06708">
      <w:pPr>
        <w:tabs>
          <w:tab w:val="left" w:pos="540"/>
        </w:tabs>
        <w:spacing w:line="260" w:lineRule="exact"/>
        <w:jc w:val="both"/>
        <w:rPr>
          <w:rFonts w:ascii="Arial" w:hAnsi="Arial" w:cs="Arial"/>
          <w:bCs/>
          <w:sz w:val="18"/>
          <w:szCs w:val="18"/>
        </w:rPr>
      </w:pPr>
      <w:r w:rsidRPr="00F06708">
        <w:rPr>
          <w:rFonts w:ascii="Arial" w:hAnsi="Arial" w:cs="Arial"/>
          <w:bCs/>
          <w:sz w:val="18"/>
          <w:szCs w:val="18"/>
        </w:rPr>
        <w:t xml:space="preserve">Zarząd uznał, iż do dowodów pochodzących ze sprawozdawczości wewnętrznej wskazujących na to, że mogła nastąpić utrata wartości danego składnika aktywów, zaliczyć można następujące przesłanki: </w:t>
      </w:r>
    </w:p>
    <w:p w:rsidR="00F06708" w:rsidRPr="00F06708" w:rsidRDefault="00F06708" w:rsidP="00F06708">
      <w:pPr>
        <w:tabs>
          <w:tab w:val="left" w:pos="540"/>
        </w:tabs>
        <w:spacing w:line="260" w:lineRule="exact"/>
        <w:jc w:val="both"/>
        <w:rPr>
          <w:rFonts w:ascii="Arial" w:hAnsi="Arial" w:cs="Arial"/>
          <w:bCs/>
          <w:sz w:val="18"/>
          <w:szCs w:val="18"/>
        </w:rPr>
      </w:pPr>
    </w:p>
    <w:p w:rsidR="001643FD" w:rsidRPr="003523B4" w:rsidRDefault="001643FD" w:rsidP="001643FD">
      <w:pPr>
        <w:pStyle w:val="Akapitzlist"/>
        <w:numPr>
          <w:ilvl w:val="0"/>
          <w:numId w:val="47"/>
        </w:numPr>
        <w:autoSpaceDE w:val="0"/>
        <w:autoSpaceDN w:val="0"/>
        <w:adjustRightInd w:val="0"/>
        <w:spacing w:after="200" w:line="276" w:lineRule="auto"/>
        <w:jc w:val="both"/>
        <w:rPr>
          <w:rFonts w:ascii="Arial" w:hAnsi="Arial" w:cs="Arial"/>
          <w:color w:val="000000"/>
          <w:sz w:val="18"/>
          <w:szCs w:val="18"/>
        </w:rPr>
      </w:pPr>
      <w:r w:rsidRPr="003523B4">
        <w:rPr>
          <w:rFonts w:ascii="Arial" w:hAnsi="Arial" w:cs="Arial"/>
          <w:color w:val="000000"/>
          <w:sz w:val="18"/>
          <w:szCs w:val="18"/>
        </w:rPr>
        <w:t xml:space="preserve">przepływy pieniężne wydatkowane na nabycie danego składnika aktywów lub późniejsze zapotrzebowanie na środki pieniężne przeznaczane na eksploatację lub konserwację tego składnika aktywów są znacznie wyższe niż kwoty pierwotnie przewidziane w budżecie na te cele; </w:t>
      </w:r>
    </w:p>
    <w:p w:rsidR="001643FD" w:rsidRPr="003523B4" w:rsidRDefault="001643FD" w:rsidP="001643FD">
      <w:pPr>
        <w:pStyle w:val="Akapitzlist"/>
        <w:numPr>
          <w:ilvl w:val="0"/>
          <w:numId w:val="47"/>
        </w:numPr>
        <w:autoSpaceDE w:val="0"/>
        <w:autoSpaceDN w:val="0"/>
        <w:adjustRightInd w:val="0"/>
        <w:spacing w:after="200" w:line="276" w:lineRule="auto"/>
        <w:jc w:val="both"/>
        <w:rPr>
          <w:rFonts w:ascii="Arial" w:hAnsi="Arial" w:cs="Arial"/>
          <w:color w:val="000000"/>
          <w:sz w:val="18"/>
          <w:szCs w:val="18"/>
        </w:rPr>
      </w:pPr>
      <w:r w:rsidRPr="003523B4">
        <w:rPr>
          <w:rFonts w:ascii="Arial" w:hAnsi="Arial" w:cs="Arial"/>
          <w:color w:val="000000"/>
          <w:sz w:val="18"/>
          <w:szCs w:val="18"/>
        </w:rPr>
        <w:t xml:space="preserve">wystąpiły straty operacyjne lub wypływy pieniężne netto związane ze składnikiem aktywów, po podsumowaniu wyników bieżącego okresu. </w:t>
      </w:r>
    </w:p>
    <w:p w:rsidR="001643FD" w:rsidRPr="00E62DA3" w:rsidRDefault="001643FD" w:rsidP="00E62DA3">
      <w:pPr>
        <w:tabs>
          <w:tab w:val="left" w:pos="540"/>
        </w:tabs>
        <w:spacing w:line="260" w:lineRule="exact"/>
        <w:jc w:val="both"/>
        <w:rPr>
          <w:rFonts w:ascii="Arial" w:hAnsi="Arial" w:cs="Arial"/>
          <w:bCs/>
          <w:sz w:val="18"/>
          <w:szCs w:val="18"/>
        </w:rPr>
      </w:pPr>
      <w:r w:rsidRPr="00E62DA3">
        <w:rPr>
          <w:rFonts w:ascii="Arial" w:hAnsi="Arial" w:cs="Arial"/>
          <w:bCs/>
          <w:sz w:val="18"/>
          <w:szCs w:val="18"/>
        </w:rPr>
        <w:t xml:space="preserve">Zarząd emitenta zwracał również uwagę na istnienie innych przesłanek wskazujących na to, że mogła nastąpić utrata wartości danego składnika aktywów, co nakładałoby obowiązek ustalenia jego wartości odzyskiwalnej. </w:t>
      </w:r>
    </w:p>
    <w:p w:rsidR="001643FD" w:rsidRPr="00E62DA3" w:rsidRDefault="001643FD" w:rsidP="00E62DA3">
      <w:pPr>
        <w:tabs>
          <w:tab w:val="left" w:pos="540"/>
        </w:tabs>
        <w:spacing w:line="260" w:lineRule="exact"/>
        <w:jc w:val="both"/>
        <w:rPr>
          <w:rFonts w:ascii="Arial" w:hAnsi="Arial" w:cs="Arial"/>
          <w:bCs/>
          <w:sz w:val="18"/>
          <w:szCs w:val="18"/>
        </w:rPr>
      </w:pPr>
    </w:p>
    <w:p w:rsidR="001643FD" w:rsidRPr="00E62DA3" w:rsidRDefault="001643FD" w:rsidP="00E62DA3">
      <w:pPr>
        <w:tabs>
          <w:tab w:val="left" w:pos="540"/>
        </w:tabs>
        <w:spacing w:line="260" w:lineRule="exact"/>
        <w:jc w:val="both"/>
        <w:rPr>
          <w:rFonts w:ascii="Arial" w:hAnsi="Arial" w:cs="Arial"/>
          <w:bCs/>
          <w:sz w:val="18"/>
          <w:szCs w:val="18"/>
        </w:rPr>
      </w:pPr>
      <w:r w:rsidRPr="00E62DA3">
        <w:rPr>
          <w:rFonts w:ascii="Arial" w:hAnsi="Arial" w:cs="Arial"/>
          <w:bCs/>
          <w:sz w:val="18"/>
          <w:szCs w:val="18"/>
        </w:rPr>
        <w:t>30 września  2021 roku cena akcji Spółki wynosiła 4,3200 zł, a liczba akcji wynosi 14,564 tysięcy akcji. Wycena giełdowa spółki INTERFERIE S.A. w trakcie 2021 r. kształtowała się zatem poniżej wartości bilansowej aktywów netto spółki. W wyniku przeprowadzonych czynności między innymi wystąpienie strat operacyjnych bieżącego okresu (wpływ pandemii COVID-19) oraz niższą rynkową kapitalizację spółki od wartości bilansowej aktywów netto Spółka uznała, że zaistniały przesłanki do oszacowania wartości odzyskiwalnej wartości aktywów spółki (wartość bilansowa testowanych aktywów 153mln PLN).</w:t>
      </w:r>
    </w:p>
    <w:p w:rsidR="001643FD" w:rsidRPr="00E62DA3" w:rsidRDefault="001643FD" w:rsidP="001643FD">
      <w:pPr>
        <w:tabs>
          <w:tab w:val="left" w:pos="540"/>
        </w:tabs>
        <w:spacing w:line="260" w:lineRule="exact"/>
        <w:jc w:val="both"/>
        <w:rPr>
          <w:rFonts w:ascii="Arial" w:hAnsi="Arial" w:cs="Arial"/>
          <w:bCs/>
          <w:sz w:val="18"/>
          <w:szCs w:val="18"/>
        </w:rPr>
      </w:pPr>
    </w:p>
    <w:p w:rsidR="001643FD" w:rsidRPr="00E62DA3" w:rsidRDefault="001643FD" w:rsidP="00E62DA3">
      <w:pPr>
        <w:tabs>
          <w:tab w:val="left" w:pos="540"/>
        </w:tabs>
        <w:spacing w:line="260" w:lineRule="exact"/>
        <w:jc w:val="both"/>
        <w:rPr>
          <w:rFonts w:ascii="Arial" w:hAnsi="Arial" w:cs="Arial"/>
          <w:bCs/>
          <w:sz w:val="18"/>
          <w:szCs w:val="18"/>
        </w:rPr>
      </w:pPr>
      <w:r w:rsidRPr="00E62DA3">
        <w:rPr>
          <w:rFonts w:ascii="Arial" w:hAnsi="Arial" w:cs="Arial"/>
          <w:bCs/>
          <w:sz w:val="18"/>
          <w:szCs w:val="18"/>
        </w:rPr>
        <w:t xml:space="preserve">Na potrzeby oceny oszacowania wartości odzyskiwalnej emitent wyodrębnił następujące ośrodki wypracowujące środki pieniężne (OWSP): INTERFERIE w Ustroniu Morskim - OSW Cechsztyn, INTERFERIE w Kołobrzegu OSW Chalkozyn, INTERFERIE w Dąbkach Sanatorium Uzdrowiskowe Argentyt, INTERFERIE w Świeradowie Zdroju – Hotel Malachit i INTERFERIE w Szklarskiej Porębie - Hotel Bornit. </w:t>
      </w:r>
    </w:p>
    <w:p w:rsidR="001643FD" w:rsidRPr="00E62DA3" w:rsidRDefault="001643FD" w:rsidP="00E62DA3">
      <w:pPr>
        <w:tabs>
          <w:tab w:val="left" w:pos="540"/>
        </w:tabs>
        <w:spacing w:line="260" w:lineRule="exact"/>
        <w:jc w:val="both"/>
        <w:rPr>
          <w:rFonts w:ascii="Arial" w:hAnsi="Arial" w:cs="Arial"/>
          <w:bCs/>
          <w:sz w:val="18"/>
          <w:szCs w:val="18"/>
        </w:rPr>
      </w:pPr>
      <w:r w:rsidRPr="00E62DA3">
        <w:rPr>
          <w:rFonts w:ascii="Arial" w:hAnsi="Arial" w:cs="Arial"/>
          <w:bCs/>
          <w:sz w:val="18"/>
          <w:szCs w:val="18"/>
        </w:rPr>
        <w:t>INTERFERIE w Głogowie spółka zakwalifikowała na dzień bilansowy zgodnie z MSSF 5 jako aktywa trwałe przeznaczone do sprzedaży.</w:t>
      </w:r>
    </w:p>
    <w:p w:rsidR="001643FD" w:rsidRPr="00E62DA3" w:rsidRDefault="001643FD" w:rsidP="00E62DA3">
      <w:pPr>
        <w:tabs>
          <w:tab w:val="left" w:pos="540"/>
        </w:tabs>
        <w:spacing w:line="260" w:lineRule="exact"/>
        <w:jc w:val="both"/>
        <w:rPr>
          <w:rFonts w:ascii="Arial" w:hAnsi="Arial" w:cs="Arial"/>
          <w:bCs/>
          <w:sz w:val="18"/>
          <w:szCs w:val="18"/>
        </w:rPr>
      </w:pPr>
    </w:p>
    <w:p w:rsidR="001643FD" w:rsidRPr="00E62DA3" w:rsidRDefault="001643FD" w:rsidP="00E62DA3">
      <w:pPr>
        <w:tabs>
          <w:tab w:val="left" w:pos="540"/>
        </w:tabs>
        <w:spacing w:line="260" w:lineRule="exact"/>
        <w:jc w:val="both"/>
        <w:rPr>
          <w:rFonts w:ascii="Arial" w:hAnsi="Arial" w:cs="Arial"/>
          <w:bCs/>
          <w:sz w:val="18"/>
          <w:szCs w:val="18"/>
        </w:rPr>
      </w:pPr>
      <w:r w:rsidRPr="00E62DA3">
        <w:rPr>
          <w:rFonts w:ascii="Arial" w:hAnsi="Arial" w:cs="Arial"/>
          <w:bCs/>
          <w:sz w:val="18"/>
          <w:szCs w:val="18"/>
        </w:rPr>
        <w:t>Dla potrzeb oceny</w:t>
      </w:r>
      <w:r w:rsidR="006D578F" w:rsidRPr="00E62DA3">
        <w:rPr>
          <w:rFonts w:ascii="Arial" w:hAnsi="Arial" w:cs="Arial"/>
          <w:bCs/>
          <w:sz w:val="18"/>
          <w:szCs w:val="18"/>
        </w:rPr>
        <w:t xml:space="preserve"> utraty wartości</w:t>
      </w:r>
      <w:r w:rsidRPr="00E62DA3">
        <w:rPr>
          <w:rFonts w:ascii="Arial" w:hAnsi="Arial" w:cs="Arial"/>
          <w:bCs/>
          <w:sz w:val="18"/>
          <w:szCs w:val="18"/>
        </w:rPr>
        <w:t xml:space="preserve"> wartość odzyskiwalna aktywów została ustalona w kwocie odpowiadającej wartości godziwej pomniejszonej o koszty zbycia lub też w wartości użytkowej (będącą bieżącą, szacunkową wartością przyszłych przepływów pieniężnych, których uzyskania oczekuje się z tytułu dalszego użytkowania ośrodka wypracowującego środki pieniężne) – w zależności od tego która z nich jest wyższa. </w:t>
      </w:r>
    </w:p>
    <w:p w:rsidR="001643FD" w:rsidRPr="00E62DA3" w:rsidRDefault="001643FD" w:rsidP="00E62DA3">
      <w:pPr>
        <w:tabs>
          <w:tab w:val="left" w:pos="540"/>
        </w:tabs>
        <w:spacing w:line="260" w:lineRule="exact"/>
        <w:jc w:val="both"/>
        <w:rPr>
          <w:rFonts w:ascii="Arial" w:hAnsi="Arial" w:cs="Arial"/>
          <w:bCs/>
          <w:sz w:val="18"/>
          <w:szCs w:val="18"/>
        </w:rPr>
      </w:pPr>
      <w:r w:rsidRPr="00E62DA3">
        <w:rPr>
          <w:rFonts w:ascii="Arial" w:hAnsi="Arial" w:cs="Arial"/>
          <w:bCs/>
          <w:sz w:val="18"/>
          <w:szCs w:val="18"/>
        </w:rPr>
        <w:lastRenderedPageBreak/>
        <w:t xml:space="preserve">Wartość odzyskiwalna została ustalona na podstawie sumy przyszłych przepływów pieniężnych wyodrębnionych OWSP zdyskontowanych stopą oszacowaną na podstawie wskaźników stosowanych w branży hotelarskiej </w:t>
      </w:r>
      <w:r w:rsidRPr="00E62DA3">
        <w:rPr>
          <w:rFonts w:ascii="Arial" w:hAnsi="Arial" w:cs="Arial"/>
          <w:bCs/>
          <w:sz w:val="18"/>
          <w:szCs w:val="18"/>
        </w:rPr>
        <w:br/>
        <w:t xml:space="preserve">w obiektach: </w:t>
      </w:r>
    </w:p>
    <w:p w:rsidR="001643FD" w:rsidRPr="003523B4" w:rsidRDefault="001643FD" w:rsidP="001643FD">
      <w:pPr>
        <w:pStyle w:val="Akapitzlist"/>
        <w:numPr>
          <w:ilvl w:val="0"/>
          <w:numId w:val="48"/>
        </w:numPr>
        <w:autoSpaceDE w:val="0"/>
        <w:autoSpaceDN w:val="0"/>
        <w:adjustRightInd w:val="0"/>
        <w:spacing w:after="200" w:line="276" w:lineRule="auto"/>
        <w:jc w:val="both"/>
        <w:rPr>
          <w:rFonts w:ascii="Arial" w:hAnsi="Arial" w:cs="Arial"/>
          <w:color w:val="000000"/>
          <w:sz w:val="18"/>
          <w:szCs w:val="18"/>
        </w:rPr>
      </w:pPr>
      <w:r w:rsidRPr="003523B4">
        <w:rPr>
          <w:rFonts w:ascii="Arial" w:hAnsi="Arial" w:cs="Arial"/>
          <w:color w:val="000000"/>
          <w:sz w:val="18"/>
          <w:szCs w:val="18"/>
        </w:rPr>
        <w:t xml:space="preserve">INTERFERIE w Ustroniu Morskim - OSW Cechsztyn, </w:t>
      </w:r>
    </w:p>
    <w:p w:rsidR="001643FD" w:rsidRPr="003523B4" w:rsidRDefault="001643FD" w:rsidP="001643FD">
      <w:pPr>
        <w:pStyle w:val="Akapitzlist"/>
        <w:numPr>
          <w:ilvl w:val="0"/>
          <w:numId w:val="48"/>
        </w:numPr>
        <w:autoSpaceDE w:val="0"/>
        <w:autoSpaceDN w:val="0"/>
        <w:adjustRightInd w:val="0"/>
        <w:spacing w:after="200" w:line="276" w:lineRule="auto"/>
        <w:jc w:val="both"/>
        <w:rPr>
          <w:rFonts w:ascii="Arial" w:hAnsi="Arial" w:cs="Arial"/>
          <w:color w:val="000000"/>
          <w:sz w:val="18"/>
          <w:szCs w:val="18"/>
        </w:rPr>
      </w:pPr>
      <w:r w:rsidRPr="003523B4">
        <w:rPr>
          <w:rFonts w:ascii="Arial" w:hAnsi="Arial" w:cs="Arial"/>
          <w:color w:val="000000"/>
          <w:sz w:val="18"/>
          <w:szCs w:val="18"/>
        </w:rPr>
        <w:t xml:space="preserve">INTERFERIE w Kołobrzegu OSW Chalkozyn, </w:t>
      </w:r>
    </w:p>
    <w:p w:rsidR="001643FD" w:rsidRPr="003523B4" w:rsidRDefault="001643FD" w:rsidP="001643FD">
      <w:pPr>
        <w:pStyle w:val="Akapitzlist"/>
        <w:numPr>
          <w:ilvl w:val="0"/>
          <w:numId w:val="48"/>
        </w:numPr>
        <w:autoSpaceDE w:val="0"/>
        <w:autoSpaceDN w:val="0"/>
        <w:adjustRightInd w:val="0"/>
        <w:spacing w:after="200" w:line="276" w:lineRule="auto"/>
        <w:jc w:val="both"/>
        <w:rPr>
          <w:rFonts w:ascii="Arial" w:hAnsi="Arial" w:cs="Arial"/>
          <w:color w:val="000000"/>
          <w:sz w:val="18"/>
          <w:szCs w:val="18"/>
        </w:rPr>
      </w:pPr>
      <w:r w:rsidRPr="003523B4">
        <w:rPr>
          <w:rFonts w:ascii="Arial" w:hAnsi="Arial" w:cs="Arial"/>
          <w:color w:val="000000"/>
          <w:sz w:val="18"/>
          <w:szCs w:val="18"/>
        </w:rPr>
        <w:t xml:space="preserve">INTERFERIE w Dąbkach Sanatorium Uzdrowiskowe Argentyt </w:t>
      </w:r>
    </w:p>
    <w:p w:rsidR="001643FD" w:rsidRPr="00E62DA3" w:rsidRDefault="001643FD" w:rsidP="00E62DA3">
      <w:pPr>
        <w:tabs>
          <w:tab w:val="left" w:pos="540"/>
        </w:tabs>
        <w:spacing w:line="260" w:lineRule="exact"/>
        <w:jc w:val="both"/>
        <w:rPr>
          <w:rFonts w:ascii="Arial" w:hAnsi="Arial" w:cs="Arial"/>
          <w:bCs/>
          <w:sz w:val="18"/>
          <w:szCs w:val="18"/>
        </w:rPr>
      </w:pPr>
      <w:r w:rsidRPr="00E62DA3">
        <w:rPr>
          <w:rFonts w:ascii="Arial" w:hAnsi="Arial" w:cs="Arial"/>
          <w:bCs/>
          <w:sz w:val="18"/>
          <w:szCs w:val="18"/>
        </w:rPr>
        <w:t xml:space="preserve">Wartość odzyskiwalna została ustalona na podstawie wartości godziwej pomniejszonej o koszty sprzedaży (na podstawie operatów szacunkowych sporządzonych przez rzeczoznawców majątkowych) w obiektach: </w:t>
      </w:r>
    </w:p>
    <w:p w:rsidR="001643FD" w:rsidRPr="003523B4" w:rsidRDefault="001643FD" w:rsidP="001643FD">
      <w:pPr>
        <w:pStyle w:val="Akapitzlist"/>
        <w:numPr>
          <w:ilvl w:val="0"/>
          <w:numId w:val="48"/>
        </w:numPr>
        <w:autoSpaceDE w:val="0"/>
        <w:autoSpaceDN w:val="0"/>
        <w:adjustRightInd w:val="0"/>
        <w:spacing w:after="200" w:line="276" w:lineRule="auto"/>
        <w:jc w:val="both"/>
        <w:rPr>
          <w:rFonts w:ascii="Arial" w:hAnsi="Arial" w:cs="Arial"/>
          <w:color w:val="000000"/>
          <w:sz w:val="18"/>
          <w:szCs w:val="18"/>
        </w:rPr>
      </w:pPr>
      <w:r w:rsidRPr="003523B4">
        <w:rPr>
          <w:rFonts w:ascii="Arial" w:hAnsi="Arial" w:cs="Arial"/>
          <w:color w:val="000000"/>
          <w:sz w:val="18"/>
          <w:szCs w:val="18"/>
        </w:rPr>
        <w:t>INTERFERIE w Głogowie,</w:t>
      </w:r>
    </w:p>
    <w:p w:rsidR="001643FD" w:rsidRPr="003523B4" w:rsidRDefault="001643FD" w:rsidP="001643FD">
      <w:pPr>
        <w:pStyle w:val="Akapitzlist"/>
        <w:numPr>
          <w:ilvl w:val="0"/>
          <w:numId w:val="48"/>
        </w:numPr>
        <w:autoSpaceDE w:val="0"/>
        <w:autoSpaceDN w:val="0"/>
        <w:adjustRightInd w:val="0"/>
        <w:spacing w:after="200" w:line="276" w:lineRule="auto"/>
        <w:jc w:val="both"/>
        <w:rPr>
          <w:rFonts w:ascii="Arial" w:hAnsi="Arial" w:cs="Arial"/>
          <w:color w:val="000000"/>
          <w:sz w:val="18"/>
          <w:szCs w:val="18"/>
        </w:rPr>
      </w:pPr>
      <w:r w:rsidRPr="003523B4">
        <w:rPr>
          <w:rFonts w:ascii="Arial" w:hAnsi="Arial" w:cs="Arial"/>
          <w:color w:val="000000"/>
          <w:sz w:val="18"/>
          <w:szCs w:val="18"/>
        </w:rPr>
        <w:t>INTERFERIE Hotel Bornit w Szklarskiej Porębie,</w:t>
      </w:r>
    </w:p>
    <w:p w:rsidR="001643FD" w:rsidRPr="003523B4" w:rsidRDefault="001643FD" w:rsidP="001643FD">
      <w:pPr>
        <w:pStyle w:val="Akapitzlist"/>
        <w:numPr>
          <w:ilvl w:val="0"/>
          <w:numId w:val="48"/>
        </w:numPr>
        <w:autoSpaceDE w:val="0"/>
        <w:autoSpaceDN w:val="0"/>
        <w:adjustRightInd w:val="0"/>
        <w:spacing w:after="200" w:line="276" w:lineRule="auto"/>
        <w:jc w:val="both"/>
        <w:rPr>
          <w:rFonts w:ascii="Arial" w:hAnsi="Arial" w:cs="Arial"/>
          <w:color w:val="000000"/>
          <w:sz w:val="18"/>
          <w:szCs w:val="18"/>
        </w:rPr>
      </w:pPr>
      <w:r w:rsidRPr="003523B4">
        <w:rPr>
          <w:rFonts w:ascii="Arial" w:hAnsi="Arial" w:cs="Arial"/>
          <w:color w:val="000000"/>
          <w:sz w:val="18"/>
          <w:szCs w:val="18"/>
        </w:rPr>
        <w:t>INTERFERIE Hotel Malachit w Świeradowie Zdroju.</w:t>
      </w:r>
    </w:p>
    <w:p w:rsidR="001643FD" w:rsidRPr="003523B4" w:rsidRDefault="001643FD" w:rsidP="001643FD">
      <w:pPr>
        <w:autoSpaceDE w:val="0"/>
        <w:autoSpaceDN w:val="0"/>
        <w:adjustRightInd w:val="0"/>
        <w:spacing w:line="276" w:lineRule="auto"/>
        <w:jc w:val="both"/>
        <w:rPr>
          <w:rFonts w:ascii="Arial" w:hAnsi="Arial" w:cs="Arial"/>
          <w:color w:val="000000"/>
          <w:sz w:val="8"/>
          <w:szCs w:val="18"/>
        </w:rPr>
      </w:pPr>
    </w:p>
    <w:p w:rsidR="001643FD" w:rsidRPr="00E62DA3" w:rsidRDefault="001643FD" w:rsidP="00E62DA3">
      <w:pPr>
        <w:tabs>
          <w:tab w:val="left" w:pos="540"/>
        </w:tabs>
        <w:spacing w:line="260" w:lineRule="exact"/>
        <w:jc w:val="both"/>
        <w:rPr>
          <w:rFonts w:ascii="Arial" w:hAnsi="Arial" w:cs="Arial"/>
          <w:bCs/>
          <w:sz w:val="18"/>
          <w:szCs w:val="18"/>
        </w:rPr>
      </w:pPr>
      <w:r w:rsidRPr="00E62DA3">
        <w:rPr>
          <w:rFonts w:ascii="Arial" w:hAnsi="Arial" w:cs="Arial"/>
          <w:bCs/>
          <w:sz w:val="18"/>
          <w:szCs w:val="18"/>
        </w:rPr>
        <w:t>Spółka przeprowadziła testy na utratę wartości przyjmując następujące założenia:</w:t>
      </w:r>
    </w:p>
    <w:p w:rsidR="001643FD" w:rsidRPr="003523B4" w:rsidRDefault="001643FD" w:rsidP="008B55FB">
      <w:pPr>
        <w:pStyle w:val="Akapitzlist"/>
        <w:numPr>
          <w:ilvl w:val="0"/>
          <w:numId w:val="50"/>
        </w:numPr>
        <w:autoSpaceDE w:val="0"/>
        <w:autoSpaceDN w:val="0"/>
        <w:adjustRightInd w:val="0"/>
        <w:spacing w:after="200" w:line="276" w:lineRule="auto"/>
        <w:jc w:val="both"/>
        <w:rPr>
          <w:rFonts w:ascii="Arial" w:hAnsi="Arial" w:cs="Arial"/>
          <w:sz w:val="18"/>
          <w:szCs w:val="18"/>
        </w:rPr>
      </w:pPr>
      <w:r w:rsidRPr="003523B4">
        <w:rPr>
          <w:rFonts w:ascii="Arial" w:hAnsi="Arial" w:cs="Arial"/>
          <w:sz w:val="18"/>
          <w:szCs w:val="18"/>
        </w:rPr>
        <w:t xml:space="preserve">Spółka będzie kontynuowała działalność w niezmienionym istotnie zakresie z wykorzystaniem obecnych jednostek eksploatacyjnych za wyjątkiem INTERFERIE w Głogowie przeznaczonym do zbycia. </w:t>
      </w:r>
    </w:p>
    <w:p w:rsidR="001643FD" w:rsidRPr="003523B4" w:rsidRDefault="001643FD" w:rsidP="008B55FB">
      <w:pPr>
        <w:pStyle w:val="Akapitzlist"/>
        <w:numPr>
          <w:ilvl w:val="0"/>
          <w:numId w:val="50"/>
        </w:numPr>
        <w:autoSpaceDE w:val="0"/>
        <w:autoSpaceDN w:val="0"/>
        <w:adjustRightInd w:val="0"/>
        <w:spacing w:after="200" w:line="276" w:lineRule="auto"/>
        <w:jc w:val="both"/>
        <w:rPr>
          <w:rFonts w:ascii="Arial" w:hAnsi="Arial" w:cs="Arial"/>
          <w:sz w:val="18"/>
          <w:szCs w:val="18"/>
        </w:rPr>
      </w:pPr>
      <w:r w:rsidRPr="003523B4">
        <w:rPr>
          <w:rFonts w:ascii="Arial" w:hAnsi="Arial" w:cs="Arial"/>
          <w:sz w:val="18"/>
          <w:szCs w:val="18"/>
        </w:rPr>
        <w:t>Przepływy pieniężne przyjęte na podstawie wiarygodnych szacunków Zarządu INTERFERIE S.A. akceptowanych przez Radę Nadzorczą Spółki.</w:t>
      </w:r>
    </w:p>
    <w:p w:rsidR="001643FD" w:rsidRPr="003523B4" w:rsidRDefault="001643FD" w:rsidP="008B55FB">
      <w:pPr>
        <w:pStyle w:val="Akapitzlist"/>
        <w:numPr>
          <w:ilvl w:val="0"/>
          <w:numId w:val="50"/>
        </w:numPr>
        <w:autoSpaceDE w:val="0"/>
        <w:autoSpaceDN w:val="0"/>
        <w:adjustRightInd w:val="0"/>
        <w:spacing w:after="200" w:line="276" w:lineRule="auto"/>
        <w:jc w:val="both"/>
        <w:rPr>
          <w:rFonts w:ascii="Arial" w:hAnsi="Arial" w:cs="Arial"/>
          <w:sz w:val="18"/>
          <w:szCs w:val="18"/>
        </w:rPr>
      </w:pPr>
      <w:r w:rsidRPr="003523B4">
        <w:rPr>
          <w:rFonts w:ascii="Arial" w:hAnsi="Arial" w:cs="Arial"/>
          <w:sz w:val="18"/>
          <w:szCs w:val="18"/>
        </w:rPr>
        <w:t xml:space="preserve">Nakłady inwestycyjne w okresie prognozy przyjęte na podstawie budżetu inwestycyjnego Spółki </w:t>
      </w:r>
      <w:r w:rsidR="00F06708">
        <w:rPr>
          <w:rFonts w:ascii="Arial" w:hAnsi="Arial" w:cs="Arial"/>
          <w:sz w:val="18"/>
          <w:szCs w:val="18"/>
        </w:rPr>
        <w:br/>
      </w:r>
      <w:r w:rsidRPr="003523B4">
        <w:rPr>
          <w:rFonts w:ascii="Arial" w:hAnsi="Arial" w:cs="Arial"/>
          <w:sz w:val="18"/>
          <w:szCs w:val="18"/>
        </w:rPr>
        <w:t>i planów Zarządu uzgodnionych z Radą Nadzorczą Spółki (na okres 5 lat dla INTERFERIE w Ustroniu Morskim - OWS Cechsztyn, oraz 10 lat dla podlegających inwestycji INTERFERIE w Kołobrzegu – OSW Chalkozyn oraz INTERFERIE w Dąbkach Sanatorium Uzdrowiskowe Argentyt).</w:t>
      </w:r>
    </w:p>
    <w:p w:rsidR="001643FD" w:rsidRPr="003523B4" w:rsidRDefault="001643FD" w:rsidP="008B55FB">
      <w:pPr>
        <w:pStyle w:val="Akapitzlist"/>
        <w:numPr>
          <w:ilvl w:val="0"/>
          <w:numId w:val="50"/>
        </w:numPr>
        <w:spacing w:after="200" w:line="276" w:lineRule="auto"/>
        <w:jc w:val="both"/>
        <w:rPr>
          <w:rFonts w:ascii="Arial" w:hAnsi="Arial" w:cs="Arial"/>
          <w:sz w:val="18"/>
          <w:szCs w:val="18"/>
        </w:rPr>
      </w:pPr>
      <w:r w:rsidRPr="003523B4">
        <w:rPr>
          <w:rFonts w:ascii="Arial" w:hAnsi="Arial" w:cs="Arial"/>
          <w:sz w:val="18"/>
          <w:szCs w:val="18"/>
        </w:rPr>
        <w:t xml:space="preserve">Stopa dyskontowa skalkulowana na poziomie 9,12%, netto przy przyjęciu aktualnych parametrów makroekonomicznych oraz branżowych dla Spółki. </w:t>
      </w:r>
    </w:p>
    <w:p w:rsidR="001643FD" w:rsidRPr="003523B4" w:rsidRDefault="001643FD" w:rsidP="008B55FB">
      <w:pPr>
        <w:pStyle w:val="Akapitzlist"/>
        <w:numPr>
          <w:ilvl w:val="0"/>
          <w:numId w:val="50"/>
        </w:numPr>
        <w:autoSpaceDE w:val="0"/>
        <w:autoSpaceDN w:val="0"/>
        <w:adjustRightInd w:val="0"/>
        <w:spacing w:after="200" w:line="276" w:lineRule="auto"/>
        <w:jc w:val="both"/>
        <w:rPr>
          <w:rFonts w:ascii="Arial" w:hAnsi="Arial" w:cs="Arial"/>
          <w:sz w:val="18"/>
          <w:szCs w:val="18"/>
        </w:rPr>
      </w:pPr>
      <w:r w:rsidRPr="003523B4">
        <w:rPr>
          <w:rFonts w:ascii="Arial" w:hAnsi="Arial" w:cs="Arial"/>
          <w:sz w:val="18"/>
          <w:szCs w:val="18"/>
        </w:rPr>
        <w:t>Przyjęto koszty doprowadzenia do sprzedaży w łącznej wysokości 3% (w tym: koszty usług prawnych, biura nieruchomości i inne obciążenia związane z transakcją sprzedaży).</w:t>
      </w:r>
    </w:p>
    <w:p w:rsidR="001643FD" w:rsidRPr="00E62DA3" w:rsidRDefault="001643FD" w:rsidP="00E62DA3">
      <w:pPr>
        <w:tabs>
          <w:tab w:val="left" w:pos="540"/>
        </w:tabs>
        <w:spacing w:line="260" w:lineRule="exact"/>
        <w:jc w:val="both"/>
        <w:rPr>
          <w:rFonts w:ascii="Arial" w:hAnsi="Arial" w:cs="Arial"/>
          <w:bCs/>
          <w:sz w:val="18"/>
          <w:szCs w:val="18"/>
        </w:rPr>
      </w:pPr>
      <w:r w:rsidRPr="00E62DA3">
        <w:rPr>
          <w:rFonts w:ascii="Arial" w:hAnsi="Arial" w:cs="Arial"/>
          <w:bCs/>
          <w:sz w:val="18"/>
          <w:szCs w:val="18"/>
        </w:rPr>
        <w:t>W wyniku przeprowadzonego testu na utratę wartości aktywów spółki oszacowana wartość odzyskiwalna aktywów była na poziomie wyższym niż wartość bilansowa aktywów, co zgodnie z MSR 36 par. 8 - nie dało podstaw do dokonania odpisu z tytułu utraty wartości.</w:t>
      </w:r>
    </w:p>
    <w:p w:rsidR="001643FD" w:rsidRPr="00E62DA3" w:rsidRDefault="001643FD" w:rsidP="00E62DA3">
      <w:pPr>
        <w:tabs>
          <w:tab w:val="left" w:pos="540"/>
        </w:tabs>
        <w:spacing w:line="260" w:lineRule="exact"/>
        <w:jc w:val="both"/>
        <w:rPr>
          <w:rFonts w:ascii="Arial" w:hAnsi="Arial" w:cs="Arial"/>
          <w:bCs/>
          <w:sz w:val="18"/>
          <w:szCs w:val="18"/>
        </w:rPr>
      </w:pPr>
    </w:p>
    <w:p w:rsidR="001643FD" w:rsidRPr="00E62DA3" w:rsidRDefault="001643FD" w:rsidP="00E62DA3">
      <w:pPr>
        <w:tabs>
          <w:tab w:val="left" w:pos="540"/>
        </w:tabs>
        <w:spacing w:line="260" w:lineRule="exact"/>
        <w:jc w:val="both"/>
        <w:rPr>
          <w:rFonts w:ascii="Arial" w:hAnsi="Arial" w:cs="Arial"/>
          <w:bCs/>
          <w:sz w:val="18"/>
          <w:szCs w:val="18"/>
        </w:rPr>
      </w:pPr>
      <w:r w:rsidRPr="00E62DA3">
        <w:rPr>
          <w:rFonts w:ascii="Arial" w:hAnsi="Arial" w:cs="Arial"/>
          <w:bCs/>
          <w:sz w:val="18"/>
          <w:szCs w:val="18"/>
        </w:rPr>
        <w:t>W ocenie Zarządu cena akcji Spółki (niska kapitalizacja) wynika m.in. z ich niewielkiej płynności (co jest związane ze stałym akcjonariatem), a także trwającym procesem odbudowy wartości Spółki.</w:t>
      </w:r>
    </w:p>
    <w:p w:rsidR="001643FD" w:rsidRPr="00E62DA3" w:rsidRDefault="001643FD" w:rsidP="00E62DA3">
      <w:pPr>
        <w:tabs>
          <w:tab w:val="left" w:pos="540"/>
        </w:tabs>
        <w:spacing w:line="260" w:lineRule="exact"/>
        <w:jc w:val="both"/>
        <w:rPr>
          <w:rFonts w:ascii="Arial" w:hAnsi="Arial" w:cs="Arial"/>
          <w:bCs/>
          <w:sz w:val="18"/>
          <w:szCs w:val="18"/>
        </w:rPr>
      </w:pPr>
    </w:p>
    <w:p w:rsidR="001643FD" w:rsidRPr="00E62DA3" w:rsidRDefault="001643FD" w:rsidP="00E62DA3">
      <w:pPr>
        <w:tabs>
          <w:tab w:val="left" w:pos="540"/>
        </w:tabs>
        <w:spacing w:line="260" w:lineRule="exact"/>
        <w:jc w:val="both"/>
        <w:rPr>
          <w:rFonts w:ascii="Arial" w:hAnsi="Arial" w:cs="Arial"/>
          <w:bCs/>
          <w:sz w:val="18"/>
          <w:szCs w:val="18"/>
        </w:rPr>
      </w:pPr>
    </w:p>
    <w:p w:rsidR="001643FD" w:rsidRPr="00E62DA3" w:rsidRDefault="001643FD" w:rsidP="00E62DA3">
      <w:pPr>
        <w:tabs>
          <w:tab w:val="left" w:pos="540"/>
        </w:tabs>
        <w:spacing w:line="260" w:lineRule="exact"/>
        <w:jc w:val="both"/>
        <w:rPr>
          <w:rFonts w:ascii="Arial" w:hAnsi="Arial" w:cs="Arial"/>
          <w:bCs/>
          <w:sz w:val="18"/>
          <w:szCs w:val="18"/>
        </w:rPr>
      </w:pPr>
      <w:r w:rsidRPr="00E62DA3">
        <w:rPr>
          <w:rFonts w:ascii="Arial" w:hAnsi="Arial" w:cs="Arial"/>
          <w:bCs/>
          <w:sz w:val="18"/>
          <w:szCs w:val="18"/>
        </w:rPr>
        <w:t>Podsumowanie ustalonych wartości odzyskiwalnych:</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1646"/>
        <w:gridCol w:w="1647"/>
      </w:tblGrid>
      <w:tr w:rsidR="001643FD" w:rsidRPr="0043066A" w:rsidTr="00A1700F">
        <w:trPr>
          <w:trHeight w:val="552"/>
        </w:trPr>
        <w:tc>
          <w:tcPr>
            <w:tcW w:w="5778" w:type="dxa"/>
          </w:tcPr>
          <w:p w:rsidR="001643FD" w:rsidRPr="0043066A" w:rsidRDefault="001643FD" w:rsidP="00A1700F">
            <w:pPr>
              <w:autoSpaceDE w:val="0"/>
              <w:autoSpaceDN w:val="0"/>
              <w:adjustRightInd w:val="0"/>
              <w:jc w:val="both"/>
              <w:rPr>
                <w:rFonts w:ascii="Arial" w:hAnsi="Arial" w:cs="Arial"/>
                <w:sz w:val="16"/>
                <w:szCs w:val="16"/>
              </w:rPr>
            </w:pPr>
          </w:p>
        </w:tc>
        <w:tc>
          <w:tcPr>
            <w:tcW w:w="1646" w:type="dxa"/>
            <w:vAlign w:val="center"/>
            <w:hideMark/>
          </w:tcPr>
          <w:p w:rsidR="001643FD" w:rsidRPr="0043066A" w:rsidRDefault="001643FD" w:rsidP="00A1700F">
            <w:pPr>
              <w:autoSpaceDE w:val="0"/>
              <w:autoSpaceDN w:val="0"/>
              <w:adjustRightInd w:val="0"/>
              <w:jc w:val="center"/>
              <w:rPr>
                <w:rFonts w:ascii="Arial" w:hAnsi="Arial" w:cs="Arial"/>
                <w:sz w:val="16"/>
                <w:szCs w:val="16"/>
              </w:rPr>
            </w:pPr>
            <w:r w:rsidRPr="0043066A">
              <w:rPr>
                <w:rFonts w:ascii="Arial" w:hAnsi="Arial" w:cs="Arial"/>
                <w:sz w:val="16"/>
                <w:szCs w:val="16"/>
              </w:rPr>
              <w:t>Wartość bilansowa</w:t>
            </w:r>
          </w:p>
        </w:tc>
        <w:tc>
          <w:tcPr>
            <w:tcW w:w="1647" w:type="dxa"/>
            <w:vAlign w:val="center"/>
            <w:hideMark/>
          </w:tcPr>
          <w:p w:rsidR="001643FD" w:rsidRPr="0043066A" w:rsidRDefault="001643FD" w:rsidP="00A1700F">
            <w:pPr>
              <w:autoSpaceDE w:val="0"/>
              <w:autoSpaceDN w:val="0"/>
              <w:adjustRightInd w:val="0"/>
              <w:jc w:val="center"/>
              <w:rPr>
                <w:rFonts w:ascii="Arial" w:hAnsi="Arial" w:cs="Arial"/>
                <w:sz w:val="16"/>
                <w:szCs w:val="16"/>
              </w:rPr>
            </w:pPr>
            <w:r w:rsidRPr="0043066A">
              <w:rPr>
                <w:rFonts w:ascii="Arial" w:hAnsi="Arial" w:cs="Arial"/>
                <w:sz w:val="16"/>
                <w:szCs w:val="16"/>
              </w:rPr>
              <w:t>Wartość odzyskiwalna</w:t>
            </w:r>
          </w:p>
        </w:tc>
      </w:tr>
      <w:tr w:rsidR="001643FD" w:rsidRPr="0043066A" w:rsidTr="00A1700F">
        <w:trPr>
          <w:trHeight w:val="283"/>
        </w:trPr>
        <w:tc>
          <w:tcPr>
            <w:tcW w:w="5778" w:type="dxa"/>
            <w:vAlign w:val="center"/>
            <w:hideMark/>
          </w:tcPr>
          <w:p w:rsidR="001643FD" w:rsidRPr="0043066A" w:rsidRDefault="001643FD" w:rsidP="00A1700F">
            <w:pPr>
              <w:autoSpaceDE w:val="0"/>
              <w:autoSpaceDN w:val="0"/>
              <w:adjustRightInd w:val="0"/>
              <w:rPr>
                <w:rFonts w:ascii="Arial" w:hAnsi="Arial" w:cs="Arial"/>
                <w:sz w:val="16"/>
                <w:szCs w:val="16"/>
              </w:rPr>
            </w:pPr>
            <w:r w:rsidRPr="0043066A">
              <w:rPr>
                <w:rFonts w:ascii="Arial" w:hAnsi="Arial" w:cs="Arial"/>
                <w:sz w:val="16"/>
                <w:szCs w:val="16"/>
              </w:rPr>
              <w:t>INTERFERIE w Ustroniu Morskim - OWS Cechsztyn</w:t>
            </w:r>
          </w:p>
        </w:tc>
        <w:tc>
          <w:tcPr>
            <w:tcW w:w="1646" w:type="dxa"/>
            <w:tcBorders>
              <w:top w:val="single" w:sz="4" w:space="0" w:color="auto"/>
              <w:left w:val="nil"/>
              <w:bottom w:val="nil"/>
              <w:right w:val="nil"/>
            </w:tcBorders>
            <w:vAlign w:val="center"/>
          </w:tcPr>
          <w:p w:rsidR="001643FD" w:rsidRPr="0043066A" w:rsidRDefault="001643FD" w:rsidP="00A1700F">
            <w:pPr>
              <w:jc w:val="center"/>
              <w:rPr>
                <w:rFonts w:ascii="Arial" w:hAnsi="Arial" w:cs="Arial"/>
                <w:sz w:val="16"/>
                <w:szCs w:val="16"/>
              </w:rPr>
            </w:pPr>
            <w:r w:rsidRPr="0043066A">
              <w:rPr>
                <w:rFonts w:ascii="Arial" w:hAnsi="Arial" w:cs="Arial"/>
                <w:sz w:val="16"/>
                <w:szCs w:val="16"/>
              </w:rPr>
              <w:t>9 437</w:t>
            </w:r>
          </w:p>
        </w:tc>
        <w:tc>
          <w:tcPr>
            <w:tcW w:w="1647" w:type="dxa"/>
            <w:tcBorders>
              <w:top w:val="single" w:sz="4" w:space="0" w:color="auto"/>
              <w:left w:val="nil"/>
              <w:bottom w:val="nil"/>
              <w:right w:val="nil"/>
            </w:tcBorders>
            <w:vAlign w:val="center"/>
            <w:hideMark/>
          </w:tcPr>
          <w:p w:rsidR="001643FD" w:rsidRPr="0043066A" w:rsidRDefault="001643FD" w:rsidP="00A1700F">
            <w:pPr>
              <w:jc w:val="center"/>
              <w:rPr>
                <w:rFonts w:ascii="Arial" w:hAnsi="Arial" w:cs="Arial"/>
                <w:sz w:val="16"/>
                <w:szCs w:val="16"/>
              </w:rPr>
            </w:pPr>
            <w:r w:rsidRPr="0043066A">
              <w:rPr>
                <w:rFonts w:ascii="Arial" w:hAnsi="Arial" w:cs="Arial"/>
                <w:sz w:val="16"/>
                <w:szCs w:val="16"/>
              </w:rPr>
              <w:t>15 990</w:t>
            </w:r>
          </w:p>
        </w:tc>
      </w:tr>
      <w:tr w:rsidR="001643FD" w:rsidRPr="0043066A" w:rsidTr="00A1700F">
        <w:trPr>
          <w:trHeight w:val="283"/>
        </w:trPr>
        <w:tc>
          <w:tcPr>
            <w:tcW w:w="5778" w:type="dxa"/>
            <w:vAlign w:val="center"/>
            <w:hideMark/>
          </w:tcPr>
          <w:p w:rsidR="001643FD" w:rsidRPr="0043066A" w:rsidRDefault="001643FD" w:rsidP="00A1700F">
            <w:pPr>
              <w:autoSpaceDE w:val="0"/>
              <w:autoSpaceDN w:val="0"/>
              <w:adjustRightInd w:val="0"/>
              <w:rPr>
                <w:rFonts w:ascii="Arial" w:hAnsi="Arial" w:cs="Arial"/>
                <w:sz w:val="16"/>
                <w:szCs w:val="16"/>
              </w:rPr>
            </w:pPr>
            <w:r w:rsidRPr="0043066A">
              <w:rPr>
                <w:rFonts w:ascii="Arial" w:hAnsi="Arial" w:cs="Arial"/>
                <w:sz w:val="16"/>
                <w:szCs w:val="16"/>
              </w:rPr>
              <w:t>INTERFERIE w Kołobrzegu – OSW Chalkozyn</w:t>
            </w:r>
          </w:p>
        </w:tc>
        <w:tc>
          <w:tcPr>
            <w:tcW w:w="1646" w:type="dxa"/>
            <w:vAlign w:val="center"/>
            <w:hideMark/>
          </w:tcPr>
          <w:p w:rsidR="001643FD" w:rsidRPr="0043066A" w:rsidRDefault="001643FD" w:rsidP="00A1700F">
            <w:pPr>
              <w:jc w:val="center"/>
              <w:rPr>
                <w:rFonts w:ascii="Arial" w:hAnsi="Arial" w:cs="Arial"/>
                <w:sz w:val="16"/>
                <w:szCs w:val="16"/>
              </w:rPr>
            </w:pPr>
            <w:r w:rsidRPr="0043066A">
              <w:rPr>
                <w:rFonts w:ascii="Arial" w:hAnsi="Arial" w:cs="Arial"/>
                <w:sz w:val="16"/>
                <w:szCs w:val="16"/>
              </w:rPr>
              <w:t>18 699</w:t>
            </w:r>
          </w:p>
        </w:tc>
        <w:tc>
          <w:tcPr>
            <w:tcW w:w="1647" w:type="dxa"/>
            <w:vAlign w:val="center"/>
            <w:hideMark/>
          </w:tcPr>
          <w:p w:rsidR="001643FD" w:rsidRPr="0043066A" w:rsidRDefault="001643FD" w:rsidP="00A1700F">
            <w:pPr>
              <w:jc w:val="center"/>
              <w:rPr>
                <w:rFonts w:ascii="Arial" w:hAnsi="Arial" w:cs="Arial"/>
                <w:sz w:val="16"/>
                <w:szCs w:val="16"/>
              </w:rPr>
            </w:pPr>
            <w:r w:rsidRPr="0043066A">
              <w:rPr>
                <w:rFonts w:ascii="Arial" w:hAnsi="Arial" w:cs="Arial"/>
                <w:sz w:val="16"/>
                <w:szCs w:val="16"/>
              </w:rPr>
              <w:t>33 408</w:t>
            </w:r>
          </w:p>
        </w:tc>
      </w:tr>
      <w:tr w:rsidR="001643FD" w:rsidRPr="0043066A" w:rsidTr="00A1700F">
        <w:trPr>
          <w:trHeight w:val="283"/>
        </w:trPr>
        <w:tc>
          <w:tcPr>
            <w:tcW w:w="5778" w:type="dxa"/>
            <w:vAlign w:val="center"/>
            <w:hideMark/>
          </w:tcPr>
          <w:p w:rsidR="001643FD" w:rsidRPr="0043066A" w:rsidRDefault="001643FD" w:rsidP="00A1700F">
            <w:pPr>
              <w:autoSpaceDE w:val="0"/>
              <w:autoSpaceDN w:val="0"/>
              <w:adjustRightInd w:val="0"/>
              <w:rPr>
                <w:rFonts w:ascii="Arial" w:hAnsi="Arial" w:cs="Arial"/>
                <w:sz w:val="16"/>
                <w:szCs w:val="16"/>
              </w:rPr>
            </w:pPr>
            <w:r w:rsidRPr="0043066A">
              <w:rPr>
                <w:rFonts w:ascii="Arial" w:hAnsi="Arial" w:cs="Arial"/>
                <w:sz w:val="16"/>
                <w:szCs w:val="16"/>
              </w:rPr>
              <w:t>INTERFERIE w Dąbkach Sanatorium Uzdrowiskowe Argentyt</w:t>
            </w:r>
          </w:p>
        </w:tc>
        <w:tc>
          <w:tcPr>
            <w:tcW w:w="1646" w:type="dxa"/>
            <w:vAlign w:val="center"/>
            <w:hideMark/>
          </w:tcPr>
          <w:p w:rsidR="001643FD" w:rsidRPr="0043066A" w:rsidRDefault="001643FD" w:rsidP="00A1700F">
            <w:pPr>
              <w:jc w:val="center"/>
              <w:rPr>
                <w:rFonts w:ascii="Arial" w:hAnsi="Arial" w:cs="Arial"/>
                <w:sz w:val="16"/>
                <w:szCs w:val="16"/>
              </w:rPr>
            </w:pPr>
            <w:r w:rsidRPr="0043066A">
              <w:rPr>
                <w:rFonts w:ascii="Arial" w:hAnsi="Arial" w:cs="Arial"/>
                <w:sz w:val="16"/>
                <w:szCs w:val="16"/>
              </w:rPr>
              <w:t>76 976</w:t>
            </w:r>
          </w:p>
        </w:tc>
        <w:tc>
          <w:tcPr>
            <w:tcW w:w="1647" w:type="dxa"/>
            <w:vAlign w:val="center"/>
            <w:hideMark/>
          </w:tcPr>
          <w:p w:rsidR="001643FD" w:rsidRPr="0043066A" w:rsidRDefault="001643FD" w:rsidP="00A1700F">
            <w:pPr>
              <w:jc w:val="center"/>
              <w:rPr>
                <w:rFonts w:ascii="Arial" w:hAnsi="Arial" w:cs="Arial"/>
                <w:sz w:val="16"/>
                <w:szCs w:val="16"/>
              </w:rPr>
            </w:pPr>
            <w:r w:rsidRPr="0043066A">
              <w:rPr>
                <w:rFonts w:ascii="Arial" w:hAnsi="Arial" w:cs="Arial"/>
                <w:sz w:val="16"/>
                <w:szCs w:val="16"/>
              </w:rPr>
              <w:t>114 806</w:t>
            </w:r>
          </w:p>
        </w:tc>
      </w:tr>
      <w:tr w:rsidR="001643FD" w:rsidRPr="0043066A" w:rsidTr="00A1700F">
        <w:trPr>
          <w:trHeight w:val="283"/>
        </w:trPr>
        <w:tc>
          <w:tcPr>
            <w:tcW w:w="5778" w:type="dxa"/>
            <w:vAlign w:val="center"/>
            <w:hideMark/>
          </w:tcPr>
          <w:p w:rsidR="001643FD" w:rsidRPr="0043066A" w:rsidRDefault="001643FD" w:rsidP="00A1700F">
            <w:pPr>
              <w:autoSpaceDE w:val="0"/>
              <w:autoSpaceDN w:val="0"/>
              <w:adjustRightInd w:val="0"/>
              <w:rPr>
                <w:rFonts w:ascii="Arial" w:hAnsi="Arial" w:cs="Arial"/>
                <w:sz w:val="16"/>
                <w:szCs w:val="16"/>
              </w:rPr>
            </w:pPr>
            <w:r w:rsidRPr="0043066A">
              <w:rPr>
                <w:rFonts w:ascii="Arial" w:hAnsi="Arial" w:cs="Arial"/>
                <w:sz w:val="16"/>
                <w:szCs w:val="16"/>
              </w:rPr>
              <w:t>INTERFERIE Hotel Bornit w Szklarskiej Porębie</w:t>
            </w:r>
          </w:p>
        </w:tc>
        <w:tc>
          <w:tcPr>
            <w:tcW w:w="1646" w:type="dxa"/>
            <w:vAlign w:val="center"/>
            <w:hideMark/>
          </w:tcPr>
          <w:p w:rsidR="001643FD" w:rsidRPr="0043066A" w:rsidRDefault="001643FD" w:rsidP="00A1700F">
            <w:pPr>
              <w:jc w:val="center"/>
              <w:rPr>
                <w:rFonts w:ascii="Arial" w:hAnsi="Arial" w:cs="Arial"/>
                <w:sz w:val="16"/>
                <w:szCs w:val="16"/>
              </w:rPr>
            </w:pPr>
            <w:r w:rsidRPr="0043066A">
              <w:rPr>
                <w:rFonts w:ascii="Arial" w:hAnsi="Arial" w:cs="Arial"/>
                <w:sz w:val="16"/>
                <w:szCs w:val="16"/>
              </w:rPr>
              <w:t>23 198</w:t>
            </w:r>
          </w:p>
        </w:tc>
        <w:tc>
          <w:tcPr>
            <w:tcW w:w="1647" w:type="dxa"/>
            <w:vAlign w:val="center"/>
            <w:hideMark/>
          </w:tcPr>
          <w:p w:rsidR="001643FD" w:rsidRPr="0043066A" w:rsidRDefault="001643FD" w:rsidP="00A1700F">
            <w:pPr>
              <w:jc w:val="center"/>
              <w:rPr>
                <w:rFonts w:ascii="Arial" w:hAnsi="Arial" w:cs="Arial"/>
                <w:sz w:val="16"/>
                <w:szCs w:val="16"/>
              </w:rPr>
            </w:pPr>
            <w:r w:rsidRPr="0043066A">
              <w:rPr>
                <w:rFonts w:ascii="Arial" w:hAnsi="Arial" w:cs="Arial"/>
                <w:sz w:val="16"/>
                <w:szCs w:val="16"/>
              </w:rPr>
              <w:t>25 925</w:t>
            </w:r>
          </w:p>
        </w:tc>
      </w:tr>
      <w:tr w:rsidR="001643FD" w:rsidRPr="0043066A" w:rsidTr="00A1700F">
        <w:trPr>
          <w:trHeight w:val="283"/>
        </w:trPr>
        <w:tc>
          <w:tcPr>
            <w:tcW w:w="5778" w:type="dxa"/>
            <w:vAlign w:val="center"/>
            <w:hideMark/>
          </w:tcPr>
          <w:p w:rsidR="001643FD" w:rsidRPr="0043066A" w:rsidRDefault="001643FD" w:rsidP="00A1700F">
            <w:pPr>
              <w:autoSpaceDE w:val="0"/>
              <w:autoSpaceDN w:val="0"/>
              <w:adjustRightInd w:val="0"/>
              <w:rPr>
                <w:rFonts w:ascii="Arial" w:hAnsi="Arial" w:cs="Arial"/>
                <w:sz w:val="16"/>
                <w:szCs w:val="16"/>
              </w:rPr>
            </w:pPr>
            <w:r w:rsidRPr="0043066A">
              <w:rPr>
                <w:rFonts w:ascii="Arial" w:hAnsi="Arial" w:cs="Arial"/>
                <w:sz w:val="16"/>
                <w:szCs w:val="16"/>
              </w:rPr>
              <w:t>INTERFERIE Hotel Malachit w Świeradowie Zdroju</w:t>
            </w:r>
          </w:p>
        </w:tc>
        <w:tc>
          <w:tcPr>
            <w:tcW w:w="1646" w:type="dxa"/>
            <w:vAlign w:val="center"/>
            <w:hideMark/>
          </w:tcPr>
          <w:p w:rsidR="001643FD" w:rsidRPr="0043066A" w:rsidRDefault="001643FD" w:rsidP="00A1700F">
            <w:pPr>
              <w:jc w:val="center"/>
              <w:rPr>
                <w:rFonts w:ascii="Arial" w:hAnsi="Arial" w:cs="Arial"/>
                <w:sz w:val="16"/>
                <w:szCs w:val="16"/>
              </w:rPr>
            </w:pPr>
            <w:r w:rsidRPr="0043066A">
              <w:rPr>
                <w:rFonts w:ascii="Arial" w:hAnsi="Arial" w:cs="Arial"/>
                <w:sz w:val="16"/>
                <w:szCs w:val="16"/>
              </w:rPr>
              <w:t>21 769</w:t>
            </w:r>
          </w:p>
        </w:tc>
        <w:tc>
          <w:tcPr>
            <w:tcW w:w="1647" w:type="dxa"/>
            <w:vAlign w:val="center"/>
            <w:hideMark/>
          </w:tcPr>
          <w:p w:rsidR="001643FD" w:rsidRPr="0043066A" w:rsidRDefault="001643FD" w:rsidP="00A1700F">
            <w:pPr>
              <w:jc w:val="center"/>
              <w:rPr>
                <w:rFonts w:ascii="Arial" w:hAnsi="Arial" w:cs="Arial"/>
                <w:sz w:val="16"/>
                <w:szCs w:val="16"/>
              </w:rPr>
            </w:pPr>
            <w:r w:rsidRPr="0043066A">
              <w:rPr>
                <w:rFonts w:ascii="Arial" w:hAnsi="Arial" w:cs="Arial"/>
                <w:sz w:val="16"/>
                <w:szCs w:val="16"/>
              </w:rPr>
              <w:t>23 153</w:t>
            </w:r>
          </w:p>
        </w:tc>
      </w:tr>
      <w:tr w:rsidR="001643FD" w:rsidRPr="0043066A" w:rsidTr="00A1700F">
        <w:trPr>
          <w:trHeight w:val="283"/>
        </w:trPr>
        <w:tc>
          <w:tcPr>
            <w:tcW w:w="5778" w:type="dxa"/>
            <w:vAlign w:val="center"/>
            <w:hideMark/>
          </w:tcPr>
          <w:p w:rsidR="001643FD" w:rsidRPr="0043066A" w:rsidRDefault="001643FD" w:rsidP="00A1700F">
            <w:pPr>
              <w:autoSpaceDE w:val="0"/>
              <w:autoSpaceDN w:val="0"/>
              <w:adjustRightInd w:val="0"/>
              <w:rPr>
                <w:rFonts w:ascii="Arial" w:hAnsi="Arial" w:cs="Arial"/>
                <w:sz w:val="16"/>
                <w:szCs w:val="16"/>
              </w:rPr>
            </w:pPr>
            <w:r w:rsidRPr="0043066A">
              <w:rPr>
                <w:rFonts w:ascii="Arial" w:hAnsi="Arial" w:cs="Arial"/>
                <w:sz w:val="16"/>
                <w:szCs w:val="16"/>
              </w:rPr>
              <w:t>INTERFERIE w Głogowie</w:t>
            </w:r>
          </w:p>
        </w:tc>
        <w:tc>
          <w:tcPr>
            <w:tcW w:w="1646" w:type="dxa"/>
            <w:vAlign w:val="center"/>
            <w:hideMark/>
          </w:tcPr>
          <w:p w:rsidR="001643FD" w:rsidRPr="0043066A" w:rsidRDefault="001643FD" w:rsidP="00A1700F">
            <w:pPr>
              <w:jc w:val="center"/>
              <w:rPr>
                <w:rFonts w:ascii="Arial" w:hAnsi="Arial" w:cs="Arial"/>
                <w:sz w:val="16"/>
                <w:szCs w:val="16"/>
              </w:rPr>
            </w:pPr>
            <w:r w:rsidRPr="0043066A">
              <w:rPr>
                <w:rFonts w:ascii="Arial" w:hAnsi="Arial" w:cs="Arial"/>
                <w:sz w:val="16"/>
                <w:szCs w:val="16"/>
              </w:rPr>
              <w:t xml:space="preserve">2 </w:t>
            </w:r>
            <w:r>
              <w:rPr>
                <w:rFonts w:ascii="Arial" w:hAnsi="Arial" w:cs="Arial"/>
                <w:sz w:val="16"/>
                <w:szCs w:val="16"/>
              </w:rPr>
              <w:t>251</w:t>
            </w:r>
          </w:p>
        </w:tc>
        <w:tc>
          <w:tcPr>
            <w:tcW w:w="1647" w:type="dxa"/>
            <w:vAlign w:val="center"/>
            <w:hideMark/>
          </w:tcPr>
          <w:p w:rsidR="001643FD" w:rsidRPr="0043066A" w:rsidRDefault="001643FD" w:rsidP="00A1700F">
            <w:pPr>
              <w:jc w:val="center"/>
              <w:rPr>
                <w:rFonts w:ascii="Arial" w:hAnsi="Arial" w:cs="Arial"/>
                <w:sz w:val="16"/>
                <w:szCs w:val="16"/>
              </w:rPr>
            </w:pPr>
            <w:r w:rsidRPr="0043066A">
              <w:rPr>
                <w:rFonts w:ascii="Arial" w:hAnsi="Arial" w:cs="Arial"/>
                <w:sz w:val="16"/>
                <w:szCs w:val="16"/>
              </w:rPr>
              <w:t xml:space="preserve">2 </w:t>
            </w:r>
            <w:r>
              <w:rPr>
                <w:rFonts w:ascii="Arial" w:hAnsi="Arial" w:cs="Arial"/>
                <w:sz w:val="16"/>
                <w:szCs w:val="16"/>
              </w:rPr>
              <w:t>528</w:t>
            </w:r>
          </w:p>
        </w:tc>
      </w:tr>
      <w:tr w:rsidR="001643FD" w:rsidRPr="0043066A" w:rsidTr="00A1700F">
        <w:tc>
          <w:tcPr>
            <w:tcW w:w="5778" w:type="dxa"/>
          </w:tcPr>
          <w:p w:rsidR="001643FD" w:rsidRPr="0043066A" w:rsidRDefault="001643FD" w:rsidP="00A1700F">
            <w:pPr>
              <w:autoSpaceDE w:val="0"/>
              <w:autoSpaceDN w:val="0"/>
              <w:adjustRightInd w:val="0"/>
              <w:jc w:val="both"/>
              <w:rPr>
                <w:rFonts w:ascii="Arial" w:hAnsi="Arial" w:cs="Arial"/>
                <w:sz w:val="16"/>
                <w:szCs w:val="16"/>
              </w:rPr>
            </w:pPr>
          </w:p>
        </w:tc>
        <w:tc>
          <w:tcPr>
            <w:tcW w:w="1646" w:type="dxa"/>
          </w:tcPr>
          <w:p w:rsidR="001643FD" w:rsidRPr="0043066A" w:rsidRDefault="001643FD" w:rsidP="00A1700F">
            <w:pPr>
              <w:autoSpaceDE w:val="0"/>
              <w:autoSpaceDN w:val="0"/>
              <w:adjustRightInd w:val="0"/>
              <w:jc w:val="right"/>
              <w:rPr>
                <w:rFonts w:ascii="Arial" w:hAnsi="Arial" w:cs="Arial"/>
                <w:sz w:val="16"/>
                <w:szCs w:val="16"/>
              </w:rPr>
            </w:pPr>
          </w:p>
        </w:tc>
        <w:tc>
          <w:tcPr>
            <w:tcW w:w="1647" w:type="dxa"/>
          </w:tcPr>
          <w:p w:rsidR="001643FD" w:rsidRPr="0043066A" w:rsidRDefault="001643FD" w:rsidP="00A1700F">
            <w:pPr>
              <w:autoSpaceDE w:val="0"/>
              <w:autoSpaceDN w:val="0"/>
              <w:adjustRightInd w:val="0"/>
              <w:jc w:val="right"/>
              <w:rPr>
                <w:rFonts w:ascii="Arial" w:hAnsi="Arial" w:cs="Arial"/>
                <w:sz w:val="16"/>
                <w:szCs w:val="16"/>
              </w:rPr>
            </w:pPr>
          </w:p>
        </w:tc>
      </w:tr>
    </w:tbl>
    <w:p w:rsidR="001643FD" w:rsidRPr="0043066A" w:rsidRDefault="001643FD" w:rsidP="001643FD">
      <w:pPr>
        <w:autoSpaceDE w:val="0"/>
        <w:autoSpaceDN w:val="0"/>
        <w:adjustRightInd w:val="0"/>
        <w:jc w:val="both"/>
        <w:rPr>
          <w:rFonts w:ascii="Arial" w:hAnsi="Arial" w:cs="Arial"/>
          <w:sz w:val="18"/>
          <w:szCs w:val="18"/>
        </w:rPr>
      </w:pPr>
    </w:p>
    <w:p w:rsidR="001643FD" w:rsidRPr="00E62DA3" w:rsidRDefault="001643FD" w:rsidP="00E62DA3">
      <w:pPr>
        <w:tabs>
          <w:tab w:val="left" w:pos="540"/>
        </w:tabs>
        <w:spacing w:line="260" w:lineRule="exact"/>
        <w:jc w:val="both"/>
        <w:rPr>
          <w:rFonts w:ascii="Arial" w:hAnsi="Arial" w:cs="Arial"/>
          <w:bCs/>
          <w:sz w:val="18"/>
          <w:szCs w:val="18"/>
        </w:rPr>
      </w:pPr>
      <w:r w:rsidRPr="00E62DA3">
        <w:rPr>
          <w:rFonts w:ascii="Arial" w:hAnsi="Arial" w:cs="Arial"/>
          <w:bCs/>
          <w:sz w:val="18"/>
          <w:szCs w:val="18"/>
        </w:rPr>
        <w:t>Wycena wykazała znaczną wrażliwość wartości godziwej na przyjęte poziomy stopy dyskonta oraz zmiany zysku operacyjnego w okresie prognozy dla poniższych OWSP.</w:t>
      </w:r>
    </w:p>
    <w:p w:rsidR="001643FD" w:rsidRPr="00C42EEA" w:rsidRDefault="001643FD" w:rsidP="001643FD">
      <w:pPr>
        <w:autoSpaceDE w:val="0"/>
        <w:autoSpaceDN w:val="0"/>
        <w:adjustRightInd w:val="0"/>
        <w:spacing w:line="276" w:lineRule="auto"/>
        <w:jc w:val="both"/>
        <w:rPr>
          <w:rFonts w:ascii="Arial" w:hAnsi="Arial" w:cs="Arial"/>
          <w:sz w:val="18"/>
          <w:szCs w:val="18"/>
          <w:highlight w:val="yellow"/>
        </w:rPr>
      </w:pPr>
    </w:p>
    <w:p w:rsidR="00F06708" w:rsidRDefault="00F06708">
      <w:pPr>
        <w:rPr>
          <w:rFonts w:ascii="Arial" w:hAnsi="Arial" w:cs="Arial"/>
          <w:sz w:val="18"/>
          <w:szCs w:val="18"/>
        </w:rPr>
      </w:pPr>
      <w:r>
        <w:rPr>
          <w:rFonts w:ascii="Arial" w:hAnsi="Arial" w:cs="Arial"/>
          <w:sz w:val="18"/>
          <w:szCs w:val="18"/>
        </w:rPr>
        <w:br w:type="page"/>
      </w:r>
    </w:p>
    <w:p w:rsidR="001643FD" w:rsidRPr="0043066A" w:rsidRDefault="001643FD" w:rsidP="001643FD">
      <w:pPr>
        <w:autoSpaceDE w:val="0"/>
        <w:autoSpaceDN w:val="0"/>
        <w:adjustRightInd w:val="0"/>
        <w:spacing w:line="276" w:lineRule="auto"/>
        <w:jc w:val="both"/>
        <w:rPr>
          <w:rFonts w:ascii="Arial" w:hAnsi="Arial" w:cs="Arial"/>
          <w:sz w:val="18"/>
          <w:szCs w:val="18"/>
        </w:rPr>
      </w:pPr>
      <w:r w:rsidRPr="0043066A">
        <w:rPr>
          <w:rFonts w:ascii="Arial" w:hAnsi="Arial" w:cs="Arial"/>
          <w:sz w:val="18"/>
          <w:szCs w:val="18"/>
        </w:rPr>
        <w:lastRenderedPageBreak/>
        <w:t>Na potrzeby analizy wrażliwości każdy z powyższych parametrów zmieniono o 6%.</w:t>
      </w:r>
    </w:p>
    <w:p w:rsidR="001643FD" w:rsidRPr="0043066A" w:rsidRDefault="001643FD" w:rsidP="001643FD">
      <w:pPr>
        <w:autoSpaceDE w:val="0"/>
        <w:autoSpaceDN w:val="0"/>
        <w:adjustRightInd w:val="0"/>
        <w:jc w:val="both"/>
        <w:rPr>
          <w:rFonts w:ascii="Arial" w:hAnsi="Arial" w:cs="Arial"/>
          <w:sz w:val="18"/>
          <w:szCs w:val="18"/>
        </w:rPr>
      </w:pPr>
    </w:p>
    <w:tbl>
      <w:tblPr>
        <w:tblW w:w="8670" w:type="dxa"/>
        <w:tblInd w:w="57" w:type="dxa"/>
        <w:tblLayout w:type="fixed"/>
        <w:tblCellMar>
          <w:left w:w="70" w:type="dxa"/>
          <w:right w:w="70" w:type="dxa"/>
        </w:tblCellMar>
        <w:tblLook w:val="04A0" w:firstRow="1" w:lastRow="0" w:firstColumn="1" w:lastColumn="0" w:noHBand="0" w:noVBand="1"/>
      </w:tblPr>
      <w:tblGrid>
        <w:gridCol w:w="2992"/>
        <w:gridCol w:w="185"/>
        <w:gridCol w:w="1091"/>
        <w:gridCol w:w="1174"/>
        <w:gridCol w:w="1174"/>
        <w:gridCol w:w="1027"/>
        <w:gridCol w:w="1027"/>
      </w:tblGrid>
      <w:tr w:rsidR="001643FD" w:rsidRPr="00F06708" w:rsidTr="00A1700F">
        <w:trPr>
          <w:trHeight w:val="74"/>
        </w:trPr>
        <w:tc>
          <w:tcPr>
            <w:tcW w:w="2990" w:type="dxa"/>
            <w:shd w:val="clear" w:color="auto" w:fill="FFFFFF"/>
            <w:noWrap/>
            <w:vAlign w:val="center"/>
            <w:hideMark/>
          </w:tcPr>
          <w:p w:rsidR="001643FD" w:rsidRPr="00F06708" w:rsidRDefault="001643FD" w:rsidP="00A1700F">
            <w:pPr>
              <w:rPr>
                <w:rFonts w:ascii="Arial" w:hAnsi="Arial" w:cs="Arial"/>
                <w:sz w:val="16"/>
                <w:szCs w:val="16"/>
              </w:rPr>
            </w:pPr>
            <w:r w:rsidRPr="00F06708">
              <w:rPr>
                <w:rFonts w:ascii="Arial" w:hAnsi="Arial" w:cs="Arial"/>
                <w:sz w:val="16"/>
                <w:szCs w:val="16"/>
              </w:rPr>
              <w:t> </w:t>
            </w:r>
          </w:p>
        </w:tc>
        <w:tc>
          <w:tcPr>
            <w:tcW w:w="185" w:type="dxa"/>
            <w:tcBorders>
              <w:top w:val="nil"/>
              <w:left w:val="single" w:sz="4" w:space="0" w:color="auto"/>
              <w:bottom w:val="nil"/>
              <w:right w:val="nil"/>
            </w:tcBorders>
            <w:shd w:val="clear" w:color="auto" w:fill="FFFFFF"/>
            <w:noWrap/>
            <w:vAlign w:val="center"/>
            <w:hideMark/>
          </w:tcPr>
          <w:p w:rsidR="001643FD" w:rsidRPr="00F06708" w:rsidRDefault="001643FD" w:rsidP="00A1700F">
            <w:pPr>
              <w:rPr>
                <w:rFonts w:ascii="Arial" w:hAnsi="Arial" w:cs="Arial"/>
                <w:sz w:val="16"/>
                <w:szCs w:val="16"/>
              </w:rPr>
            </w:pPr>
            <w:r w:rsidRPr="00F06708">
              <w:rPr>
                <w:rFonts w:ascii="Arial" w:hAnsi="Arial" w:cs="Arial"/>
                <w:sz w:val="16"/>
                <w:szCs w:val="16"/>
              </w:rPr>
              <w:t> </w:t>
            </w:r>
          </w:p>
        </w:tc>
        <w:tc>
          <w:tcPr>
            <w:tcW w:w="1091" w:type="dxa"/>
            <w:vMerge w:val="restart"/>
            <w:tcBorders>
              <w:top w:val="nil"/>
              <w:left w:val="nil"/>
              <w:bottom w:val="single" w:sz="4" w:space="0" w:color="auto"/>
              <w:right w:val="nil"/>
            </w:tcBorders>
            <w:shd w:val="clear" w:color="auto" w:fill="FFFFFF"/>
            <w:noWrap/>
            <w:vAlign w:val="center"/>
            <w:hideMark/>
          </w:tcPr>
          <w:p w:rsidR="001643FD" w:rsidRPr="00F06708" w:rsidRDefault="001643FD" w:rsidP="00A1700F">
            <w:pPr>
              <w:rPr>
                <w:rFonts w:ascii="Arial" w:hAnsi="Arial" w:cs="Arial"/>
                <w:sz w:val="16"/>
                <w:szCs w:val="16"/>
              </w:rPr>
            </w:pPr>
            <w:r w:rsidRPr="00F06708">
              <w:rPr>
                <w:rFonts w:ascii="Arial" w:hAnsi="Arial" w:cs="Arial"/>
                <w:sz w:val="16"/>
                <w:szCs w:val="16"/>
              </w:rPr>
              <w:t> </w:t>
            </w:r>
          </w:p>
          <w:p w:rsidR="001643FD" w:rsidRPr="00F06708" w:rsidRDefault="001643FD" w:rsidP="00A1700F">
            <w:pPr>
              <w:jc w:val="center"/>
              <w:rPr>
                <w:rFonts w:ascii="Arial" w:hAnsi="Arial" w:cs="Arial"/>
                <w:sz w:val="16"/>
                <w:szCs w:val="16"/>
              </w:rPr>
            </w:pPr>
            <w:r w:rsidRPr="00F06708">
              <w:rPr>
                <w:rFonts w:ascii="Arial" w:hAnsi="Arial" w:cs="Arial"/>
                <w:sz w:val="16"/>
                <w:szCs w:val="16"/>
              </w:rPr>
              <w:t>Wartość bilansowa</w:t>
            </w:r>
          </w:p>
        </w:tc>
        <w:tc>
          <w:tcPr>
            <w:tcW w:w="2348" w:type="dxa"/>
            <w:gridSpan w:val="2"/>
            <w:tcBorders>
              <w:top w:val="nil"/>
              <w:left w:val="single" w:sz="4" w:space="0" w:color="auto"/>
              <w:bottom w:val="nil"/>
              <w:right w:val="single" w:sz="4" w:space="0" w:color="000000"/>
            </w:tcBorders>
            <w:shd w:val="clear" w:color="auto" w:fill="FFFFFF"/>
            <w:vAlign w:val="center"/>
            <w:hideMark/>
          </w:tcPr>
          <w:p w:rsidR="001643FD" w:rsidRPr="00F06708" w:rsidRDefault="001643FD" w:rsidP="00A1700F">
            <w:pPr>
              <w:jc w:val="center"/>
              <w:rPr>
                <w:rFonts w:ascii="Arial" w:hAnsi="Arial" w:cs="Arial"/>
                <w:sz w:val="16"/>
                <w:szCs w:val="16"/>
              </w:rPr>
            </w:pPr>
            <w:r w:rsidRPr="00F06708">
              <w:rPr>
                <w:rFonts w:ascii="Arial" w:hAnsi="Arial" w:cs="Arial"/>
                <w:sz w:val="16"/>
                <w:szCs w:val="16"/>
              </w:rPr>
              <w:t xml:space="preserve">analiza wrażliwości wartości majątku na zmianę stopy dyskonta </w:t>
            </w:r>
          </w:p>
        </w:tc>
        <w:tc>
          <w:tcPr>
            <w:tcW w:w="2054" w:type="dxa"/>
            <w:gridSpan w:val="2"/>
            <w:tcBorders>
              <w:top w:val="nil"/>
              <w:left w:val="nil"/>
              <w:bottom w:val="nil"/>
              <w:right w:val="single" w:sz="4" w:space="0" w:color="000000"/>
            </w:tcBorders>
            <w:shd w:val="clear" w:color="auto" w:fill="FFFFFF"/>
            <w:vAlign w:val="center"/>
            <w:hideMark/>
          </w:tcPr>
          <w:p w:rsidR="001643FD" w:rsidRPr="00F06708" w:rsidRDefault="001643FD" w:rsidP="00A1700F">
            <w:pPr>
              <w:jc w:val="center"/>
              <w:rPr>
                <w:rFonts w:ascii="Arial" w:hAnsi="Arial" w:cs="Arial"/>
                <w:sz w:val="16"/>
                <w:szCs w:val="16"/>
              </w:rPr>
            </w:pPr>
            <w:r w:rsidRPr="00F06708">
              <w:rPr>
                <w:rFonts w:ascii="Arial" w:hAnsi="Arial" w:cs="Arial"/>
                <w:sz w:val="16"/>
                <w:szCs w:val="16"/>
              </w:rPr>
              <w:t>analiza wrażliwości wartości majątku na zmianę zysku operacyjnego</w:t>
            </w:r>
          </w:p>
        </w:tc>
      </w:tr>
      <w:tr w:rsidR="001643FD" w:rsidRPr="00F06708" w:rsidTr="00A1700F">
        <w:trPr>
          <w:trHeight w:val="229"/>
        </w:trPr>
        <w:tc>
          <w:tcPr>
            <w:tcW w:w="2990" w:type="dxa"/>
            <w:shd w:val="clear" w:color="auto" w:fill="FFFFFF"/>
            <w:noWrap/>
            <w:vAlign w:val="center"/>
            <w:hideMark/>
          </w:tcPr>
          <w:p w:rsidR="001643FD" w:rsidRPr="00F06708" w:rsidRDefault="001643FD" w:rsidP="00A1700F">
            <w:pPr>
              <w:rPr>
                <w:rFonts w:ascii="Arial" w:hAnsi="Arial" w:cs="Arial"/>
                <w:sz w:val="16"/>
                <w:szCs w:val="16"/>
              </w:rPr>
            </w:pPr>
            <w:r w:rsidRPr="00F06708">
              <w:rPr>
                <w:rFonts w:ascii="Arial" w:hAnsi="Arial" w:cs="Arial"/>
                <w:sz w:val="16"/>
                <w:szCs w:val="16"/>
              </w:rPr>
              <w:t> </w:t>
            </w:r>
          </w:p>
        </w:tc>
        <w:tc>
          <w:tcPr>
            <w:tcW w:w="185" w:type="dxa"/>
            <w:tcBorders>
              <w:top w:val="nil"/>
              <w:left w:val="single" w:sz="4" w:space="0" w:color="auto"/>
              <w:bottom w:val="single" w:sz="4" w:space="0" w:color="auto"/>
              <w:right w:val="nil"/>
            </w:tcBorders>
            <w:shd w:val="clear" w:color="auto" w:fill="FFFFFF"/>
            <w:vAlign w:val="center"/>
          </w:tcPr>
          <w:p w:rsidR="001643FD" w:rsidRPr="00F06708" w:rsidRDefault="001643FD" w:rsidP="00A1700F">
            <w:pPr>
              <w:jc w:val="center"/>
              <w:rPr>
                <w:rFonts w:ascii="Arial" w:hAnsi="Arial" w:cs="Arial"/>
                <w:sz w:val="16"/>
                <w:szCs w:val="16"/>
              </w:rPr>
            </w:pPr>
          </w:p>
        </w:tc>
        <w:tc>
          <w:tcPr>
            <w:tcW w:w="1091" w:type="dxa"/>
            <w:vMerge/>
            <w:tcBorders>
              <w:top w:val="nil"/>
              <w:left w:val="nil"/>
              <w:bottom w:val="single" w:sz="4" w:space="0" w:color="auto"/>
              <w:right w:val="nil"/>
            </w:tcBorders>
            <w:vAlign w:val="center"/>
            <w:hideMark/>
          </w:tcPr>
          <w:p w:rsidR="001643FD" w:rsidRPr="00F06708" w:rsidRDefault="001643FD" w:rsidP="00A1700F">
            <w:pPr>
              <w:rPr>
                <w:rFonts w:ascii="Arial" w:hAnsi="Arial" w:cs="Arial"/>
                <w:sz w:val="16"/>
                <w:szCs w:val="16"/>
              </w:rPr>
            </w:pPr>
          </w:p>
        </w:tc>
        <w:tc>
          <w:tcPr>
            <w:tcW w:w="1174" w:type="dxa"/>
            <w:tcBorders>
              <w:top w:val="nil"/>
              <w:left w:val="single" w:sz="4" w:space="0" w:color="auto"/>
              <w:bottom w:val="single" w:sz="4" w:space="0" w:color="auto"/>
              <w:right w:val="nil"/>
            </w:tcBorders>
            <w:vAlign w:val="center"/>
            <w:hideMark/>
          </w:tcPr>
          <w:p w:rsidR="001643FD" w:rsidRPr="00F06708" w:rsidRDefault="001643FD" w:rsidP="00A1700F">
            <w:pPr>
              <w:jc w:val="center"/>
              <w:rPr>
                <w:rFonts w:ascii="Arial" w:hAnsi="Arial" w:cs="Arial"/>
                <w:sz w:val="16"/>
                <w:szCs w:val="16"/>
              </w:rPr>
            </w:pPr>
            <w:r w:rsidRPr="00F06708">
              <w:rPr>
                <w:rFonts w:ascii="Arial" w:hAnsi="Arial" w:cs="Arial"/>
                <w:sz w:val="16"/>
                <w:szCs w:val="16"/>
              </w:rPr>
              <w:t xml:space="preserve">+ 6% </w:t>
            </w:r>
          </w:p>
        </w:tc>
        <w:tc>
          <w:tcPr>
            <w:tcW w:w="1174" w:type="dxa"/>
            <w:tcBorders>
              <w:top w:val="nil"/>
              <w:left w:val="nil"/>
              <w:bottom w:val="single" w:sz="4" w:space="0" w:color="auto"/>
              <w:right w:val="single" w:sz="4" w:space="0" w:color="auto"/>
            </w:tcBorders>
            <w:noWrap/>
            <w:vAlign w:val="center"/>
            <w:hideMark/>
          </w:tcPr>
          <w:p w:rsidR="001643FD" w:rsidRPr="00F06708" w:rsidRDefault="001643FD" w:rsidP="00A1700F">
            <w:pPr>
              <w:jc w:val="center"/>
              <w:rPr>
                <w:rFonts w:ascii="Arial" w:hAnsi="Arial" w:cs="Arial"/>
                <w:sz w:val="16"/>
                <w:szCs w:val="16"/>
              </w:rPr>
            </w:pPr>
            <w:r w:rsidRPr="00F06708">
              <w:rPr>
                <w:rFonts w:ascii="Arial" w:hAnsi="Arial" w:cs="Arial"/>
                <w:sz w:val="16"/>
                <w:szCs w:val="16"/>
              </w:rPr>
              <w:t xml:space="preserve"> -6%</w:t>
            </w:r>
          </w:p>
        </w:tc>
        <w:tc>
          <w:tcPr>
            <w:tcW w:w="1027" w:type="dxa"/>
            <w:tcBorders>
              <w:top w:val="nil"/>
              <w:left w:val="nil"/>
              <w:bottom w:val="single" w:sz="4" w:space="0" w:color="auto"/>
              <w:right w:val="nil"/>
            </w:tcBorders>
            <w:shd w:val="clear" w:color="auto" w:fill="FFFFFF"/>
            <w:noWrap/>
            <w:vAlign w:val="center"/>
            <w:hideMark/>
          </w:tcPr>
          <w:p w:rsidR="001643FD" w:rsidRPr="00F06708" w:rsidRDefault="001643FD" w:rsidP="00A1700F">
            <w:pPr>
              <w:jc w:val="center"/>
              <w:rPr>
                <w:rFonts w:ascii="Arial" w:hAnsi="Arial" w:cs="Arial"/>
                <w:sz w:val="16"/>
                <w:szCs w:val="16"/>
              </w:rPr>
            </w:pPr>
            <w:r w:rsidRPr="00F06708">
              <w:rPr>
                <w:rFonts w:ascii="Arial" w:hAnsi="Arial" w:cs="Arial"/>
                <w:sz w:val="16"/>
                <w:szCs w:val="16"/>
              </w:rPr>
              <w:t>+6%</w:t>
            </w:r>
          </w:p>
        </w:tc>
        <w:tc>
          <w:tcPr>
            <w:tcW w:w="1027" w:type="dxa"/>
            <w:tcBorders>
              <w:top w:val="nil"/>
              <w:left w:val="nil"/>
              <w:bottom w:val="single" w:sz="4" w:space="0" w:color="auto"/>
              <w:right w:val="single" w:sz="4" w:space="0" w:color="auto"/>
            </w:tcBorders>
            <w:shd w:val="clear" w:color="auto" w:fill="FFFFFF"/>
            <w:noWrap/>
            <w:vAlign w:val="center"/>
            <w:hideMark/>
          </w:tcPr>
          <w:p w:rsidR="001643FD" w:rsidRPr="00F06708" w:rsidRDefault="001643FD" w:rsidP="00A1700F">
            <w:pPr>
              <w:jc w:val="center"/>
              <w:rPr>
                <w:rFonts w:ascii="Arial" w:hAnsi="Arial" w:cs="Arial"/>
                <w:sz w:val="16"/>
                <w:szCs w:val="16"/>
              </w:rPr>
            </w:pPr>
            <w:r w:rsidRPr="00F06708">
              <w:rPr>
                <w:rFonts w:ascii="Arial" w:hAnsi="Arial" w:cs="Arial"/>
                <w:sz w:val="16"/>
                <w:szCs w:val="16"/>
              </w:rPr>
              <w:t>-6%</w:t>
            </w:r>
          </w:p>
        </w:tc>
      </w:tr>
      <w:tr w:rsidR="001643FD" w:rsidRPr="00F06708" w:rsidTr="00A1700F">
        <w:trPr>
          <w:trHeight w:val="90"/>
        </w:trPr>
        <w:tc>
          <w:tcPr>
            <w:tcW w:w="2990" w:type="dxa"/>
            <w:shd w:val="clear" w:color="auto" w:fill="FFFFFF"/>
            <w:noWrap/>
            <w:vAlign w:val="center"/>
            <w:hideMark/>
          </w:tcPr>
          <w:p w:rsidR="001643FD" w:rsidRPr="00F06708" w:rsidRDefault="001643FD" w:rsidP="00A1700F">
            <w:pPr>
              <w:rPr>
                <w:rFonts w:ascii="Arial" w:hAnsi="Arial" w:cs="Arial"/>
                <w:sz w:val="16"/>
                <w:szCs w:val="16"/>
              </w:rPr>
            </w:pPr>
            <w:r w:rsidRPr="00F06708">
              <w:rPr>
                <w:rFonts w:ascii="Arial" w:hAnsi="Arial" w:cs="Arial"/>
                <w:sz w:val="16"/>
                <w:szCs w:val="16"/>
              </w:rPr>
              <w:t> </w:t>
            </w:r>
          </w:p>
        </w:tc>
        <w:tc>
          <w:tcPr>
            <w:tcW w:w="185" w:type="dxa"/>
            <w:tcBorders>
              <w:top w:val="single" w:sz="4" w:space="0" w:color="auto"/>
              <w:left w:val="single" w:sz="4" w:space="0" w:color="auto"/>
              <w:bottom w:val="nil"/>
              <w:right w:val="nil"/>
            </w:tcBorders>
            <w:shd w:val="clear" w:color="auto" w:fill="FFFFFF"/>
            <w:noWrap/>
            <w:vAlign w:val="center"/>
          </w:tcPr>
          <w:p w:rsidR="001643FD" w:rsidRPr="00F06708" w:rsidRDefault="001643FD" w:rsidP="00A1700F">
            <w:pPr>
              <w:rPr>
                <w:rFonts w:ascii="Arial" w:hAnsi="Arial" w:cs="Arial"/>
                <w:sz w:val="16"/>
                <w:szCs w:val="16"/>
              </w:rPr>
            </w:pPr>
          </w:p>
        </w:tc>
        <w:tc>
          <w:tcPr>
            <w:tcW w:w="1091" w:type="dxa"/>
            <w:tcBorders>
              <w:top w:val="single" w:sz="4" w:space="0" w:color="auto"/>
              <w:left w:val="nil"/>
              <w:bottom w:val="nil"/>
              <w:right w:val="nil"/>
            </w:tcBorders>
            <w:shd w:val="clear" w:color="auto" w:fill="FFFFFF"/>
            <w:noWrap/>
            <w:vAlign w:val="center"/>
            <w:hideMark/>
          </w:tcPr>
          <w:p w:rsidR="001643FD" w:rsidRPr="00F06708" w:rsidRDefault="001643FD" w:rsidP="00A1700F">
            <w:pPr>
              <w:rPr>
                <w:rFonts w:ascii="Arial" w:hAnsi="Arial" w:cs="Arial"/>
                <w:sz w:val="16"/>
                <w:szCs w:val="16"/>
              </w:rPr>
            </w:pPr>
            <w:r w:rsidRPr="00F06708">
              <w:rPr>
                <w:rFonts w:ascii="Arial" w:hAnsi="Arial" w:cs="Arial"/>
                <w:sz w:val="16"/>
                <w:szCs w:val="16"/>
              </w:rPr>
              <w:t> </w:t>
            </w:r>
          </w:p>
        </w:tc>
        <w:tc>
          <w:tcPr>
            <w:tcW w:w="1174" w:type="dxa"/>
            <w:tcBorders>
              <w:top w:val="single" w:sz="4" w:space="0" w:color="auto"/>
              <w:left w:val="single" w:sz="4" w:space="0" w:color="auto"/>
              <w:bottom w:val="nil"/>
              <w:right w:val="nil"/>
            </w:tcBorders>
            <w:noWrap/>
            <w:vAlign w:val="center"/>
            <w:hideMark/>
          </w:tcPr>
          <w:p w:rsidR="001643FD" w:rsidRPr="00F06708" w:rsidRDefault="001643FD" w:rsidP="00A1700F">
            <w:pPr>
              <w:rPr>
                <w:rFonts w:ascii="Arial" w:hAnsi="Arial" w:cs="Arial"/>
                <w:sz w:val="16"/>
                <w:szCs w:val="16"/>
              </w:rPr>
            </w:pPr>
            <w:r w:rsidRPr="00F06708">
              <w:rPr>
                <w:rFonts w:ascii="Arial" w:hAnsi="Arial" w:cs="Arial"/>
                <w:sz w:val="16"/>
                <w:szCs w:val="16"/>
              </w:rPr>
              <w:t> </w:t>
            </w:r>
          </w:p>
        </w:tc>
        <w:tc>
          <w:tcPr>
            <w:tcW w:w="1174" w:type="dxa"/>
            <w:tcBorders>
              <w:top w:val="single" w:sz="4" w:space="0" w:color="auto"/>
              <w:left w:val="nil"/>
              <w:bottom w:val="nil"/>
              <w:right w:val="single" w:sz="4" w:space="0" w:color="auto"/>
            </w:tcBorders>
            <w:noWrap/>
            <w:vAlign w:val="center"/>
            <w:hideMark/>
          </w:tcPr>
          <w:p w:rsidR="001643FD" w:rsidRPr="00F06708" w:rsidRDefault="001643FD" w:rsidP="00A1700F">
            <w:pPr>
              <w:rPr>
                <w:rFonts w:ascii="Arial" w:hAnsi="Arial" w:cs="Arial"/>
                <w:sz w:val="16"/>
                <w:szCs w:val="16"/>
              </w:rPr>
            </w:pPr>
            <w:r w:rsidRPr="00F06708">
              <w:rPr>
                <w:rFonts w:ascii="Arial" w:hAnsi="Arial" w:cs="Arial"/>
                <w:sz w:val="16"/>
                <w:szCs w:val="16"/>
              </w:rPr>
              <w:t> </w:t>
            </w:r>
          </w:p>
        </w:tc>
        <w:tc>
          <w:tcPr>
            <w:tcW w:w="1027" w:type="dxa"/>
            <w:tcBorders>
              <w:top w:val="single" w:sz="4" w:space="0" w:color="auto"/>
              <w:left w:val="nil"/>
              <w:bottom w:val="nil"/>
              <w:right w:val="nil"/>
            </w:tcBorders>
            <w:shd w:val="clear" w:color="auto" w:fill="FFFFFF"/>
            <w:noWrap/>
            <w:vAlign w:val="center"/>
            <w:hideMark/>
          </w:tcPr>
          <w:p w:rsidR="001643FD" w:rsidRPr="00F06708" w:rsidRDefault="001643FD" w:rsidP="00A1700F">
            <w:pPr>
              <w:rPr>
                <w:rFonts w:ascii="Arial" w:hAnsi="Arial" w:cs="Arial"/>
                <w:sz w:val="16"/>
                <w:szCs w:val="16"/>
              </w:rPr>
            </w:pPr>
            <w:r w:rsidRPr="00F06708">
              <w:rPr>
                <w:rFonts w:ascii="Arial" w:hAnsi="Arial" w:cs="Arial"/>
                <w:sz w:val="16"/>
                <w:szCs w:val="16"/>
              </w:rPr>
              <w:t> </w:t>
            </w:r>
          </w:p>
        </w:tc>
        <w:tc>
          <w:tcPr>
            <w:tcW w:w="1027" w:type="dxa"/>
            <w:tcBorders>
              <w:top w:val="single" w:sz="4" w:space="0" w:color="auto"/>
              <w:left w:val="nil"/>
              <w:bottom w:val="nil"/>
              <w:right w:val="single" w:sz="4" w:space="0" w:color="auto"/>
            </w:tcBorders>
            <w:shd w:val="clear" w:color="auto" w:fill="FFFFFF"/>
            <w:noWrap/>
            <w:vAlign w:val="center"/>
            <w:hideMark/>
          </w:tcPr>
          <w:p w:rsidR="001643FD" w:rsidRPr="00F06708" w:rsidRDefault="001643FD" w:rsidP="00A1700F">
            <w:pPr>
              <w:rPr>
                <w:rFonts w:ascii="Arial" w:hAnsi="Arial" w:cs="Arial"/>
                <w:sz w:val="16"/>
                <w:szCs w:val="16"/>
              </w:rPr>
            </w:pPr>
            <w:r w:rsidRPr="00F06708">
              <w:rPr>
                <w:rFonts w:ascii="Arial" w:hAnsi="Arial" w:cs="Arial"/>
                <w:sz w:val="16"/>
                <w:szCs w:val="16"/>
              </w:rPr>
              <w:t> </w:t>
            </w:r>
          </w:p>
        </w:tc>
      </w:tr>
      <w:tr w:rsidR="001643FD" w:rsidRPr="00F06708" w:rsidTr="00A1700F">
        <w:trPr>
          <w:trHeight w:val="120"/>
        </w:trPr>
        <w:tc>
          <w:tcPr>
            <w:tcW w:w="2990" w:type="dxa"/>
            <w:shd w:val="clear" w:color="auto" w:fill="FFFFFF"/>
            <w:noWrap/>
            <w:vAlign w:val="center"/>
            <w:hideMark/>
          </w:tcPr>
          <w:p w:rsidR="001643FD" w:rsidRPr="00F06708" w:rsidRDefault="001643FD" w:rsidP="00A1700F">
            <w:pPr>
              <w:rPr>
                <w:rFonts w:ascii="Arial" w:hAnsi="Arial" w:cs="Arial"/>
                <w:sz w:val="16"/>
                <w:szCs w:val="16"/>
              </w:rPr>
            </w:pPr>
            <w:r w:rsidRPr="00F06708">
              <w:rPr>
                <w:rFonts w:ascii="Arial" w:hAnsi="Arial" w:cs="Arial"/>
                <w:sz w:val="16"/>
                <w:szCs w:val="16"/>
              </w:rPr>
              <w:t> </w:t>
            </w:r>
          </w:p>
        </w:tc>
        <w:tc>
          <w:tcPr>
            <w:tcW w:w="185" w:type="dxa"/>
            <w:tcBorders>
              <w:top w:val="nil"/>
              <w:left w:val="single" w:sz="4" w:space="0" w:color="auto"/>
              <w:bottom w:val="nil"/>
              <w:right w:val="nil"/>
            </w:tcBorders>
            <w:shd w:val="clear" w:color="auto" w:fill="FFFFFF"/>
            <w:noWrap/>
            <w:vAlign w:val="center"/>
          </w:tcPr>
          <w:p w:rsidR="001643FD" w:rsidRPr="00F06708" w:rsidRDefault="001643FD" w:rsidP="00A1700F">
            <w:pPr>
              <w:jc w:val="center"/>
              <w:rPr>
                <w:rFonts w:ascii="Arial" w:hAnsi="Arial" w:cs="Arial"/>
                <w:sz w:val="16"/>
                <w:szCs w:val="16"/>
              </w:rPr>
            </w:pPr>
          </w:p>
        </w:tc>
        <w:tc>
          <w:tcPr>
            <w:tcW w:w="1091" w:type="dxa"/>
            <w:shd w:val="clear" w:color="auto" w:fill="FFFFFF"/>
            <w:noWrap/>
            <w:vAlign w:val="center"/>
          </w:tcPr>
          <w:p w:rsidR="001643FD" w:rsidRPr="00F06708" w:rsidRDefault="001643FD" w:rsidP="00A1700F">
            <w:pPr>
              <w:jc w:val="center"/>
              <w:rPr>
                <w:rFonts w:ascii="Arial" w:hAnsi="Arial" w:cs="Arial"/>
                <w:sz w:val="16"/>
                <w:szCs w:val="16"/>
              </w:rPr>
            </w:pPr>
          </w:p>
        </w:tc>
        <w:tc>
          <w:tcPr>
            <w:tcW w:w="1174" w:type="dxa"/>
            <w:tcBorders>
              <w:top w:val="nil"/>
              <w:left w:val="single" w:sz="4" w:space="0" w:color="auto"/>
              <w:bottom w:val="nil"/>
              <w:right w:val="nil"/>
            </w:tcBorders>
            <w:shd w:val="clear" w:color="auto" w:fill="FFFFFF"/>
            <w:noWrap/>
            <w:vAlign w:val="center"/>
          </w:tcPr>
          <w:p w:rsidR="001643FD" w:rsidRPr="00F06708" w:rsidRDefault="001643FD" w:rsidP="00A1700F">
            <w:pPr>
              <w:jc w:val="center"/>
              <w:rPr>
                <w:rFonts w:ascii="Arial" w:hAnsi="Arial" w:cs="Arial"/>
                <w:sz w:val="16"/>
                <w:szCs w:val="16"/>
              </w:rPr>
            </w:pPr>
          </w:p>
        </w:tc>
        <w:tc>
          <w:tcPr>
            <w:tcW w:w="1174" w:type="dxa"/>
            <w:tcBorders>
              <w:top w:val="nil"/>
              <w:left w:val="nil"/>
              <w:bottom w:val="nil"/>
              <w:right w:val="single" w:sz="4" w:space="0" w:color="auto"/>
            </w:tcBorders>
            <w:shd w:val="clear" w:color="auto" w:fill="FFFFFF"/>
            <w:noWrap/>
            <w:vAlign w:val="center"/>
          </w:tcPr>
          <w:p w:rsidR="001643FD" w:rsidRPr="00F06708" w:rsidRDefault="001643FD" w:rsidP="00A1700F">
            <w:pPr>
              <w:jc w:val="center"/>
              <w:rPr>
                <w:rFonts w:ascii="Arial" w:hAnsi="Arial" w:cs="Arial"/>
                <w:sz w:val="16"/>
                <w:szCs w:val="16"/>
              </w:rPr>
            </w:pPr>
          </w:p>
        </w:tc>
        <w:tc>
          <w:tcPr>
            <w:tcW w:w="1027" w:type="dxa"/>
            <w:shd w:val="clear" w:color="auto" w:fill="FFFFFF"/>
            <w:noWrap/>
            <w:vAlign w:val="center"/>
          </w:tcPr>
          <w:p w:rsidR="001643FD" w:rsidRPr="00F06708" w:rsidRDefault="001643FD" w:rsidP="00A1700F">
            <w:pPr>
              <w:jc w:val="center"/>
              <w:rPr>
                <w:rFonts w:ascii="Arial" w:hAnsi="Arial" w:cs="Arial"/>
                <w:sz w:val="16"/>
                <w:szCs w:val="16"/>
              </w:rPr>
            </w:pPr>
          </w:p>
        </w:tc>
        <w:tc>
          <w:tcPr>
            <w:tcW w:w="1027" w:type="dxa"/>
            <w:tcBorders>
              <w:top w:val="nil"/>
              <w:left w:val="nil"/>
              <w:bottom w:val="nil"/>
              <w:right w:val="single" w:sz="4" w:space="0" w:color="auto"/>
            </w:tcBorders>
            <w:shd w:val="clear" w:color="auto" w:fill="FFFFFF"/>
            <w:noWrap/>
            <w:vAlign w:val="center"/>
          </w:tcPr>
          <w:p w:rsidR="001643FD" w:rsidRPr="00F06708" w:rsidRDefault="001643FD" w:rsidP="00A1700F">
            <w:pPr>
              <w:jc w:val="center"/>
              <w:rPr>
                <w:rFonts w:ascii="Arial" w:hAnsi="Arial" w:cs="Arial"/>
                <w:sz w:val="16"/>
                <w:szCs w:val="16"/>
              </w:rPr>
            </w:pPr>
          </w:p>
        </w:tc>
      </w:tr>
      <w:tr w:rsidR="001643FD" w:rsidRPr="00F06708" w:rsidTr="00A1700F">
        <w:trPr>
          <w:trHeight w:val="285"/>
        </w:trPr>
        <w:tc>
          <w:tcPr>
            <w:tcW w:w="2990" w:type="dxa"/>
            <w:shd w:val="clear" w:color="auto" w:fill="FFFFFF"/>
            <w:noWrap/>
            <w:vAlign w:val="center"/>
            <w:hideMark/>
          </w:tcPr>
          <w:p w:rsidR="001643FD" w:rsidRPr="00F06708" w:rsidRDefault="001643FD" w:rsidP="00A1700F">
            <w:pPr>
              <w:jc w:val="right"/>
              <w:rPr>
                <w:rFonts w:ascii="Arial" w:hAnsi="Arial" w:cs="Arial"/>
                <w:sz w:val="16"/>
                <w:szCs w:val="16"/>
              </w:rPr>
            </w:pPr>
            <w:r w:rsidRPr="00F06708">
              <w:rPr>
                <w:rFonts w:ascii="Arial" w:hAnsi="Arial" w:cs="Arial"/>
                <w:sz w:val="16"/>
                <w:szCs w:val="16"/>
              </w:rPr>
              <w:t>INTERFERIE w Ustroniu Morskim - OWS Cechsztyn</w:t>
            </w:r>
          </w:p>
        </w:tc>
        <w:tc>
          <w:tcPr>
            <w:tcW w:w="185" w:type="dxa"/>
            <w:tcBorders>
              <w:top w:val="nil"/>
              <w:left w:val="single" w:sz="4" w:space="0" w:color="auto"/>
              <w:bottom w:val="nil"/>
              <w:right w:val="nil"/>
            </w:tcBorders>
            <w:shd w:val="clear" w:color="auto" w:fill="FFFFFF"/>
            <w:noWrap/>
            <w:vAlign w:val="center"/>
          </w:tcPr>
          <w:p w:rsidR="001643FD" w:rsidRPr="00F06708" w:rsidRDefault="001643FD" w:rsidP="00A1700F">
            <w:pPr>
              <w:jc w:val="center"/>
              <w:rPr>
                <w:rFonts w:ascii="Arial" w:hAnsi="Arial" w:cs="Arial"/>
                <w:sz w:val="16"/>
                <w:szCs w:val="16"/>
              </w:rPr>
            </w:pPr>
          </w:p>
        </w:tc>
        <w:tc>
          <w:tcPr>
            <w:tcW w:w="1091" w:type="dxa"/>
            <w:shd w:val="clear" w:color="auto" w:fill="FFFFFF"/>
            <w:noWrap/>
            <w:vAlign w:val="center"/>
            <w:hideMark/>
          </w:tcPr>
          <w:p w:rsidR="001643FD" w:rsidRPr="00F06708" w:rsidRDefault="001643FD" w:rsidP="00A1700F">
            <w:pPr>
              <w:autoSpaceDE w:val="0"/>
              <w:autoSpaceDN w:val="0"/>
              <w:adjustRightInd w:val="0"/>
              <w:jc w:val="center"/>
              <w:rPr>
                <w:rFonts w:ascii="Arial" w:hAnsi="Arial" w:cs="Arial"/>
                <w:sz w:val="16"/>
                <w:szCs w:val="16"/>
              </w:rPr>
            </w:pPr>
            <w:r w:rsidRPr="00F06708">
              <w:rPr>
                <w:rFonts w:ascii="Arial" w:hAnsi="Arial" w:cs="Arial"/>
                <w:sz w:val="16"/>
                <w:szCs w:val="16"/>
              </w:rPr>
              <w:t>9 437</w:t>
            </w:r>
          </w:p>
        </w:tc>
        <w:tc>
          <w:tcPr>
            <w:tcW w:w="1174" w:type="dxa"/>
            <w:tcBorders>
              <w:top w:val="nil"/>
              <w:left w:val="single" w:sz="4" w:space="0" w:color="auto"/>
              <w:bottom w:val="nil"/>
              <w:right w:val="nil"/>
            </w:tcBorders>
            <w:shd w:val="clear" w:color="auto" w:fill="FFFFFF"/>
            <w:noWrap/>
            <w:vAlign w:val="center"/>
            <w:hideMark/>
          </w:tcPr>
          <w:p w:rsidR="001643FD" w:rsidRPr="00F06708" w:rsidRDefault="001643FD" w:rsidP="00A1700F">
            <w:pPr>
              <w:jc w:val="center"/>
              <w:rPr>
                <w:rFonts w:ascii="Arial" w:hAnsi="Arial" w:cs="Arial"/>
                <w:sz w:val="16"/>
                <w:szCs w:val="16"/>
              </w:rPr>
            </w:pPr>
            <w:r w:rsidRPr="00F06708">
              <w:rPr>
                <w:rFonts w:ascii="Arial" w:hAnsi="Arial" w:cs="Arial"/>
                <w:sz w:val="16"/>
                <w:szCs w:val="16"/>
              </w:rPr>
              <w:t>14 800</w:t>
            </w:r>
          </w:p>
        </w:tc>
        <w:tc>
          <w:tcPr>
            <w:tcW w:w="1174" w:type="dxa"/>
            <w:tcBorders>
              <w:top w:val="nil"/>
              <w:left w:val="nil"/>
              <w:bottom w:val="nil"/>
              <w:right w:val="single" w:sz="4" w:space="0" w:color="auto"/>
            </w:tcBorders>
            <w:noWrap/>
            <w:vAlign w:val="center"/>
            <w:hideMark/>
          </w:tcPr>
          <w:p w:rsidR="001643FD" w:rsidRPr="00F06708" w:rsidRDefault="001643FD" w:rsidP="00A1700F">
            <w:pPr>
              <w:jc w:val="center"/>
              <w:rPr>
                <w:rFonts w:ascii="Arial" w:hAnsi="Arial" w:cs="Arial"/>
                <w:sz w:val="16"/>
                <w:szCs w:val="16"/>
              </w:rPr>
            </w:pPr>
            <w:r w:rsidRPr="00F06708">
              <w:rPr>
                <w:rFonts w:ascii="Arial" w:hAnsi="Arial" w:cs="Arial"/>
                <w:sz w:val="16"/>
                <w:szCs w:val="16"/>
              </w:rPr>
              <w:t>17 377</w:t>
            </w:r>
          </w:p>
        </w:tc>
        <w:tc>
          <w:tcPr>
            <w:tcW w:w="1027" w:type="dxa"/>
            <w:shd w:val="clear" w:color="auto" w:fill="FFFFFF"/>
            <w:noWrap/>
            <w:vAlign w:val="center"/>
            <w:hideMark/>
          </w:tcPr>
          <w:p w:rsidR="001643FD" w:rsidRPr="00F06708" w:rsidRDefault="001643FD" w:rsidP="00A1700F">
            <w:pPr>
              <w:jc w:val="center"/>
              <w:rPr>
                <w:rFonts w:ascii="Arial" w:hAnsi="Arial" w:cs="Arial"/>
                <w:sz w:val="16"/>
                <w:szCs w:val="16"/>
              </w:rPr>
            </w:pPr>
            <w:r w:rsidRPr="00F06708">
              <w:rPr>
                <w:rFonts w:ascii="Arial" w:hAnsi="Arial" w:cs="Arial"/>
                <w:sz w:val="16"/>
                <w:szCs w:val="16"/>
              </w:rPr>
              <w:t>16 959</w:t>
            </w:r>
          </w:p>
        </w:tc>
        <w:tc>
          <w:tcPr>
            <w:tcW w:w="1027" w:type="dxa"/>
            <w:tcBorders>
              <w:top w:val="nil"/>
              <w:left w:val="nil"/>
              <w:bottom w:val="nil"/>
              <w:right w:val="single" w:sz="4" w:space="0" w:color="auto"/>
            </w:tcBorders>
            <w:shd w:val="clear" w:color="auto" w:fill="FFFFFF"/>
            <w:noWrap/>
            <w:vAlign w:val="center"/>
            <w:hideMark/>
          </w:tcPr>
          <w:p w:rsidR="001643FD" w:rsidRPr="00F06708" w:rsidRDefault="001643FD" w:rsidP="00A1700F">
            <w:pPr>
              <w:jc w:val="center"/>
              <w:rPr>
                <w:rFonts w:ascii="Arial" w:hAnsi="Arial" w:cs="Arial"/>
                <w:sz w:val="16"/>
                <w:szCs w:val="16"/>
              </w:rPr>
            </w:pPr>
            <w:r w:rsidRPr="00F06708">
              <w:rPr>
                <w:rFonts w:ascii="Arial" w:hAnsi="Arial" w:cs="Arial"/>
                <w:sz w:val="16"/>
                <w:szCs w:val="16"/>
              </w:rPr>
              <w:t>15 020</w:t>
            </w:r>
          </w:p>
        </w:tc>
      </w:tr>
      <w:tr w:rsidR="001643FD" w:rsidRPr="00F06708" w:rsidTr="00A1700F">
        <w:trPr>
          <w:trHeight w:val="200"/>
        </w:trPr>
        <w:tc>
          <w:tcPr>
            <w:tcW w:w="2990" w:type="dxa"/>
            <w:shd w:val="clear" w:color="auto" w:fill="FFFFFF"/>
            <w:noWrap/>
            <w:vAlign w:val="center"/>
          </w:tcPr>
          <w:p w:rsidR="001643FD" w:rsidRPr="00F06708" w:rsidRDefault="001643FD" w:rsidP="00A1700F">
            <w:pPr>
              <w:jc w:val="right"/>
              <w:rPr>
                <w:rFonts w:ascii="Arial" w:hAnsi="Arial" w:cs="Arial"/>
                <w:sz w:val="16"/>
                <w:szCs w:val="16"/>
              </w:rPr>
            </w:pPr>
          </w:p>
        </w:tc>
        <w:tc>
          <w:tcPr>
            <w:tcW w:w="185" w:type="dxa"/>
            <w:tcBorders>
              <w:top w:val="nil"/>
              <w:left w:val="single" w:sz="4" w:space="0" w:color="auto"/>
              <w:bottom w:val="nil"/>
              <w:right w:val="nil"/>
            </w:tcBorders>
            <w:shd w:val="clear" w:color="auto" w:fill="FFFFFF"/>
            <w:noWrap/>
            <w:vAlign w:val="center"/>
          </w:tcPr>
          <w:p w:rsidR="001643FD" w:rsidRPr="00F06708" w:rsidRDefault="001643FD" w:rsidP="00A1700F">
            <w:pPr>
              <w:jc w:val="center"/>
              <w:rPr>
                <w:rFonts w:ascii="Arial" w:hAnsi="Arial" w:cs="Arial"/>
                <w:sz w:val="16"/>
                <w:szCs w:val="16"/>
              </w:rPr>
            </w:pPr>
          </w:p>
        </w:tc>
        <w:tc>
          <w:tcPr>
            <w:tcW w:w="1091" w:type="dxa"/>
            <w:shd w:val="clear" w:color="auto" w:fill="FFFFFF"/>
            <w:noWrap/>
            <w:vAlign w:val="center"/>
          </w:tcPr>
          <w:p w:rsidR="001643FD" w:rsidRPr="00F06708" w:rsidRDefault="001643FD" w:rsidP="00A1700F">
            <w:pPr>
              <w:jc w:val="center"/>
              <w:rPr>
                <w:rFonts w:ascii="Arial" w:hAnsi="Arial" w:cs="Arial"/>
                <w:sz w:val="16"/>
                <w:szCs w:val="16"/>
              </w:rPr>
            </w:pPr>
          </w:p>
        </w:tc>
        <w:tc>
          <w:tcPr>
            <w:tcW w:w="1174" w:type="dxa"/>
            <w:tcBorders>
              <w:top w:val="nil"/>
              <w:left w:val="single" w:sz="4" w:space="0" w:color="auto"/>
              <w:bottom w:val="nil"/>
              <w:right w:val="nil"/>
            </w:tcBorders>
            <w:shd w:val="clear" w:color="auto" w:fill="FFFFFF"/>
            <w:noWrap/>
            <w:vAlign w:val="center"/>
          </w:tcPr>
          <w:p w:rsidR="001643FD" w:rsidRPr="00F06708" w:rsidRDefault="001643FD" w:rsidP="00A1700F">
            <w:pPr>
              <w:jc w:val="center"/>
              <w:rPr>
                <w:rFonts w:ascii="Arial" w:hAnsi="Arial" w:cs="Arial"/>
                <w:sz w:val="16"/>
                <w:szCs w:val="16"/>
              </w:rPr>
            </w:pPr>
          </w:p>
        </w:tc>
        <w:tc>
          <w:tcPr>
            <w:tcW w:w="1174" w:type="dxa"/>
            <w:tcBorders>
              <w:top w:val="nil"/>
              <w:left w:val="nil"/>
              <w:bottom w:val="nil"/>
              <w:right w:val="single" w:sz="4" w:space="0" w:color="auto"/>
            </w:tcBorders>
            <w:shd w:val="clear" w:color="auto" w:fill="FFFFFF"/>
            <w:noWrap/>
            <w:vAlign w:val="center"/>
          </w:tcPr>
          <w:p w:rsidR="001643FD" w:rsidRPr="00F06708" w:rsidRDefault="001643FD" w:rsidP="00A1700F">
            <w:pPr>
              <w:jc w:val="center"/>
              <w:rPr>
                <w:rFonts w:ascii="Arial" w:hAnsi="Arial" w:cs="Arial"/>
                <w:sz w:val="16"/>
                <w:szCs w:val="16"/>
              </w:rPr>
            </w:pPr>
          </w:p>
        </w:tc>
        <w:tc>
          <w:tcPr>
            <w:tcW w:w="1027" w:type="dxa"/>
            <w:shd w:val="clear" w:color="auto" w:fill="FFFFFF"/>
            <w:noWrap/>
            <w:vAlign w:val="center"/>
          </w:tcPr>
          <w:p w:rsidR="001643FD" w:rsidRPr="00F06708" w:rsidRDefault="001643FD" w:rsidP="00A1700F">
            <w:pPr>
              <w:jc w:val="center"/>
              <w:rPr>
                <w:rFonts w:ascii="Arial" w:hAnsi="Arial" w:cs="Arial"/>
                <w:sz w:val="16"/>
                <w:szCs w:val="16"/>
              </w:rPr>
            </w:pPr>
          </w:p>
        </w:tc>
        <w:tc>
          <w:tcPr>
            <w:tcW w:w="1027" w:type="dxa"/>
            <w:tcBorders>
              <w:top w:val="nil"/>
              <w:left w:val="nil"/>
              <w:bottom w:val="nil"/>
              <w:right w:val="single" w:sz="4" w:space="0" w:color="auto"/>
            </w:tcBorders>
            <w:shd w:val="clear" w:color="auto" w:fill="FFFFFF"/>
            <w:noWrap/>
            <w:vAlign w:val="center"/>
          </w:tcPr>
          <w:p w:rsidR="001643FD" w:rsidRPr="00F06708" w:rsidRDefault="001643FD" w:rsidP="00A1700F">
            <w:pPr>
              <w:jc w:val="center"/>
              <w:rPr>
                <w:rFonts w:ascii="Arial" w:hAnsi="Arial" w:cs="Arial"/>
                <w:sz w:val="16"/>
                <w:szCs w:val="16"/>
              </w:rPr>
            </w:pPr>
          </w:p>
        </w:tc>
      </w:tr>
      <w:tr w:rsidR="001643FD" w:rsidRPr="00F06708" w:rsidTr="00A1700F">
        <w:trPr>
          <w:trHeight w:val="136"/>
        </w:trPr>
        <w:tc>
          <w:tcPr>
            <w:tcW w:w="2990" w:type="dxa"/>
            <w:shd w:val="clear" w:color="auto" w:fill="FFFFFF"/>
            <w:noWrap/>
            <w:vAlign w:val="center"/>
            <w:hideMark/>
          </w:tcPr>
          <w:p w:rsidR="001643FD" w:rsidRPr="00F06708" w:rsidRDefault="001643FD" w:rsidP="00A1700F">
            <w:pPr>
              <w:jc w:val="right"/>
              <w:rPr>
                <w:rFonts w:ascii="Arial" w:hAnsi="Arial" w:cs="Arial"/>
                <w:sz w:val="16"/>
                <w:szCs w:val="16"/>
              </w:rPr>
            </w:pPr>
            <w:r w:rsidRPr="00F06708">
              <w:rPr>
                <w:rFonts w:ascii="Arial" w:hAnsi="Arial" w:cs="Arial"/>
                <w:sz w:val="16"/>
                <w:szCs w:val="16"/>
              </w:rPr>
              <w:t xml:space="preserve">INTERFERIE w Kołobrzegu – </w:t>
            </w:r>
          </w:p>
          <w:p w:rsidR="001643FD" w:rsidRPr="00F06708" w:rsidRDefault="001643FD" w:rsidP="00A1700F">
            <w:pPr>
              <w:jc w:val="right"/>
              <w:rPr>
                <w:rFonts w:ascii="Arial" w:hAnsi="Arial" w:cs="Arial"/>
                <w:sz w:val="16"/>
                <w:szCs w:val="16"/>
              </w:rPr>
            </w:pPr>
            <w:r w:rsidRPr="00F06708">
              <w:rPr>
                <w:rFonts w:ascii="Arial" w:hAnsi="Arial" w:cs="Arial"/>
                <w:sz w:val="16"/>
                <w:szCs w:val="16"/>
              </w:rPr>
              <w:t>OSW Chalkozyn</w:t>
            </w:r>
          </w:p>
        </w:tc>
        <w:tc>
          <w:tcPr>
            <w:tcW w:w="185" w:type="dxa"/>
            <w:tcBorders>
              <w:top w:val="nil"/>
              <w:left w:val="single" w:sz="4" w:space="0" w:color="auto"/>
              <w:bottom w:val="nil"/>
              <w:right w:val="nil"/>
            </w:tcBorders>
            <w:shd w:val="clear" w:color="auto" w:fill="FFFFFF"/>
            <w:noWrap/>
            <w:vAlign w:val="center"/>
          </w:tcPr>
          <w:p w:rsidR="001643FD" w:rsidRPr="00F06708" w:rsidRDefault="001643FD" w:rsidP="00A1700F">
            <w:pPr>
              <w:jc w:val="center"/>
              <w:rPr>
                <w:rFonts w:ascii="Arial" w:hAnsi="Arial" w:cs="Arial"/>
                <w:sz w:val="16"/>
                <w:szCs w:val="16"/>
              </w:rPr>
            </w:pPr>
          </w:p>
        </w:tc>
        <w:tc>
          <w:tcPr>
            <w:tcW w:w="1091" w:type="dxa"/>
            <w:shd w:val="clear" w:color="auto" w:fill="FFFFFF"/>
            <w:noWrap/>
            <w:vAlign w:val="center"/>
            <w:hideMark/>
          </w:tcPr>
          <w:p w:rsidR="001643FD" w:rsidRPr="00F06708" w:rsidRDefault="001643FD" w:rsidP="00A1700F">
            <w:pPr>
              <w:jc w:val="center"/>
              <w:rPr>
                <w:rFonts w:ascii="Arial" w:hAnsi="Arial" w:cs="Arial"/>
                <w:sz w:val="16"/>
                <w:szCs w:val="16"/>
              </w:rPr>
            </w:pPr>
            <w:r w:rsidRPr="00F06708">
              <w:rPr>
                <w:rFonts w:ascii="Arial" w:hAnsi="Arial" w:cs="Arial"/>
                <w:sz w:val="16"/>
                <w:szCs w:val="16"/>
              </w:rPr>
              <w:t>18 699</w:t>
            </w:r>
          </w:p>
        </w:tc>
        <w:tc>
          <w:tcPr>
            <w:tcW w:w="1174" w:type="dxa"/>
            <w:tcBorders>
              <w:top w:val="nil"/>
              <w:left w:val="single" w:sz="4" w:space="0" w:color="auto"/>
              <w:bottom w:val="nil"/>
              <w:right w:val="nil"/>
            </w:tcBorders>
            <w:shd w:val="clear" w:color="auto" w:fill="FFFFFF"/>
            <w:noWrap/>
            <w:vAlign w:val="center"/>
            <w:hideMark/>
          </w:tcPr>
          <w:p w:rsidR="001643FD" w:rsidRPr="00F06708" w:rsidRDefault="001643FD" w:rsidP="00A1700F">
            <w:pPr>
              <w:jc w:val="center"/>
              <w:rPr>
                <w:rFonts w:ascii="Arial" w:hAnsi="Arial" w:cs="Arial"/>
                <w:sz w:val="16"/>
                <w:szCs w:val="16"/>
              </w:rPr>
            </w:pPr>
            <w:r w:rsidRPr="00F06708">
              <w:rPr>
                <w:rFonts w:ascii="Arial" w:hAnsi="Arial" w:cs="Arial"/>
                <w:sz w:val="16"/>
                <w:szCs w:val="16"/>
              </w:rPr>
              <w:t>27 476</w:t>
            </w:r>
          </w:p>
        </w:tc>
        <w:tc>
          <w:tcPr>
            <w:tcW w:w="1174" w:type="dxa"/>
            <w:tcBorders>
              <w:top w:val="nil"/>
              <w:left w:val="nil"/>
              <w:bottom w:val="nil"/>
              <w:right w:val="single" w:sz="4" w:space="0" w:color="auto"/>
            </w:tcBorders>
            <w:shd w:val="clear" w:color="auto" w:fill="FFFFFF"/>
            <w:noWrap/>
            <w:vAlign w:val="center"/>
            <w:hideMark/>
          </w:tcPr>
          <w:p w:rsidR="001643FD" w:rsidRPr="00F06708" w:rsidRDefault="001643FD" w:rsidP="00A1700F">
            <w:pPr>
              <w:jc w:val="center"/>
              <w:rPr>
                <w:rFonts w:ascii="Arial" w:hAnsi="Arial" w:cs="Arial"/>
                <w:sz w:val="16"/>
                <w:szCs w:val="16"/>
              </w:rPr>
            </w:pPr>
            <w:r w:rsidRPr="00F06708">
              <w:rPr>
                <w:rFonts w:ascii="Arial" w:hAnsi="Arial" w:cs="Arial"/>
                <w:sz w:val="16"/>
                <w:szCs w:val="16"/>
              </w:rPr>
              <w:t>40 428</w:t>
            </w:r>
          </w:p>
        </w:tc>
        <w:tc>
          <w:tcPr>
            <w:tcW w:w="1027" w:type="dxa"/>
            <w:shd w:val="clear" w:color="auto" w:fill="FFFFFF"/>
            <w:noWrap/>
            <w:vAlign w:val="center"/>
            <w:hideMark/>
          </w:tcPr>
          <w:p w:rsidR="001643FD" w:rsidRPr="00F06708" w:rsidRDefault="001643FD" w:rsidP="00A1700F">
            <w:pPr>
              <w:jc w:val="center"/>
              <w:rPr>
                <w:rFonts w:ascii="Arial" w:hAnsi="Arial" w:cs="Arial"/>
                <w:sz w:val="16"/>
                <w:szCs w:val="16"/>
              </w:rPr>
            </w:pPr>
            <w:r w:rsidRPr="00F06708">
              <w:rPr>
                <w:rFonts w:ascii="Arial" w:hAnsi="Arial" w:cs="Arial"/>
                <w:sz w:val="16"/>
                <w:szCs w:val="16"/>
              </w:rPr>
              <w:t>37 922</w:t>
            </w:r>
          </w:p>
        </w:tc>
        <w:tc>
          <w:tcPr>
            <w:tcW w:w="1027" w:type="dxa"/>
            <w:tcBorders>
              <w:top w:val="nil"/>
              <w:left w:val="nil"/>
              <w:bottom w:val="nil"/>
              <w:right w:val="single" w:sz="4" w:space="0" w:color="auto"/>
            </w:tcBorders>
            <w:shd w:val="clear" w:color="auto" w:fill="FFFFFF"/>
            <w:noWrap/>
            <w:vAlign w:val="center"/>
            <w:hideMark/>
          </w:tcPr>
          <w:p w:rsidR="001643FD" w:rsidRPr="00F06708" w:rsidRDefault="001643FD" w:rsidP="00A1700F">
            <w:pPr>
              <w:jc w:val="center"/>
              <w:rPr>
                <w:rFonts w:ascii="Arial" w:hAnsi="Arial" w:cs="Arial"/>
                <w:sz w:val="16"/>
                <w:szCs w:val="16"/>
              </w:rPr>
            </w:pPr>
            <w:r w:rsidRPr="00F06708">
              <w:rPr>
                <w:rFonts w:ascii="Arial" w:hAnsi="Arial" w:cs="Arial"/>
                <w:sz w:val="16"/>
                <w:szCs w:val="16"/>
              </w:rPr>
              <w:t>28 893</w:t>
            </w:r>
          </w:p>
        </w:tc>
      </w:tr>
      <w:tr w:rsidR="001643FD" w:rsidRPr="00F06708" w:rsidTr="00A1700F">
        <w:trPr>
          <w:trHeight w:val="285"/>
        </w:trPr>
        <w:tc>
          <w:tcPr>
            <w:tcW w:w="2990" w:type="dxa"/>
            <w:shd w:val="clear" w:color="auto" w:fill="FFFFFF"/>
            <w:noWrap/>
            <w:vAlign w:val="center"/>
          </w:tcPr>
          <w:p w:rsidR="001643FD" w:rsidRPr="00F06708" w:rsidRDefault="001643FD" w:rsidP="00A1700F">
            <w:pPr>
              <w:jc w:val="right"/>
              <w:rPr>
                <w:rFonts w:ascii="Arial" w:hAnsi="Arial" w:cs="Arial"/>
                <w:sz w:val="16"/>
                <w:szCs w:val="16"/>
              </w:rPr>
            </w:pPr>
          </w:p>
        </w:tc>
        <w:tc>
          <w:tcPr>
            <w:tcW w:w="185" w:type="dxa"/>
            <w:tcBorders>
              <w:top w:val="nil"/>
              <w:left w:val="single" w:sz="4" w:space="0" w:color="auto"/>
              <w:bottom w:val="nil"/>
              <w:right w:val="nil"/>
            </w:tcBorders>
            <w:shd w:val="clear" w:color="auto" w:fill="FFFFFF"/>
            <w:noWrap/>
            <w:vAlign w:val="center"/>
          </w:tcPr>
          <w:p w:rsidR="001643FD" w:rsidRPr="00F06708" w:rsidRDefault="001643FD" w:rsidP="00A1700F">
            <w:pPr>
              <w:jc w:val="center"/>
              <w:rPr>
                <w:rFonts w:ascii="Arial" w:hAnsi="Arial" w:cs="Arial"/>
                <w:sz w:val="16"/>
                <w:szCs w:val="16"/>
              </w:rPr>
            </w:pPr>
          </w:p>
        </w:tc>
        <w:tc>
          <w:tcPr>
            <w:tcW w:w="1091" w:type="dxa"/>
            <w:shd w:val="clear" w:color="auto" w:fill="FFFFFF"/>
            <w:noWrap/>
            <w:vAlign w:val="center"/>
          </w:tcPr>
          <w:p w:rsidR="001643FD" w:rsidRPr="00F06708" w:rsidRDefault="001643FD" w:rsidP="00A1700F">
            <w:pPr>
              <w:jc w:val="center"/>
              <w:rPr>
                <w:rFonts w:ascii="Arial" w:hAnsi="Arial" w:cs="Arial"/>
                <w:sz w:val="16"/>
                <w:szCs w:val="16"/>
              </w:rPr>
            </w:pPr>
          </w:p>
        </w:tc>
        <w:tc>
          <w:tcPr>
            <w:tcW w:w="1174" w:type="dxa"/>
            <w:tcBorders>
              <w:top w:val="nil"/>
              <w:left w:val="single" w:sz="4" w:space="0" w:color="auto"/>
              <w:bottom w:val="nil"/>
              <w:right w:val="nil"/>
            </w:tcBorders>
            <w:shd w:val="clear" w:color="auto" w:fill="FFFFFF"/>
            <w:noWrap/>
            <w:vAlign w:val="center"/>
          </w:tcPr>
          <w:p w:rsidR="001643FD" w:rsidRPr="00F06708" w:rsidRDefault="001643FD" w:rsidP="00A1700F">
            <w:pPr>
              <w:jc w:val="center"/>
              <w:rPr>
                <w:rFonts w:ascii="Arial" w:hAnsi="Arial" w:cs="Arial"/>
                <w:sz w:val="16"/>
                <w:szCs w:val="16"/>
              </w:rPr>
            </w:pPr>
          </w:p>
        </w:tc>
        <w:tc>
          <w:tcPr>
            <w:tcW w:w="1174" w:type="dxa"/>
            <w:tcBorders>
              <w:top w:val="nil"/>
              <w:left w:val="nil"/>
              <w:bottom w:val="nil"/>
              <w:right w:val="single" w:sz="4" w:space="0" w:color="auto"/>
            </w:tcBorders>
            <w:shd w:val="clear" w:color="auto" w:fill="FFFFFF"/>
            <w:noWrap/>
            <w:vAlign w:val="center"/>
          </w:tcPr>
          <w:p w:rsidR="001643FD" w:rsidRPr="00F06708" w:rsidRDefault="001643FD" w:rsidP="00A1700F">
            <w:pPr>
              <w:jc w:val="center"/>
              <w:rPr>
                <w:rFonts w:ascii="Arial" w:hAnsi="Arial" w:cs="Arial"/>
                <w:sz w:val="16"/>
                <w:szCs w:val="16"/>
              </w:rPr>
            </w:pPr>
          </w:p>
        </w:tc>
        <w:tc>
          <w:tcPr>
            <w:tcW w:w="1027" w:type="dxa"/>
            <w:shd w:val="clear" w:color="auto" w:fill="FFFFFF"/>
            <w:noWrap/>
            <w:vAlign w:val="center"/>
          </w:tcPr>
          <w:p w:rsidR="001643FD" w:rsidRPr="00F06708" w:rsidRDefault="001643FD" w:rsidP="00A1700F">
            <w:pPr>
              <w:jc w:val="center"/>
              <w:rPr>
                <w:rFonts w:ascii="Arial" w:hAnsi="Arial" w:cs="Arial"/>
                <w:sz w:val="16"/>
                <w:szCs w:val="16"/>
              </w:rPr>
            </w:pPr>
          </w:p>
        </w:tc>
        <w:tc>
          <w:tcPr>
            <w:tcW w:w="1027" w:type="dxa"/>
            <w:tcBorders>
              <w:top w:val="nil"/>
              <w:left w:val="nil"/>
              <w:bottom w:val="nil"/>
              <w:right w:val="single" w:sz="4" w:space="0" w:color="auto"/>
            </w:tcBorders>
            <w:shd w:val="clear" w:color="auto" w:fill="FFFFFF"/>
            <w:noWrap/>
            <w:vAlign w:val="center"/>
          </w:tcPr>
          <w:p w:rsidR="001643FD" w:rsidRPr="00F06708" w:rsidRDefault="001643FD" w:rsidP="00A1700F">
            <w:pPr>
              <w:jc w:val="center"/>
              <w:rPr>
                <w:rFonts w:ascii="Arial" w:hAnsi="Arial" w:cs="Arial"/>
                <w:sz w:val="16"/>
                <w:szCs w:val="16"/>
              </w:rPr>
            </w:pPr>
          </w:p>
        </w:tc>
      </w:tr>
      <w:tr w:rsidR="001643FD" w:rsidRPr="00F06708" w:rsidTr="00A1700F">
        <w:trPr>
          <w:trHeight w:val="347"/>
        </w:trPr>
        <w:tc>
          <w:tcPr>
            <w:tcW w:w="2990" w:type="dxa"/>
            <w:shd w:val="clear" w:color="auto" w:fill="FFFFFF"/>
            <w:noWrap/>
            <w:vAlign w:val="center"/>
            <w:hideMark/>
          </w:tcPr>
          <w:p w:rsidR="001643FD" w:rsidRPr="00F06708" w:rsidRDefault="001643FD" w:rsidP="00A1700F">
            <w:pPr>
              <w:jc w:val="right"/>
              <w:rPr>
                <w:rFonts w:ascii="Arial" w:hAnsi="Arial" w:cs="Arial"/>
                <w:sz w:val="16"/>
                <w:szCs w:val="16"/>
              </w:rPr>
            </w:pPr>
            <w:r w:rsidRPr="00F06708">
              <w:rPr>
                <w:rFonts w:ascii="Arial" w:hAnsi="Arial" w:cs="Arial"/>
                <w:sz w:val="16"/>
                <w:szCs w:val="16"/>
              </w:rPr>
              <w:t>INTERFERIE w Dąbkach Sanatorium Uzdrowiskowe Argentyt</w:t>
            </w:r>
          </w:p>
        </w:tc>
        <w:tc>
          <w:tcPr>
            <w:tcW w:w="185" w:type="dxa"/>
            <w:tcBorders>
              <w:top w:val="nil"/>
              <w:left w:val="single" w:sz="4" w:space="0" w:color="auto"/>
              <w:bottom w:val="nil"/>
              <w:right w:val="nil"/>
            </w:tcBorders>
            <w:shd w:val="clear" w:color="auto" w:fill="FFFFFF"/>
            <w:noWrap/>
            <w:vAlign w:val="center"/>
          </w:tcPr>
          <w:p w:rsidR="001643FD" w:rsidRPr="00F06708" w:rsidRDefault="001643FD" w:rsidP="00A1700F">
            <w:pPr>
              <w:jc w:val="center"/>
              <w:rPr>
                <w:rFonts w:ascii="Arial" w:hAnsi="Arial" w:cs="Arial"/>
                <w:sz w:val="16"/>
                <w:szCs w:val="16"/>
              </w:rPr>
            </w:pPr>
          </w:p>
        </w:tc>
        <w:tc>
          <w:tcPr>
            <w:tcW w:w="1091" w:type="dxa"/>
            <w:shd w:val="clear" w:color="auto" w:fill="FFFFFF"/>
            <w:noWrap/>
            <w:vAlign w:val="center"/>
            <w:hideMark/>
          </w:tcPr>
          <w:p w:rsidR="001643FD" w:rsidRPr="00F06708" w:rsidRDefault="001643FD" w:rsidP="00A1700F">
            <w:pPr>
              <w:jc w:val="center"/>
              <w:rPr>
                <w:rFonts w:ascii="Arial" w:hAnsi="Arial" w:cs="Arial"/>
                <w:sz w:val="16"/>
                <w:szCs w:val="16"/>
              </w:rPr>
            </w:pPr>
            <w:r w:rsidRPr="00F06708">
              <w:rPr>
                <w:rFonts w:ascii="Arial" w:hAnsi="Arial" w:cs="Arial"/>
                <w:sz w:val="16"/>
                <w:szCs w:val="16"/>
              </w:rPr>
              <w:t>76 976</w:t>
            </w:r>
          </w:p>
        </w:tc>
        <w:tc>
          <w:tcPr>
            <w:tcW w:w="1174" w:type="dxa"/>
            <w:tcBorders>
              <w:top w:val="nil"/>
              <w:left w:val="single" w:sz="4" w:space="0" w:color="auto"/>
              <w:bottom w:val="nil"/>
              <w:right w:val="nil"/>
            </w:tcBorders>
            <w:shd w:val="clear" w:color="auto" w:fill="FFFFFF"/>
            <w:noWrap/>
            <w:vAlign w:val="center"/>
            <w:hideMark/>
          </w:tcPr>
          <w:p w:rsidR="001643FD" w:rsidRPr="00F06708" w:rsidRDefault="001643FD" w:rsidP="00A1700F">
            <w:pPr>
              <w:jc w:val="center"/>
              <w:rPr>
                <w:rFonts w:ascii="Arial" w:hAnsi="Arial" w:cs="Arial"/>
                <w:sz w:val="16"/>
                <w:szCs w:val="16"/>
              </w:rPr>
            </w:pPr>
            <w:r w:rsidRPr="00F06708">
              <w:rPr>
                <w:rFonts w:ascii="Arial" w:hAnsi="Arial" w:cs="Arial"/>
                <w:sz w:val="16"/>
                <w:szCs w:val="16"/>
              </w:rPr>
              <w:t>107 395</w:t>
            </w:r>
          </w:p>
        </w:tc>
        <w:tc>
          <w:tcPr>
            <w:tcW w:w="1174" w:type="dxa"/>
            <w:tcBorders>
              <w:top w:val="nil"/>
              <w:left w:val="nil"/>
              <w:bottom w:val="nil"/>
              <w:right w:val="single" w:sz="4" w:space="0" w:color="auto"/>
            </w:tcBorders>
            <w:shd w:val="clear" w:color="auto" w:fill="FFFFFF"/>
            <w:noWrap/>
            <w:vAlign w:val="center"/>
            <w:hideMark/>
          </w:tcPr>
          <w:p w:rsidR="001643FD" w:rsidRPr="00F06708" w:rsidRDefault="001643FD" w:rsidP="00A1700F">
            <w:pPr>
              <w:jc w:val="center"/>
              <w:rPr>
                <w:rFonts w:ascii="Arial" w:hAnsi="Arial" w:cs="Arial"/>
                <w:sz w:val="16"/>
                <w:szCs w:val="16"/>
              </w:rPr>
            </w:pPr>
            <w:r w:rsidRPr="00F06708">
              <w:rPr>
                <w:rFonts w:ascii="Arial" w:hAnsi="Arial" w:cs="Arial"/>
                <w:sz w:val="16"/>
                <w:szCs w:val="16"/>
              </w:rPr>
              <w:t>123 399</w:t>
            </w:r>
          </w:p>
        </w:tc>
        <w:tc>
          <w:tcPr>
            <w:tcW w:w="1027" w:type="dxa"/>
            <w:shd w:val="clear" w:color="auto" w:fill="FFFFFF"/>
            <w:noWrap/>
            <w:vAlign w:val="center"/>
            <w:hideMark/>
          </w:tcPr>
          <w:p w:rsidR="001643FD" w:rsidRPr="00F06708" w:rsidRDefault="001643FD" w:rsidP="00A1700F">
            <w:pPr>
              <w:jc w:val="center"/>
              <w:rPr>
                <w:rFonts w:ascii="Arial" w:hAnsi="Arial" w:cs="Arial"/>
                <w:sz w:val="16"/>
                <w:szCs w:val="16"/>
              </w:rPr>
            </w:pPr>
            <w:r w:rsidRPr="00F06708">
              <w:rPr>
                <w:rFonts w:ascii="Arial" w:hAnsi="Arial" w:cs="Arial"/>
                <w:sz w:val="16"/>
                <w:szCs w:val="16"/>
              </w:rPr>
              <w:t>120 971</w:t>
            </w:r>
          </w:p>
        </w:tc>
        <w:tc>
          <w:tcPr>
            <w:tcW w:w="1027" w:type="dxa"/>
            <w:tcBorders>
              <w:top w:val="nil"/>
              <w:left w:val="nil"/>
              <w:bottom w:val="nil"/>
              <w:right w:val="single" w:sz="4" w:space="0" w:color="auto"/>
            </w:tcBorders>
            <w:shd w:val="clear" w:color="auto" w:fill="FFFFFF"/>
            <w:noWrap/>
            <w:vAlign w:val="center"/>
            <w:hideMark/>
          </w:tcPr>
          <w:p w:rsidR="001643FD" w:rsidRPr="00F06708" w:rsidRDefault="001643FD" w:rsidP="00A1700F">
            <w:pPr>
              <w:jc w:val="center"/>
              <w:rPr>
                <w:rFonts w:ascii="Arial" w:hAnsi="Arial" w:cs="Arial"/>
                <w:sz w:val="16"/>
                <w:szCs w:val="16"/>
              </w:rPr>
            </w:pPr>
            <w:r w:rsidRPr="00F06708">
              <w:rPr>
                <w:rFonts w:ascii="Arial" w:hAnsi="Arial" w:cs="Arial"/>
                <w:sz w:val="16"/>
                <w:szCs w:val="16"/>
              </w:rPr>
              <w:t>108 640</w:t>
            </w:r>
          </w:p>
        </w:tc>
      </w:tr>
      <w:tr w:rsidR="001643FD" w:rsidRPr="00F06708" w:rsidTr="00A1700F">
        <w:trPr>
          <w:trHeight w:val="285"/>
        </w:trPr>
        <w:tc>
          <w:tcPr>
            <w:tcW w:w="2990" w:type="dxa"/>
            <w:shd w:val="clear" w:color="auto" w:fill="FFFFFF"/>
            <w:noWrap/>
            <w:vAlign w:val="center"/>
          </w:tcPr>
          <w:p w:rsidR="001643FD" w:rsidRPr="00F06708" w:rsidRDefault="001643FD" w:rsidP="00A1700F">
            <w:pPr>
              <w:jc w:val="right"/>
              <w:rPr>
                <w:rFonts w:ascii="Arial" w:hAnsi="Arial" w:cs="Arial"/>
                <w:sz w:val="16"/>
                <w:szCs w:val="16"/>
              </w:rPr>
            </w:pPr>
          </w:p>
        </w:tc>
        <w:tc>
          <w:tcPr>
            <w:tcW w:w="185" w:type="dxa"/>
            <w:tcBorders>
              <w:top w:val="nil"/>
              <w:left w:val="single" w:sz="4" w:space="0" w:color="auto"/>
              <w:bottom w:val="nil"/>
              <w:right w:val="nil"/>
            </w:tcBorders>
            <w:shd w:val="clear" w:color="auto" w:fill="FFFFFF"/>
            <w:noWrap/>
            <w:vAlign w:val="center"/>
          </w:tcPr>
          <w:p w:rsidR="001643FD" w:rsidRPr="00F06708" w:rsidRDefault="001643FD" w:rsidP="00A1700F">
            <w:pPr>
              <w:jc w:val="center"/>
              <w:rPr>
                <w:rFonts w:ascii="Arial" w:hAnsi="Arial" w:cs="Arial"/>
                <w:sz w:val="16"/>
                <w:szCs w:val="16"/>
              </w:rPr>
            </w:pPr>
          </w:p>
        </w:tc>
        <w:tc>
          <w:tcPr>
            <w:tcW w:w="1091" w:type="dxa"/>
            <w:shd w:val="clear" w:color="auto" w:fill="FFFFFF"/>
            <w:noWrap/>
            <w:vAlign w:val="center"/>
          </w:tcPr>
          <w:p w:rsidR="001643FD" w:rsidRPr="00F06708" w:rsidRDefault="001643FD" w:rsidP="00A1700F">
            <w:pPr>
              <w:jc w:val="center"/>
              <w:rPr>
                <w:rFonts w:ascii="Arial" w:hAnsi="Arial" w:cs="Arial"/>
                <w:sz w:val="16"/>
                <w:szCs w:val="16"/>
              </w:rPr>
            </w:pPr>
          </w:p>
        </w:tc>
        <w:tc>
          <w:tcPr>
            <w:tcW w:w="1174" w:type="dxa"/>
            <w:tcBorders>
              <w:top w:val="nil"/>
              <w:left w:val="single" w:sz="4" w:space="0" w:color="auto"/>
              <w:bottom w:val="nil"/>
              <w:right w:val="nil"/>
            </w:tcBorders>
            <w:shd w:val="clear" w:color="auto" w:fill="FFFFFF"/>
            <w:noWrap/>
            <w:vAlign w:val="center"/>
          </w:tcPr>
          <w:p w:rsidR="001643FD" w:rsidRPr="00F06708" w:rsidRDefault="001643FD" w:rsidP="00A1700F">
            <w:pPr>
              <w:jc w:val="center"/>
              <w:rPr>
                <w:rFonts w:ascii="Arial" w:hAnsi="Arial" w:cs="Arial"/>
                <w:sz w:val="16"/>
                <w:szCs w:val="16"/>
              </w:rPr>
            </w:pPr>
          </w:p>
        </w:tc>
        <w:tc>
          <w:tcPr>
            <w:tcW w:w="1174" w:type="dxa"/>
            <w:tcBorders>
              <w:top w:val="nil"/>
              <w:left w:val="nil"/>
              <w:bottom w:val="nil"/>
              <w:right w:val="single" w:sz="4" w:space="0" w:color="auto"/>
            </w:tcBorders>
            <w:shd w:val="clear" w:color="auto" w:fill="FFFFFF"/>
            <w:noWrap/>
            <w:vAlign w:val="center"/>
          </w:tcPr>
          <w:p w:rsidR="001643FD" w:rsidRPr="00F06708" w:rsidRDefault="001643FD" w:rsidP="00A1700F">
            <w:pPr>
              <w:jc w:val="center"/>
              <w:rPr>
                <w:rFonts w:ascii="Arial" w:hAnsi="Arial" w:cs="Arial"/>
                <w:sz w:val="16"/>
                <w:szCs w:val="16"/>
              </w:rPr>
            </w:pPr>
          </w:p>
        </w:tc>
        <w:tc>
          <w:tcPr>
            <w:tcW w:w="1027" w:type="dxa"/>
            <w:shd w:val="clear" w:color="auto" w:fill="FFFFFF"/>
            <w:noWrap/>
            <w:vAlign w:val="center"/>
          </w:tcPr>
          <w:p w:rsidR="001643FD" w:rsidRPr="00F06708" w:rsidRDefault="001643FD" w:rsidP="00A1700F">
            <w:pPr>
              <w:jc w:val="center"/>
              <w:rPr>
                <w:rFonts w:ascii="Arial" w:hAnsi="Arial" w:cs="Arial"/>
                <w:sz w:val="16"/>
                <w:szCs w:val="16"/>
              </w:rPr>
            </w:pPr>
          </w:p>
        </w:tc>
        <w:tc>
          <w:tcPr>
            <w:tcW w:w="1027" w:type="dxa"/>
            <w:tcBorders>
              <w:top w:val="nil"/>
              <w:left w:val="nil"/>
              <w:bottom w:val="nil"/>
              <w:right w:val="single" w:sz="4" w:space="0" w:color="auto"/>
            </w:tcBorders>
            <w:shd w:val="clear" w:color="auto" w:fill="FFFFFF"/>
            <w:noWrap/>
            <w:vAlign w:val="center"/>
          </w:tcPr>
          <w:p w:rsidR="001643FD" w:rsidRPr="00F06708" w:rsidRDefault="001643FD" w:rsidP="00A1700F">
            <w:pPr>
              <w:jc w:val="center"/>
              <w:rPr>
                <w:rFonts w:ascii="Arial" w:hAnsi="Arial" w:cs="Arial"/>
                <w:sz w:val="16"/>
                <w:szCs w:val="16"/>
              </w:rPr>
            </w:pPr>
          </w:p>
        </w:tc>
      </w:tr>
    </w:tbl>
    <w:p w:rsidR="001643FD" w:rsidRDefault="001643FD" w:rsidP="001643FD">
      <w:pPr>
        <w:autoSpaceDE w:val="0"/>
        <w:autoSpaceDN w:val="0"/>
        <w:adjustRightInd w:val="0"/>
        <w:jc w:val="both"/>
        <w:rPr>
          <w:rFonts w:ascii="Arial" w:hAnsi="Arial" w:cs="Arial"/>
          <w:sz w:val="18"/>
          <w:szCs w:val="18"/>
        </w:rPr>
      </w:pPr>
    </w:p>
    <w:p w:rsidR="001643FD" w:rsidRPr="000B50EE" w:rsidRDefault="001643FD" w:rsidP="001643FD">
      <w:pPr>
        <w:autoSpaceDE w:val="0"/>
        <w:autoSpaceDN w:val="0"/>
        <w:adjustRightInd w:val="0"/>
        <w:jc w:val="both"/>
        <w:rPr>
          <w:rFonts w:ascii="Arial" w:hAnsi="Arial" w:cs="Arial"/>
          <w:sz w:val="18"/>
          <w:szCs w:val="18"/>
        </w:rPr>
      </w:pPr>
      <w:r w:rsidRPr="000B50EE">
        <w:rPr>
          <w:rFonts w:ascii="Arial" w:hAnsi="Arial" w:cs="Arial"/>
          <w:sz w:val="18"/>
          <w:szCs w:val="18"/>
        </w:rPr>
        <w:t xml:space="preserve">Zmiana stopy dyskonta oraz zmiana wartości zysku operacyjnego, przy której wycena majątku byłaby zrównana </w:t>
      </w:r>
      <w:r w:rsidRPr="000B50EE">
        <w:rPr>
          <w:rFonts w:ascii="Arial" w:hAnsi="Arial" w:cs="Arial"/>
          <w:sz w:val="18"/>
          <w:szCs w:val="18"/>
        </w:rPr>
        <w:br/>
        <w:t>z wartością bilansową, przedstawiają się jak poniżej:</w:t>
      </w:r>
    </w:p>
    <w:p w:rsidR="001643FD" w:rsidRPr="00C42EEA" w:rsidRDefault="001643FD" w:rsidP="001643FD">
      <w:pPr>
        <w:autoSpaceDE w:val="0"/>
        <w:autoSpaceDN w:val="0"/>
        <w:adjustRightInd w:val="0"/>
        <w:jc w:val="both"/>
        <w:rPr>
          <w:rFonts w:ascii="Arial" w:hAnsi="Arial" w:cs="Arial"/>
          <w:sz w:val="18"/>
          <w:szCs w:val="18"/>
          <w:highlight w:val="yellow"/>
        </w:rPr>
      </w:pPr>
    </w:p>
    <w:tbl>
      <w:tblPr>
        <w:tblW w:w="7951" w:type="dxa"/>
        <w:tblInd w:w="57" w:type="dxa"/>
        <w:tblCellMar>
          <w:left w:w="70" w:type="dxa"/>
          <w:right w:w="70" w:type="dxa"/>
        </w:tblCellMar>
        <w:tblLook w:val="04A0" w:firstRow="1" w:lastRow="0" w:firstColumn="1" w:lastColumn="0" w:noHBand="0" w:noVBand="1"/>
      </w:tblPr>
      <w:tblGrid>
        <w:gridCol w:w="4266"/>
        <w:gridCol w:w="1843"/>
        <w:gridCol w:w="1842"/>
      </w:tblGrid>
      <w:tr w:rsidR="001643FD" w:rsidRPr="000B50EE" w:rsidTr="00A1700F">
        <w:trPr>
          <w:trHeight w:val="450"/>
        </w:trPr>
        <w:tc>
          <w:tcPr>
            <w:tcW w:w="4266" w:type="dxa"/>
            <w:shd w:val="clear" w:color="auto" w:fill="auto"/>
            <w:noWrap/>
            <w:vAlign w:val="center"/>
            <w:hideMark/>
          </w:tcPr>
          <w:p w:rsidR="001643FD" w:rsidRPr="000B50EE" w:rsidRDefault="001643FD" w:rsidP="00A1700F">
            <w:pPr>
              <w:rPr>
                <w:rFonts w:ascii="Arial" w:hAnsi="Arial" w:cs="Arial"/>
                <w:sz w:val="16"/>
                <w:szCs w:val="16"/>
              </w:rPr>
            </w:pPr>
            <w:r w:rsidRPr="000B50EE">
              <w:rPr>
                <w:rFonts w:ascii="Arial" w:hAnsi="Arial" w:cs="Arial"/>
                <w:sz w:val="16"/>
                <w:szCs w:val="16"/>
              </w:rPr>
              <w:t> </w:t>
            </w:r>
          </w:p>
        </w:tc>
        <w:tc>
          <w:tcPr>
            <w:tcW w:w="1843" w:type="dxa"/>
            <w:tcBorders>
              <w:top w:val="nil"/>
              <w:left w:val="nil"/>
              <w:bottom w:val="single" w:sz="4" w:space="0" w:color="auto"/>
              <w:right w:val="nil"/>
            </w:tcBorders>
            <w:shd w:val="clear" w:color="auto" w:fill="auto"/>
            <w:vAlign w:val="center"/>
            <w:hideMark/>
          </w:tcPr>
          <w:p w:rsidR="001643FD" w:rsidRPr="000B50EE" w:rsidRDefault="001643FD" w:rsidP="00A1700F">
            <w:pPr>
              <w:ind w:right="-70"/>
              <w:jc w:val="center"/>
              <w:rPr>
                <w:rFonts w:ascii="Arial" w:hAnsi="Arial" w:cs="Arial"/>
                <w:sz w:val="16"/>
                <w:szCs w:val="16"/>
              </w:rPr>
            </w:pPr>
            <w:r w:rsidRPr="000B50EE">
              <w:rPr>
                <w:rFonts w:ascii="Arial" w:hAnsi="Arial" w:cs="Arial"/>
                <w:sz w:val="16"/>
                <w:szCs w:val="16"/>
              </w:rPr>
              <w:t>wzrost</w:t>
            </w:r>
          </w:p>
          <w:p w:rsidR="001643FD" w:rsidRPr="000B50EE" w:rsidRDefault="001643FD" w:rsidP="00A1700F">
            <w:pPr>
              <w:jc w:val="center"/>
              <w:rPr>
                <w:rFonts w:ascii="Arial" w:hAnsi="Arial" w:cs="Arial"/>
                <w:sz w:val="16"/>
                <w:szCs w:val="16"/>
              </w:rPr>
            </w:pPr>
            <w:r w:rsidRPr="000B50EE">
              <w:rPr>
                <w:rFonts w:ascii="Arial" w:hAnsi="Arial" w:cs="Arial"/>
                <w:sz w:val="16"/>
                <w:szCs w:val="16"/>
              </w:rPr>
              <w:t>stopy dyskonta o p</w:t>
            </w:r>
            <w:r>
              <w:rPr>
                <w:rFonts w:ascii="Arial" w:hAnsi="Arial" w:cs="Arial"/>
                <w:sz w:val="16"/>
                <w:szCs w:val="16"/>
              </w:rPr>
              <w:t xml:space="preserve">kt </w:t>
            </w:r>
            <w:r w:rsidRPr="000B50EE">
              <w:rPr>
                <w:rFonts w:ascii="Arial" w:hAnsi="Arial" w:cs="Arial"/>
                <w:sz w:val="16"/>
                <w:szCs w:val="16"/>
              </w:rPr>
              <w:t>p</w:t>
            </w:r>
            <w:r>
              <w:rPr>
                <w:rFonts w:ascii="Arial" w:hAnsi="Arial" w:cs="Arial"/>
                <w:sz w:val="16"/>
                <w:szCs w:val="16"/>
              </w:rPr>
              <w:t>roc.</w:t>
            </w:r>
          </w:p>
        </w:tc>
        <w:tc>
          <w:tcPr>
            <w:tcW w:w="1842" w:type="dxa"/>
            <w:tcBorders>
              <w:top w:val="nil"/>
              <w:left w:val="nil"/>
              <w:bottom w:val="single" w:sz="4" w:space="0" w:color="auto"/>
              <w:right w:val="nil"/>
            </w:tcBorders>
            <w:shd w:val="clear" w:color="auto" w:fill="auto"/>
            <w:vAlign w:val="center"/>
            <w:hideMark/>
          </w:tcPr>
          <w:p w:rsidR="001643FD" w:rsidRPr="000B50EE" w:rsidRDefault="001643FD" w:rsidP="00A1700F">
            <w:pPr>
              <w:jc w:val="center"/>
              <w:rPr>
                <w:rFonts w:ascii="Arial" w:hAnsi="Arial" w:cs="Arial"/>
                <w:sz w:val="16"/>
                <w:szCs w:val="16"/>
              </w:rPr>
            </w:pPr>
            <w:r w:rsidRPr="000B50EE">
              <w:rPr>
                <w:rFonts w:ascii="Arial" w:hAnsi="Arial" w:cs="Arial"/>
                <w:sz w:val="16"/>
                <w:szCs w:val="16"/>
              </w:rPr>
              <w:t>% spadek zysku operacyjnego</w:t>
            </w:r>
          </w:p>
        </w:tc>
      </w:tr>
      <w:tr w:rsidR="001643FD" w:rsidRPr="000B50EE" w:rsidTr="00A1700F">
        <w:trPr>
          <w:trHeight w:val="105"/>
        </w:trPr>
        <w:tc>
          <w:tcPr>
            <w:tcW w:w="4266" w:type="dxa"/>
            <w:shd w:val="clear" w:color="auto" w:fill="auto"/>
            <w:noWrap/>
            <w:vAlign w:val="center"/>
            <w:hideMark/>
          </w:tcPr>
          <w:p w:rsidR="001643FD" w:rsidRPr="000B50EE" w:rsidRDefault="001643FD" w:rsidP="00A1700F">
            <w:pPr>
              <w:rPr>
                <w:sz w:val="22"/>
                <w:szCs w:val="22"/>
              </w:rPr>
            </w:pPr>
          </w:p>
        </w:tc>
        <w:tc>
          <w:tcPr>
            <w:tcW w:w="1843" w:type="dxa"/>
            <w:shd w:val="clear" w:color="auto" w:fill="auto"/>
            <w:noWrap/>
            <w:vAlign w:val="center"/>
          </w:tcPr>
          <w:p w:rsidR="001643FD" w:rsidRPr="000B50EE" w:rsidRDefault="001643FD" w:rsidP="00A1700F">
            <w:pPr>
              <w:jc w:val="center"/>
              <w:rPr>
                <w:rFonts w:ascii="Arial" w:hAnsi="Arial" w:cs="Arial"/>
                <w:sz w:val="10"/>
                <w:szCs w:val="16"/>
              </w:rPr>
            </w:pPr>
          </w:p>
        </w:tc>
        <w:tc>
          <w:tcPr>
            <w:tcW w:w="1842" w:type="dxa"/>
            <w:shd w:val="clear" w:color="auto" w:fill="auto"/>
            <w:noWrap/>
            <w:vAlign w:val="center"/>
          </w:tcPr>
          <w:p w:rsidR="001643FD" w:rsidRPr="000B50EE" w:rsidRDefault="001643FD" w:rsidP="00A1700F">
            <w:pPr>
              <w:jc w:val="center"/>
              <w:rPr>
                <w:rFonts w:ascii="Arial" w:hAnsi="Arial" w:cs="Arial"/>
                <w:sz w:val="10"/>
                <w:szCs w:val="16"/>
              </w:rPr>
            </w:pPr>
          </w:p>
        </w:tc>
      </w:tr>
      <w:tr w:rsidR="001643FD" w:rsidRPr="000B50EE" w:rsidTr="00A1700F">
        <w:trPr>
          <w:trHeight w:val="285"/>
        </w:trPr>
        <w:tc>
          <w:tcPr>
            <w:tcW w:w="4266" w:type="dxa"/>
            <w:shd w:val="clear" w:color="auto" w:fill="auto"/>
            <w:noWrap/>
            <w:vAlign w:val="center"/>
            <w:hideMark/>
          </w:tcPr>
          <w:p w:rsidR="001643FD" w:rsidRPr="000B50EE" w:rsidRDefault="001643FD" w:rsidP="00A1700F">
            <w:pPr>
              <w:jc w:val="right"/>
              <w:rPr>
                <w:rFonts w:ascii="Arial" w:hAnsi="Arial" w:cs="Arial"/>
                <w:sz w:val="16"/>
                <w:szCs w:val="16"/>
              </w:rPr>
            </w:pPr>
            <w:r w:rsidRPr="000B50EE">
              <w:rPr>
                <w:rFonts w:ascii="Arial" w:hAnsi="Arial" w:cs="Arial"/>
                <w:sz w:val="16"/>
                <w:szCs w:val="16"/>
              </w:rPr>
              <w:t>INTERFERIE w Ustroniu Morskim - OWS Cechsztyn</w:t>
            </w:r>
          </w:p>
        </w:tc>
        <w:tc>
          <w:tcPr>
            <w:tcW w:w="1843" w:type="dxa"/>
            <w:shd w:val="clear" w:color="auto" w:fill="auto"/>
            <w:noWrap/>
            <w:vAlign w:val="center"/>
            <w:hideMark/>
          </w:tcPr>
          <w:p w:rsidR="001643FD" w:rsidRPr="000B50EE" w:rsidRDefault="001643FD" w:rsidP="00A1700F">
            <w:pPr>
              <w:jc w:val="center"/>
              <w:rPr>
                <w:rFonts w:ascii="Arial" w:hAnsi="Arial" w:cs="Arial"/>
                <w:sz w:val="16"/>
                <w:szCs w:val="16"/>
              </w:rPr>
            </w:pPr>
            <w:r w:rsidRPr="000B50EE">
              <w:rPr>
                <w:rFonts w:ascii="Arial" w:hAnsi="Arial" w:cs="Arial"/>
                <w:sz w:val="16"/>
                <w:szCs w:val="16"/>
              </w:rPr>
              <w:t>4,6</w:t>
            </w:r>
          </w:p>
        </w:tc>
        <w:tc>
          <w:tcPr>
            <w:tcW w:w="1842" w:type="dxa"/>
            <w:shd w:val="clear" w:color="auto" w:fill="auto"/>
            <w:noWrap/>
            <w:vAlign w:val="center"/>
            <w:hideMark/>
          </w:tcPr>
          <w:p w:rsidR="001643FD" w:rsidRPr="000B50EE" w:rsidRDefault="001643FD" w:rsidP="00A1700F">
            <w:pPr>
              <w:jc w:val="center"/>
              <w:rPr>
                <w:rFonts w:ascii="Arial" w:hAnsi="Arial" w:cs="Arial"/>
                <w:sz w:val="16"/>
                <w:szCs w:val="16"/>
              </w:rPr>
            </w:pPr>
            <w:r w:rsidRPr="000B50EE">
              <w:rPr>
                <w:rFonts w:ascii="Arial" w:hAnsi="Arial" w:cs="Arial"/>
                <w:sz w:val="16"/>
                <w:szCs w:val="16"/>
              </w:rPr>
              <w:t>40,6</w:t>
            </w:r>
          </w:p>
        </w:tc>
      </w:tr>
      <w:tr w:rsidR="001643FD" w:rsidRPr="000B50EE" w:rsidTr="00A1700F">
        <w:trPr>
          <w:trHeight w:val="279"/>
        </w:trPr>
        <w:tc>
          <w:tcPr>
            <w:tcW w:w="4266" w:type="dxa"/>
            <w:shd w:val="clear" w:color="auto" w:fill="auto"/>
            <w:noWrap/>
            <w:vAlign w:val="center"/>
          </w:tcPr>
          <w:p w:rsidR="001643FD" w:rsidRPr="000B50EE" w:rsidRDefault="001643FD" w:rsidP="00A1700F">
            <w:pPr>
              <w:jc w:val="right"/>
              <w:rPr>
                <w:rFonts w:ascii="Arial" w:hAnsi="Arial" w:cs="Arial"/>
                <w:sz w:val="6"/>
                <w:szCs w:val="16"/>
              </w:rPr>
            </w:pPr>
          </w:p>
        </w:tc>
        <w:tc>
          <w:tcPr>
            <w:tcW w:w="1843" w:type="dxa"/>
            <w:shd w:val="clear" w:color="auto" w:fill="auto"/>
            <w:noWrap/>
            <w:vAlign w:val="center"/>
          </w:tcPr>
          <w:p w:rsidR="001643FD" w:rsidRPr="000B50EE" w:rsidRDefault="001643FD" w:rsidP="00A1700F">
            <w:pPr>
              <w:jc w:val="center"/>
              <w:rPr>
                <w:rFonts w:ascii="Arial" w:hAnsi="Arial" w:cs="Arial"/>
                <w:sz w:val="6"/>
                <w:szCs w:val="16"/>
              </w:rPr>
            </w:pPr>
          </w:p>
        </w:tc>
        <w:tc>
          <w:tcPr>
            <w:tcW w:w="1842" w:type="dxa"/>
            <w:shd w:val="clear" w:color="auto" w:fill="auto"/>
            <w:noWrap/>
            <w:vAlign w:val="center"/>
          </w:tcPr>
          <w:p w:rsidR="001643FD" w:rsidRPr="000B50EE" w:rsidRDefault="001643FD" w:rsidP="00A1700F">
            <w:pPr>
              <w:jc w:val="center"/>
              <w:rPr>
                <w:rFonts w:ascii="Arial" w:hAnsi="Arial" w:cs="Arial"/>
                <w:sz w:val="6"/>
                <w:szCs w:val="16"/>
              </w:rPr>
            </w:pPr>
          </w:p>
        </w:tc>
      </w:tr>
      <w:tr w:rsidR="001643FD" w:rsidRPr="000B50EE" w:rsidTr="00A1700F">
        <w:trPr>
          <w:trHeight w:val="285"/>
        </w:trPr>
        <w:tc>
          <w:tcPr>
            <w:tcW w:w="4266" w:type="dxa"/>
            <w:shd w:val="clear" w:color="auto" w:fill="auto"/>
            <w:noWrap/>
            <w:vAlign w:val="center"/>
            <w:hideMark/>
          </w:tcPr>
          <w:p w:rsidR="001643FD" w:rsidRPr="000B50EE" w:rsidRDefault="001643FD" w:rsidP="00A1700F">
            <w:pPr>
              <w:jc w:val="right"/>
              <w:rPr>
                <w:rFonts w:ascii="Arial" w:hAnsi="Arial" w:cs="Arial"/>
                <w:sz w:val="16"/>
                <w:szCs w:val="16"/>
              </w:rPr>
            </w:pPr>
            <w:r w:rsidRPr="000B50EE">
              <w:rPr>
                <w:rFonts w:ascii="Arial" w:hAnsi="Arial" w:cs="Arial"/>
                <w:sz w:val="16"/>
                <w:szCs w:val="16"/>
              </w:rPr>
              <w:t>INTERFERIE w Kołobrzegu – OSW Chalkozyn</w:t>
            </w:r>
          </w:p>
        </w:tc>
        <w:tc>
          <w:tcPr>
            <w:tcW w:w="1843" w:type="dxa"/>
            <w:shd w:val="clear" w:color="auto" w:fill="auto"/>
            <w:noWrap/>
            <w:vAlign w:val="center"/>
            <w:hideMark/>
          </w:tcPr>
          <w:p w:rsidR="001643FD" w:rsidRPr="000B50EE" w:rsidRDefault="001643FD" w:rsidP="00A1700F">
            <w:pPr>
              <w:jc w:val="center"/>
              <w:rPr>
                <w:rFonts w:ascii="Arial" w:hAnsi="Arial" w:cs="Arial"/>
                <w:sz w:val="16"/>
                <w:szCs w:val="16"/>
              </w:rPr>
            </w:pPr>
            <w:r w:rsidRPr="000B50EE">
              <w:rPr>
                <w:rFonts w:ascii="Arial" w:hAnsi="Arial" w:cs="Arial"/>
                <w:sz w:val="16"/>
                <w:szCs w:val="16"/>
              </w:rPr>
              <w:t>1,56</w:t>
            </w:r>
          </w:p>
        </w:tc>
        <w:tc>
          <w:tcPr>
            <w:tcW w:w="1842" w:type="dxa"/>
            <w:shd w:val="clear" w:color="auto" w:fill="auto"/>
            <w:noWrap/>
            <w:vAlign w:val="center"/>
            <w:hideMark/>
          </w:tcPr>
          <w:p w:rsidR="001643FD" w:rsidRPr="000B50EE" w:rsidRDefault="001643FD" w:rsidP="00A1700F">
            <w:pPr>
              <w:jc w:val="center"/>
              <w:rPr>
                <w:rFonts w:ascii="Arial" w:hAnsi="Arial" w:cs="Arial"/>
                <w:sz w:val="16"/>
                <w:szCs w:val="16"/>
              </w:rPr>
            </w:pPr>
            <w:r w:rsidRPr="000B50EE">
              <w:rPr>
                <w:rFonts w:ascii="Arial" w:hAnsi="Arial" w:cs="Arial"/>
                <w:sz w:val="16"/>
                <w:szCs w:val="16"/>
              </w:rPr>
              <w:t>19,6</w:t>
            </w:r>
          </w:p>
        </w:tc>
      </w:tr>
      <w:tr w:rsidR="001643FD" w:rsidRPr="000B50EE" w:rsidTr="00A1700F">
        <w:trPr>
          <w:trHeight w:val="285"/>
        </w:trPr>
        <w:tc>
          <w:tcPr>
            <w:tcW w:w="4266" w:type="dxa"/>
            <w:shd w:val="clear" w:color="auto" w:fill="auto"/>
            <w:noWrap/>
            <w:vAlign w:val="center"/>
          </w:tcPr>
          <w:p w:rsidR="001643FD" w:rsidRPr="000B50EE" w:rsidRDefault="001643FD" w:rsidP="00A1700F">
            <w:pPr>
              <w:jc w:val="right"/>
              <w:rPr>
                <w:rFonts w:ascii="Arial" w:hAnsi="Arial" w:cs="Arial"/>
                <w:sz w:val="6"/>
                <w:szCs w:val="16"/>
              </w:rPr>
            </w:pPr>
          </w:p>
        </w:tc>
        <w:tc>
          <w:tcPr>
            <w:tcW w:w="1843" w:type="dxa"/>
            <w:shd w:val="clear" w:color="auto" w:fill="auto"/>
            <w:noWrap/>
            <w:vAlign w:val="center"/>
          </w:tcPr>
          <w:p w:rsidR="001643FD" w:rsidRPr="000B50EE" w:rsidRDefault="001643FD" w:rsidP="00A1700F">
            <w:pPr>
              <w:jc w:val="center"/>
              <w:rPr>
                <w:rFonts w:ascii="Arial" w:hAnsi="Arial" w:cs="Arial"/>
                <w:sz w:val="6"/>
                <w:szCs w:val="16"/>
              </w:rPr>
            </w:pPr>
          </w:p>
        </w:tc>
        <w:tc>
          <w:tcPr>
            <w:tcW w:w="1842" w:type="dxa"/>
            <w:shd w:val="clear" w:color="auto" w:fill="auto"/>
            <w:noWrap/>
            <w:vAlign w:val="center"/>
          </w:tcPr>
          <w:p w:rsidR="001643FD" w:rsidRPr="000B50EE" w:rsidRDefault="001643FD" w:rsidP="00A1700F">
            <w:pPr>
              <w:jc w:val="center"/>
              <w:rPr>
                <w:rFonts w:ascii="Arial" w:hAnsi="Arial" w:cs="Arial"/>
                <w:sz w:val="6"/>
                <w:szCs w:val="16"/>
              </w:rPr>
            </w:pPr>
          </w:p>
        </w:tc>
      </w:tr>
      <w:tr w:rsidR="001643FD" w:rsidRPr="00C42EEA" w:rsidTr="00A1700F">
        <w:trPr>
          <w:trHeight w:val="285"/>
        </w:trPr>
        <w:tc>
          <w:tcPr>
            <w:tcW w:w="4266" w:type="dxa"/>
            <w:shd w:val="clear" w:color="auto" w:fill="auto"/>
            <w:noWrap/>
            <w:vAlign w:val="center"/>
            <w:hideMark/>
          </w:tcPr>
          <w:p w:rsidR="001643FD" w:rsidRPr="000B50EE" w:rsidRDefault="001643FD" w:rsidP="00A1700F">
            <w:pPr>
              <w:jc w:val="right"/>
              <w:rPr>
                <w:rFonts w:ascii="Arial" w:hAnsi="Arial" w:cs="Arial"/>
                <w:sz w:val="16"/>
                <w:szCs w:val="16"/>
              </w:rPr>
            </w:pPr>
            <w:r w:rsidRPr="000B50EE">
              <w:rPr>
                <w:rFonts w:ascii="Arial" w:hAnsi="Arial" w:cs="Arial"/>
                <w:sz w:val="16"/>
                <w:szCs w:val="16"/>
              </w:rPr>
              <w:t>INTERFERIE w Dąbkach Sanatorium Uzdrowiskowe Argentyt</w:t>
            </w:r>
          </w:p>
        </w:tc>
        <w:tc>
          <w:tcPr>
            <w:tcW w:w="1843" w:type="dxa"/>
            <w:shd w:val="clear" w:color="auto" w:fill="auto"/>
            <w:noWrap/>
            <w:vAlign w:val="center"/>
            <w:hideMark/>
          </w:tcPr>
          <w:p w:rsidR="001643FD" w:rsidRPr="000B50EE" w:rsidRDefault="001643FD" w:rsidP="00A1700F">
            <w:pPr>
              <w:jc w:val="center"/>
              <w:rPr>
                <w:rFonts w:ascii="Arial" w:hAnsi="Arial" w:cs="Arial"/>
                <w:sz w:val="16"/>
                <w:szCs w:val="16"/>
              </w:rPr>
            </w:pPr>
            <w:r w:rsidRPr="000B50EE">
              <w:rPr>
                <w:rFonts w:ascii="Arial" w:hAnsi="Arial" w:cs="Arial"/>
                <w:sz w:val="16"/>
                <w:szCs w:val="16"/>
              </w:rPr>
              <w:t>3,98</w:t>
            </w:r>
          </w:p>
        </w:tc>
        <w:tc>
          <w:tcPr>
            <w:tcW w:w="1842" w:type="dxa"/>
            <w:shd w:val="clear" w:color="auto" w:fill="auto"/>
            <w:noWrap/>
            <w:vAlign w:val="center"/>
            <w:hideMark/>
          </w:tcPr>
          <w:p w:rsidR="001643FD" w:rsidRPr="000B50EE" w:rsidRDefault="001643FD" w:rsidP="00A1700F">
            <w:pPr>
              <w:jc w:val="center"/>
              <w:rPr>
                <w:rFonts w:ascii="Arial" w:hAnsi="Arial" w:cs="Arial"/>
                <w:sz w:val="16"/>
                <w:szCs w:val="16"/>
              </w:rPr>
            </w:pPr>
            <w:r w:rsidRPr="000B50EE">
              <w:rPr>
                <w:rFonts w:ascii="Arial" w:hAnsi="Arial" w:cs="Arial"/>
                <w:sz w:val="16"/>
                <w:szCs w:val="16"/>
              </w:rPr>
              <w:t>36,9</w:t>
            </w:r>
          </w:p>
        </w:tc>
      </w:tr>
    </w:tbl>
    <w:p w:rsidR="001643FD" w:rsidRPr="00C42EEA" w:rsidRDefault="001643FD" w:rsidP="001643FD">
      <w:pPr>
        <w:autoSpaceDE w:val="0"/>
        <w:autoSpaceDN w:val="0"/>
        <w:adjustRightInd w:val="0"/>
        <w:spacing w:line="276" w:lineRule="auto"/>
        <w:ind w:firstLine="709"/>
        <w:jc w:val="both"/>
        <w:rPr>
          <w:rFonts w:ascii="Arial" w:hAnsi="Arial" w:cs="Arial"/>
          <w:sz w:val="18"/>
          <w:szCs w:val="18"/>
          <w:highlight w:val="yellow"/>
        </w:rPr>
      </w:pPr>
    </w:p>
    <w:p w:rsidR="001643FD" w:rsidRDefault="001643FD" w:rsidP="001643FD">
      <w:pPr>
        <w:tabs>
          <w:tab w:val="left" w:pos="540"/>
        </w:tabs>
        <w:spacing w:line="260" w:lineRule="exact"/>
        <w:jc w:val="both"/>
        <w:rPr>
          <w:rFonts w:ascii="Arial" w:hAnsi="Arial" w:cs="Arial"/>
          <w:bCs/>
          <w:sz w:val="18"/>
          <w:szCs w:val="18"/>
        </w:rPr>
      </w:pPr>
    </w:p>
    <w:p w:rsidR="001643FD" w:rsidRPr="00983BF9" w:rsidRDefault="001643FD" w:rsidP="001643FD">
      <w:pPr>
        <w:tabs>
          <w:tab w:val="left" w:pos="540"/>
        </w:tabs>
        <w:spacing w:line="260" w:lineRule="exact"/>
        <w:jc w:val="both"/>
        <w:rPr>
          <w:rFonts w:ascii="Arial" w:hAnsi="Arial" w:cs="Arial"/>
          <w:bCs/>
          <w:sz w:val="18"/>
          <w:szCs w:val="18"/>
        </w:rPr>
      </w:pPr>
      <w:r w:rsidRPr="00983BF9">
        <w:rPr>
          <w:rFonts w:ascii="Arial" w:hAnsi="Arial" w:cs="Arial"/>
          <w:bCs/>
          <w:sz w:val="18"/>
          <w:szCs w:val="18"/>
        </w:rPr>
        <w:t>Dla nieruchomości INTERFERIE w Głogowie, został sporządzony operat szacunkowy określający wartość godziwą przedmiotu wyceny w wysokości 2 528 tys. zł (2 452 tys. zł po uwzględnieniu 3% kosztów doprowadzenia do sprzedaży). Wartość bilansowa hotelu wg stanu na 30.09.2021 r. (wartość środków trwałych, wartości niematerialnych oraz środków trwałych w budowie) wynosi: 2 251 tys. zł.</w:t>
      </w:r>
    </w:p>
    <w:p w:rsidR="001643FD" w:rsidRPr="00983BF9" w:rsidRDefault="001643FD" w:rsidP="001643FD">
      <w:pPr>
        <w:autoSpaceDE w:val="0"/>
        <w:autoSpaceDN w:val="0"/>
        <w:jc w:val="both"/>
        <w:rPr>
          <w:rFonts w:ascii="Arial" w:hAnsi="Arial" w:cs="Arial"/>
          <w:sz w:val="18"/>
          <w:szCs w:val="18"/>
        </w:rPr>
      </w:pPr>
    </w:p>
    <w:p w:rsidR="001643FD" w:rsidRPr="00983BF9" w:rsidRDefault="001643FD" w:rsidP="001643FD">
      <w:pPr>
        <w:tabs>
          <w:tab w:val="left" w:pos="540"/>
        </w:tabs>
        <w:spacing w:line="260" w:lineRule="exact"/>
        <w:jc w:val="both"/>
        <w:rPr>
          <w:rFonts w:ascii="Arial" w:hAnsi="Arial" w:cs="Arial"/>
          <w:bCs/>
          <w:sz w:val="18"/>
          <w:szCs w:val="18"/>
        </w:rPr>
      </w:pPr>
      <w:r w:rsidRPr="00983BF9">
        <w:rPr>
          <w:rFonts w:ascii="Arial" w:hAnsi="Arial" w:cs="Arial"/>
          <w:bCs/>
          <w:sz w:val="18"/>
          <w:szCs w:val="18"/>
        </w:rPr>
        <w:t>Dla nieruchomości INTERFERIE Hotel Bornit w Szklarskiej Porębie, został sporządzony operat szacunkowy określający wartość odzyskiwalną przedmiotu wyceny w wysokości 25 925 tys. zł Wartość bilansowa hotelu wg stanu na 30.0</w:t>
      </w:r>
      <w:r>
        <w:rPr>
          <w:rFonts w:ascii="Arial" w:hAnsi="Arial" w:cs="Arial"/>
          <w:bCs/>
          <w:sz w:val="18"/>
          <w:szCs w:val="18"/>
        </w:rPr>
        <w:t>9</w:t>
      </w:r>
      <w:r w:rsidRPr="00983BF9">
        <w:rPr>
          <w:rFonts w:ascii="Arial" w:hAnsi="Arial" w:cs="Arial"/>
          <w:bCs/>
          <w:sz w:val="18"/>
          <w:szCs w:val="18"/>
        </w:rPr>
        <w:t>.2021 r. (wartość środków trwałych, wartości niematerialnych oraz środków trwałych w budowie) wynosi: 23 198 tys. zł.</w:t>
      </w:r>
    </w:p>
    <w:p w:rsidR="001643FD" w:rsidRPr="00C42EEA" w:rsidRDefault="001643FD" w:rsidP="001643FD">
      <w:pPr>
        <w:autoSpaceDE w:val="0"/>
        <w:autoSpaceDN w:val="0"/>
        <w:jc w:val="both"/>
        <w:rPr>
          <w:rFonts w:ascii="Arial" w:hAnsi="Arial" w:cs="Arial"/>
          <w:sz w:val="18"/>
          <w:szCs w:val="18"/>
          <w:highlight w:val="yellow"/>
        </w:rPr>
      </w:pPr>
    </w:p>
    <w:p w:rsidR="001643FD" w:rsidRPr="00983BF9" w:rsidRDefault="001643FD" w:rsidP="001643FD">
      <w:pPr>
        <w:tabs>
          <w:tab w:val="left" w:pos="540"/>
        </w:tabs>
        <w:spacing w:line="260" w:lineRule="exact"/>
        <w:jc w:val="both"/>
        <w:rPr>
          <w:rFonts w:ascii="Arial" w:hAnsi="Arial" w:cs="Arial"/>
          <w:bCs/>
          <w:sz w:val="18"/>
          <w:szCs w:val="18"/>
        </w:rPr>
      </w:pPr>
      <w:r w:rsidRPr="00983BF9">
        <w:rPr>
          <w:rFonts w:ascii="Arial" w:hAnsi="Arial" w:cs="Arial"/>
          <w:bCs/>
          <w:sz w:val="18"/>
          <w:szCs w:val="18"/>
        </w:rPr>
        <w:t>Dla nieruchomości INTERFERIE Hotel Malachit w Świeradowie Zdroju, został sporządzony operat szacunkowy określający wartość odzyskiwalną przedmiotu wyceny w wysokości 23 153 tys. zł. Wartość bilansowa hotelu wg stanu na 30.0</w:t>
      </w:r>
      <w:r>
        <w:rPr>
          <w:rFonts w:ascii="Arial" w:hAnsi="Arial" w:cs="Arial"/>
          <w:bCs/>
          <w:sz w:val="18"/>
          <w:szCs w:val="18"/>
        </w:rPr>
        <w:t>9</w:t>
      </w:r>
      <w:r w:rsidRPr="00983BF9">
        <w:rPr>
          <w:rFonts w:ascii="Arial" w:hAnsi="Arial" w:cs="Arial"/>
          <w:bCs/>
          <w:sz w:val="18"/>
          <w:szCs w:val="18"/>
        </w:rPr>
        <w:t xml:space="preserve">.2021 r. (wartość środków trwałych, wartości niematerialnych oraz środków trwałych w budowie) wynosi: 21 </w:t>
      </w:r>
      <w:r>
        <w:rPr>
          <w:rFonts w:ascii="Arial" w:hAnsi="Arial" w:cs="Arial"/>
          <w:bCs/>
          <w:sz w:val="18"/>
          <w:szCs w:val="18"/>
        </w:rPr>
        <w:t>769</w:t>
      </w:r>
      <w:r w:rsidRPr="00983BF9">
        <w:rPr>
          <w:rFonts w:ascii="Arial" w:hAnsi="Arial" w:cs="Arial"/>
          <w:bCs/>
          <w:sz w:val="18"/>
          <w:szCs w:val="18"/>
        </w:rPr>
        <w:t xml:space="preserve"> tys. zł.</w:t>
      </w:r>
    </w:p>
    <w:p w:rsidR="00C42EEA" w:rsidRDefault="00C42EEA" w:rsidP="00C42EEA">
      <w:pPr>
        <w:tabs>
          <w:tab w:val="left" w:pos="540"/>
        </w:tabs>
        <w:spacing w:line="260" w:lineRule="exact"/>
        <w:jc w:val="both"/>
        <w:rPr>
          <w:rFonts w:ascii="Arial" w:hAnsi="Arial" w:cs="Arial"/>
          <w:bCs/>
          <w:sz w:val="18"/>
          <w:szCs w:val="18"/>
        </w:rPr>
      </w:pPr>
    </w:p>
    <w:p w:rsidR="005D3822" w:rsidRDefault="005D3822" w:rsidP="005D3822">
      <w:pPr>
        <w:rPr>
          <w:rFonts w:ascii="Arial" w:hAnsi="Arial" w:cs="Arial"/>
          <w:b/>
          <w:bCs/>
          <w:sz w:val="18"/>
          <w:szCs w:val="18"/>
        </w:rPr>
      </w:pPr>
    </w:p>
    <w:p w:rsidR="005D3822" w:rsidRPr="00661ED4" w:rsidRDefault="005D3822" w:rsidP="005D3822">
      <w:pPr>
        <w:jc w:val="both"/>
        <w:rPr>
          <w:rFonts w:ascii="Arial" w:hAnsi="Arial" w:cs="Arial"/>
          <w:b/>
          <w:bCs/>
          <w:sz w:val="18"/>
          <w:szCs w:val="18"/>
        </w:rPr>
      </w:pPr>
      <w:r w:rsidRPr="00661ED4">
        <w:rPr>
          <w:rFonts w:ascii="Arial" w:hAnsi="Arial" w:cs="Arial"/>
          <w:b/>
          <w:bCs/>
          <w:sz w:val="18"/>
          <w:szCs w:val="18"/>
        </w:rPr>
        <w:t>X</w:t>
      </w:r>
      <w:r>
        <w:rPr>
          <w:rFonts w:ascii="Arial" w:hAnsi="Arial" w:cs="Arial"/>
          <w:b/>
          <w:bCs/>
          <w:sz w:val="18"/>
          <w:szCs w:val="18"/>
        </w:rPr>
        <w:t>X</w:t>
      </w:r>
      <w:r w:rsidRPr="00661ED4">
        <w:rPr>
          <w:rFonts w:ascii="Arial" w:hAnsi="Arial" w:cs="Arial"/>
          <w:b/>
          <w:bCs/>
          <w:sz w:val="18"/>
          <w:szCs w:val="18"/>
        </w:rPr>
        <w:t>I</w:t>
      </w:r>
      <w:r>
        <w:rPr>
          <w:rFonts w:ascii="Arial" w:hAnsi="Arial" w:cs="Arial"/>
          <w:b/>
          <w:bCs/>
          <w:sz w:val="18"/>
          <w:szCs w:val="18"/>
        </w:rPr>
        <w:t>V</w:t>
      </w:r>
      <w:r w:rsidRPr="00661ED4">
        <w:rPr>
          <w:rFonts w:ascii="Arial" w:hAnsi="Arial" w:cs="Arial"/>
          <w:b/>
          <w:bCs/>
          <w:sz w:val="18"/>
          <w:szCs w:val="18"/>
        </w:rPr>
        <w:t>. Wskazanie czynników, które będą miały wpływ na osiągnięte przez Spółkę wyniki w perspektywie</w:t>
      </w:r>
      <w:r>
        <w:rPr>
          <w:rFonts w:ascii="Arial" w:hAnsi="Arial" w:cs="Arial"/>
          <w:b/>
          <w:bCs/>
          <w:sz w:val="18"/>
          <w:szCs w:val="18"/>
        </w:rPr>
        <w:br/>
      </w:r>
      <w:r w:rsidRPr="00661ED4">
        <w:rPr>
          <w:rFonts w:ascii="Arial" w:hAnsi="Arial" w:cs="Arial"/>
          <w:b/>
          <w:bCs/>
          <w:sz w:val="18"/>
          <w:szCs w:val="18"/>
        </w:rPr>
        <w:t xml:space="preserve"> co najmniej kolejnego kwartału.</w:t>
      </w:r>
    </w:p>
    <w:p w:rsidR="005D3822" w:rsidRPr="00661ED4" w:rsidRDefault="005D3822" w:rsidP="005D3822">
      <w:pPr>
        <w:tabs>
          <w:tab w:val="left" w:pos="540"/>
        </w:tabs>
        <w:spacing w:line="260" w:lineRule="exact"/>
        <w:jc w:val="both"/>
        <w:rPr>
          <w:rFonts w:ascii="Arial" w:hAnsi="Arial" w:cs="Arial"/>
          <w:bCs/>
          <w:sz w:val="18"/>
          <w:szCs w:val="18"/>
        </w:rPr>
      </w:pPr>
    </w:p>
    <w:p w:rsidR="00C42EEA" w:rsidRDefault="00C42EEA" w:rsidP="00C42EEA">
      <w:pPr>
        <w:tabs>
          <w:tab w:val="left" w:pos="540"/>
        </w:tabs>
        <w:spacing w:line="260" w:lineRule="exact"/>
        <w:jc w:val="both"/>
        <w:rPr>
          <w:rFonts w:ascii="Arial" w:hAnsi="Arial" w:cs="Arial"/>
          <w:bCs/>
          <w:sz w:val="18"/>
          <w:szCs w:val="18"/>
        </w:rPr>
      </w:pPr>
      <w:r>
        <w:rPr>
          <w:rFonts w:ascii="Arial" w:hAnsi="Arial" w:cs="Arial"/>
          <w:bCs/>
          <w:sz w:val="18"/>
          <w:szCs w:val="18"/>
        </w:rPr>
        <w:t xml:space="preserve">W związku z pojawieniem się pod koniec 2019 r. w Chinach, a następnie globalnym rozprzestrzenianiem się </w:t>
      </w:r>
      <w:proofErr w:type="spellStart"/>
      <w:r>
        <w:rPr>
          <w:rFonts w:ascii="Arial" w:hAnsi="Arial" w:cs="Arial"/>
          <w:bCs/>
          <w:sz w:val="18"/>
          <w:szCs w:val="18"/>
        </w:rPr>
        <w:t>koronawirusa</w:t>
      </w:r>
      <w:proofErr w:type="spellEnd"/>
      <w:r>
        <w:rPr>
          <w:rFonts w:ascii="Arial" w:hAnsi="Arial" w:cs="Arial"/>
          <w:bCs/>
          <w:sz w:val="18"/>
          <w:szCs w:val="18"/>
        </w:rPr>
        <w:t xml:space="preserve"> COVID-19, Zarząd spółki INTERFERIE S.A. na bieżąco monitoruje globalną sytuację gospodarczą i potencjalny negatywny wpływ na Spółkę. Ograniczenia związane z brakiem możliwości prowadzenia działalności hotelarskiej wprowadzone przez Rządowe Rozporządzenia skutkowały wyłączeniem obiektów Spółki </w:t>
      </w:r>
      <w:r>
        <w:rPr>
          <w:rFonts w:ascii="Arial" w:hAnsi="Arial" w:cs="Arial"/>
          <w:bCs/>
          <w:sz w:val="18"/>
          <w:szCs w:val="18"/>
        </w:rPr>
        <w:br/>
        <w:t xml:space="preserve">z działalności. </w:t>
      </w:r>
    </w:p>
    <w:p w:rsidR="00C42EEA" w:rsidRDefault="00C42EEA" w:rsidP="00C42EEA">
      <w:pPr>
        <w:tabs>
          <w:tab w:val="left" w:pos="540"/>
        </w:tabs>
        <w:spacing w:line="260" w:lineRule="exact"/>
        <w:jc w:val="both"/>
        <w:rPr>
          <w:rFonts w:ascii="Arial" w:hAnsi="Arial" w:cs="Arial"/>
          <w:bCs/>
          <w:sz w:val="18"/>
          <w:szCs w:val="18"/>
        </w:rPr>
      </w:pPr>
    </w:p>
    <w:p w:rsidR="00C42EEA" w:rsidRDefault="00C42EEA" w:rsidP="00C42EEA">
      <w:pPr>
        <w:tabs>
          <w:tab w:val="left" w:pos="540"/>
        </w:tabs>
        <w:spacing w:line="260" w:lineRule="exact"/>
        <w:jc w:val="both"/>
        <w:rPr>
          <w:rFonts w:ascii="Arial" w:hAnsi="Arial" w:cs="Arial"/>
          <w:bCs/>
          <w:sz w:val="18"/>
          <w:szCs w:val="18"/>
        </w:rPr>
      </w:pPr>
      <w:r>
        <w:rPr>
          <w:rFonts w:ascii="Arial" w:hAnsi="Arial" w:cs="Arial"/>
          <w:bCs/>
          <w:sz w:val="18"/>
          <w:szCs w:val="18"/>
        </w:rPr>
        <w:lastRenderedPageBreak/>
        <w:t>W Dzienniku Ustaw zostało opublikowane Rozporządzenie Rady Ministrów z 29 stycznia 2021 roku, przedłużające obostrzenia do 14 lutego 2021 roku. Rozporządzenie jednocześnie nieznaczenie poszerzyło katalog grup zawodowych, które mogły korzystać z usług hotelarskich o specjalistyczne grupy zawodowe.</w:t>
      </w:r>
    </w:p>
    <w:p w:rsidR="00C42EEA" w:rsidRDefault="00C42EEA" w:rsidP="00C42EEA">
      <w:pPr>
        <w:tabs>
          <w:tab w:val="left" w:pos="540"/>
        </w:tabs>
        <w:spacing w:line="260" w:lineRule="exact"/>
        <w:jc w:val="both"/>
        <w:rPr>
          <w:rFonts w:ascii="Arial" w:hAnsi="Arial" w:cs="Arial"/>
          <w:bCs/>
          <w:sz w:val="18"/>
          <w:szCs w:val="18"/>
        </w:rPr>
      </w:pPr>
    </w:p>
    <w:p w:rsidR="00C42EEA" w:rsidRDefault="00C42EEA" w:rsidP="00C42EEA">
      <w:pPr>
        <w:tabs>
          <w:tab w:val="left" w:pos="540"/>
        </w:tabs>
        <w:spacing w:line="260" w:lineRule="exact"/>
        <w:jc w:val="both"/>
        <w:rPr>
          <w:rFonts w:ascii="Arial" w:hAnsi="Arial" w:cs="Arial"/>
          <w:bCs/>
          <w:sz w:val="18"/>
          <w:szCs w:val="18"/>
        </w:rPr>
      </w:pPr>
      <w:r>
        <w:rPr>
          <w:rFonts w:ascii="Arial" w:hAnsi="Arial" w:cs="Arial"/>
          <w:bCs/>
          <w:sz w:val="18"/>
          <w:szCs w:val="18"/>
        </w:rPr>
        <w:t xml:space="preserve">Rozporządzenie z 11.02.2021 r. regulujące prowadzenie usług hotelarskich do 28.02.2021 r. zostało opublikowane 11.02.2021 r. w Dzienniku Ustaw. Główne zasady obowiązujące branżę od 12 lutego dotyczyły: 50% dostępności pokoi, otwarcia basenów, posiłki wyłącznie w formie </w:t>
      </w:r>
      <w:proofErr w:type="spellStart"/>
      <w:r>
        <w:rPr>
          <w:rFonts w:ascii="Arial" w:hAnsi="Arial" w:cs="Arial"/>
          <w:bCs/>
          <w:sz w:val="18"/>
          <w:szCs w:val="18"/>
        </w:rPr>
        <w:t>room</w:t>
      </w:r>
      <w:proofErr w:type="spellEnd"/>
      <w:r>
        <w:rPr>
          <w:rFonts w:ascii="Arial" w:hAnsi="Arial" w:cs="Arial"/>
          <w:bCs/>
          <w:sz w:val="18"/>
          <w:szCs w:val="18"/>
        </w:rPr>
        <w:t>-service, zamknięcie restauracji.</w:t>
      </w:r>
    </w:p>
    <w:p w:rsidR="00C42EEA" w:rsidRDefault="00C42EEA" w:rsidP="00C42EEA">
      <w:pPr>
        <w:tabs>
          <w:tab w:val="left" w:pos="540"/>
        </w:tabs>
        <w:spacing w:line="260" w:lineRule="exact"/>
        <w:jc w:val="both"/>
        <w:rPr>
          <w:rFonts w:ascii="Arial" w:hAnsi="Arial" w:cs="Arial"/>
          <w:bCs/>
          <w:sz w:val="18"/>
          <w:szCs w:val="18"/>
        </w:rPr>
      </w:pPr>
    </w:p>
    <w:p w:rsidR="00C42EEA" w:rsidRDefault="00C42EEA" w:rsidP="00C42EEA">
      <w:pPr>
        <w:tabs>
          <w:tab w:val="left" w:pos="540"/>
        </w:tabs>
        <w:spacing w:line="260" w:lineRule="exact"/>
        <w:jc w:val="both"/>
        <w:rPr>
          <w:rFonts w:ascii="Arial" w:hAnsi="Arial" w:cs="Arial"/>
          <w:bCs/>
          <w:sz w:val="18"/>
          <w:szCs w:val="18"/>
        </w:rPr>
      </w:pPr>
      <w:r>
        <w:rPr>
          <w:rFonts w:ascii="Arial" w:hAnsi="Arial" w:cs="Arial"/>
          <w:bCs/>
          <w:sz w:val="18"/>
          <w:szCs w:val="18"/>
        </w:rPr>
        <w:t xml:space="preserve">Rozporządzenie Rady Ministrów </w:t>
      </w:r>
      <w:r w:rsidR="006D578F">
        <w:rPr>
          <w:rFonts w:ascii="Arial" w:hAnsi="Arial" w:cs="Arial"/>
          <w:bCs/>
          <w:sz w:val="18"/>
          <w:szCs w:val="18"/>
        </w:rPr>
        <w:t xml:space="preserve">z dnia 19 marca 2021 roku </w:t>
      </w:r>
      <w:r>
        <w:rPr>
          <w:rFonts w:ascii="Arial" w:hAnsi="Arial" w:cs="Arial"/>
          <w:bCs/>
          <w:sz w:val="18"/>
          <w:szCs w:val="18"/>
        </w:rPr>
        <w:t xml:space="preserve">w sprawie ustanowienia określonych ograniczeń, nakazów i zakazów w związku z wystąpieniem stanu epidemii </w:t>
      </w:r>
      <w:r w:rsidR="006D578F">
        <w:rPr>
          <w:rFonts w:ascii="Arial" w:hAnsi="Arial" w:cs="Arial"/>
          <w:bCs/>
          <w:sz w:val="18"/>
          <w:szCs w:val="18"/>
        </w:rPr>
        <w:t>(Dz.U. z 2021 r. po</w:t>
      </w:r>
      <w:r w:rsidR="0011512D">
        <w:rPr>
          <w:rFonts w:ascii="Arial" w:hAnsi="Arial" w:cs="Arial"/>
          <w:bCs/>
          <w:sz w:val="18"/>
          <w:szCs w:val="18"/>
        </w:rPr>
        <w:t>z. 512, z późniejszymi zmianami</w:t>
      </w:r>
      <w:r w:rsidR="006D578F">
        <w:rPr>
          <w:rFonts w:ascii="Arial" w:hAnsi="Arial" w:cs="Arial"/>
          <w:bCs/>
          <w:sz w:val="18"/>
          <w:szCs w:val="18"/>
        </w:rPr>
        <w:t xml:space="preserve">) </w:t>
      </w:r>
      <w:r>
        <w:rPr>
          <w:rFonts w:ascii="Arial" w:hAnsi="Arial" w:cs="Arial"/>
          <w:bCs/>
          <w:sz w:val="18"/>
          <w:szCs w:val="18"/>
        </w:rPr>
        <w:t xml:space="preserve">wprowadziło </w:t>
      </w:r>
      <w:proofErr w:type="spellStart"/>
      <w:r>
        <w:rPr>
          <w:rFonts w:ascii="Arial" w:hAnsi="Arial" w:cs="Arial"/>
          <w:bCs/>
          <w:sz w:val="18"/>
          <w:szCs w:val="18"/>
        </w:rPr>
        <w:t>lockdown</w:t>
      </w:r>
      <w:proofErr w:type="spellEnd"/>
      <w:r>
        <w:rPr>
          <w:rFonts w:ascii="Arial" w:hAnsi="Arial" w:cs="Arial"/>
          <w:bCs/>
          <w:sz w:val="18"/>
          <w:szCs w:val="18"/>
        </w:rPr>
        <w:t xml:space="preserve"> branży hotelarskiej od 20 marca do 27 kwietnia 2021 roku w całym kraju. Możliwe było prowadzenie działalności dla grup sportowych z licencją.</w:t>
      </w:r>
    </w:p>
    <w:p w:rsidR="00C42EEA" w:rsidRDefault="00C42EEA" w:rsidP="00C42EEA">
      <w:pPr>
        <w:tabs>
          <w:tab w:val="left" w:pos="540"/>
        </w:tabs>
        <w:spacing w:line="260" w:lineRule="exact"/>
        <w:jc w:val="both"/>
        <w:rPr>
          <w:rFonts w:ascii="Arial" w:hAnsi="Arial" w:cs="Arial"/>
          <w:bCs/>
          <w:sz w:val="18"/>
          <w:szCs w:val="18"/>
        </w:rPr>
      </w:pPr>
      <w:r>
        <w:rPr>
          <w:rFonts w:ascii="Arial" w:hAnsi="Arial" w:cs="Arial"/>
          <w:bCs/>
          <w:sz w:val="18"/>
          <w:szCs w:val="18"/>
        </w:rPr>
        <w:t>Od 8 maja 2021 r. ponownie zezwolono na otwarcie hoteli (z limitem obłożenia 50% miejsc), z dniem 26 czerwca limit obłożenia podniesiono do 75% miejsc.</w:t>
      </w:r>
    </w:p>
    <w:p w:rsidR="00C42EEA" w:rsidRDefault="00C42EEA" w:rsidP="00C42EEA">
      <w:pPr>
        <w:tabs>
          <w:tab w:val="left" w:pos="540"/>
        </w:tabs>
        <w:spacing w:line="260" w:lineRule="exact"/>
        <w:jc w:val="both"/>
        <w:rPr>
          <w:rFonts w:ascii="Arial" w:hAnsi="Arial" w:cs="Arial"/>
          <w:bCs/>
          <w:sz w:val="18"/>
          <w:szCs w:val="18"/>
        </w:rPr>
      </w:pPr>
    </w:p>
    <w:p w:rsidR="00C42EEA" w:rsidRDefault="00C42EEA" w:rsidP="00C42EEA">
      <w:pPr>
        <w:tabs>
          <w:tab w:val="left" w:pos="540"/>
        </w:tabs>
        <w:spacing w:line="260" w:lineRule="exact"/>
        <w:jc w:val="both"/>
        <w:rPr>
          <w:rFonts w:ascii="Arial" w:hAnsi="Arial" w:cs="Arial"/>
          <w:bCs/>
          <w:sz w:val="18"/>
          <w:szCs w:val="18"/>
        </w:rPr>
      </w:pPr>
      <w:r>
        <w:rPr>
          <w:rFonts w:ascii="Arial" w:hAnsi="Arial" w:cs="Arial"/>
          <w:bCs/>
          <w:sz w:val="18"/>
          <w:szCs w:val="18"/>
        </w:rPr>
        <w:t>Spółka na bieżąco podejmuje działania celem ograniczania ekspozycji na ryzyko, korzystając z dostępnej pomocy Państwa oraz mając na uwadze fakt, iż jednym z priorytetów jest zatrzymanie wykwalifikowanej kadry niezbędnej przy wznowieniu działalności i zapewnienie wysokiej jakości świadczonych usług.</w:t>
      </w:r>
    </w:p>
    <w:p w:rsidR="00C42EEA" w:rsidRDefault="00C42EEA" w:rsidP="00C42EEA">
      <w:pPr>
        <w:tabs>
          <w:tab w:val="left" w:pos="540"/>
        </w:tabs>
        <w:spacing w:line="260" w:lineRule="exact"/>
        <w:jc w:val="both"/>
        <w:rPr>
          <w:rFonts w:ascii="Arial" w:hAnsi="Arial" w:cs="Arial"/>
          <w:bCs/>
          <w:sz w:val="18"/>
          <w:szCs w:val="18"/>
        </w:rPr>
      </w:pPr>
      <w:r>
        <w:rPr>
          <w:rFonts w:ascii="Arial" w:hAnsi="Arial" w:cs="Arial"/>
          <w:bCs/>
          <w:sz w:val="18"/>
          <w:szCs w:val="18"/>
        </w:rPr>
        <w:t>Na bieżąco monitorowana jest sytuacja, celem zapewnienia bezpieczeństwa pracownikom.</w:t>
      </w:r>
    </w:p>
    <w:p w:rsidR="00C42EEA" w:rsidRDefault="00C42EEA" w:rsidP="00C42EEA">
      <w:pPr>
        <w:tabs>
          <w:tab w:val="left" w:pos="540"/>
        </w:tabs>
        <w:spacing w:line="260" w:lineRule="exact"/>
        <w:jc w:val="both"/>
        <w:rPr>
          <w:rFonts w:ascii="Arial" w:hAnsi="Arial" w:cs="Arial"/>
          <w:bCs/>
          <w:sz w:val="18"/>
          <w:szCs w:val="18"/>
        </w:rPr>
      </w:pPr>
    </w:p>
    <w:p w:rsidR="00C42EEA" w:rsidRDefault="00C42EEA" w:rsidP="00C42EEA">
      <w:pPr>
        <w:tabs>
          <w:tab w:val="left" w:pos="540"/>
        </w:tabs>
        <w:spacing w:line="260" w:lineRule="exact"/>
        <w:jc w:val="both"/>
        <w:rPr>
          <w:rFonts w:ascii="Arial" w:hAnsi="Arial" w:cs="Arial"/>
          <w:bCs/>
          <w:sz w:val="18"/>
          <w:szCs w:val="18"/>
        </w:rPr>
      </w:pPr>
      <w:r>
        <w:rPr>
          <w:rFonts w:ascii="Arial" w:hAnsi="Arial" w:cs="Arial"/>
          <w:bCs/>
          <w:sz w:val="18"/>
          <w:szCs w:val="18"/>
        </w:rPr>
        <w:t>W okresie ograniczonego prawa prowadzenia działalności hotelowej INTERFERIE S.A prowadzona jest aktywna polityka sprzedażowa i utrzymywane są kontakty ze stałymi klientami Spółki.</w:t>
      </w:r>
    </w:p>
    <w:p w:rsidR="00C42EEA" w:rsidRDefault="00C42EEA" w:rsidP="00C42EEA">
      <w:pPr>
        <w:tabs>
          <w:tab w:val="left" w:pos="540"/>
        </w:tabs>
        <w:spacing w:line="260" w:lineRule="exact"/>
        <w:jc w:val="both"/>
        <w:rPr>
          <w:rFonts w:ascii="Arial" w:hAnsi="Arial" w:cs="Arial"/>
          <w:bCs/>
          <w:sz w:val="18"/>
          <w:szCs w:val="18"/>
        </w:rPr>
      </w:pPr>
    </w:p>
    <w:p w:rsidR="00C42EEA" w:rsidRDefault="00C42EEA" w:rsidP="00C42EEA">
      <w:pPr>
        <w:tabs>
          <w:tab w:val="left" w:pos="540"/>
        </w:tabs>
        <w:spacing w:line="260" w:lineRule="exact"/>
        <w:jc w:val="both"/>
        <w:rPr>
          <w:rFonts w:ascii="Arial" w:hAnsi="Arial" w:cs="Arial"/>
          <w:bCs/>
          <w:sz w:val="18"/>
          <w:szCs w:val="18"/>
        </w:rPr>
      </w:pPr>
      <w:r>
        <w:rPr>
          <w:rFonts w:ascii="Arial" w:hAnsi="Arial" w:cs="Arial"/>
          <w:bCs/>
          <w:sz w:val="18"/>
          <w:szCs w:val="18"/>
        </w:rPr>
        <w:t xml:space="preserve">W 2021 roku zgodnie z art.15gga ustawy z dnia 2 marca 2020 r. o szczególnych rozwiązaniach </w:t>
      </w:r>
      <w:r>
        <w:rPr>
          <w:rFonts w:ascii="Arial" w:hAnsi="Arial" w:cs="Arial"/>
          <w:bCs/>
          <w:sz w:val="18"/>
          <w:szCs w:val="18"/>
        </w:rPr>
        <w:br/>
        <w:t>z zapobieganiem, przeciwdziałaniem i zwalczaniem COVID-19, innych chorób zakaźnych oraz wywołanych nimi sytuacji kryzysowych (Dz.U. z 2020r. poz.1842, z późn.zm), Dolnośląski Wojewódzki Urząd Pracy przekazał środki na wypłatę świadczeń na rzecz ochrony miejsc pracy w kwocie 589 tys. zł.</w:t>
      </w:r>
    </w:p>
    <w:p w:rsidR="00C42EEA" w:rsidRDefault="00C42EEA" w:rsidP="00C42EEA">
      <w:pPr>
        <w:tabs>
          <w:tab w:val="left" w:pos="540"/>
        </w:tabs>
        <w:spacing w:line="260" w:lineRule="exact"/>
        <w:jc w:val="both"/>
        <w:rPr>
          <w:rFonts w:ascii="Arial" w:hAnsi="Arial" w:cs="Arial"/>
          <w:bCs/>
          <w:sz w:val="18"/>
          <w:szCs w:val="18"/>
        </w:rPr>
      </w:pPr>
      <w:r>
        <w:rPr>
          <w:rFonts w:ascii="Arial" w:hAnsi="Arial" w:cs="Arial"/>
          <w:bCs/>
          <w:sz w:val="18"/>
          <w:szCs w:val="18"/>
        </w:rPr>
        <w:t>W 2020 roku, w związku ze znacznym spadkiem sprzedanych osobonocy, Spółka otrzymała dofinansowanie do wynagrodzeń pracowników wraz ze składkami na ubezpieczenia społeczne, zgodnie z art.15zzb ustawy</w:t>
      </w:r>
      <w:r>
        <w:rPr>
          <w:rFonts w:ascii="Arial" w:hAnsi="Arial" w:cs="Arial"/>
          <w:bCs/>
          <w:sz w:val="18"/>
          <w:szCs w:val="18"/>
        </w:rPr>
        <w:br/>
        <w:t xml:space="preserve"> o zmianie ustawy o szczególnych rozwiązaniach związanych z zapobieganiem, przeciwdziałaniem i zwalczaniem COVID-19, innych chorób zakaźnych oraz wywołanych nimi sytuacji kryzysowych oraz niektórych innych ustaw </w:t>
      </w:r>
      <w:r>
        <w:rPr>
          <w:rFonts w:ascii="Arial" w:hAnsi="Arial" w:cs="Arial"/>
          <w:bCs/>
          <w:sz w:val="18"/>
          <w:szCs w:val="18"/>
        </w:rPr>
        <w:br/>
        <w:t xml:space="preserve">w kwocie 1 777 tys. zł. </w:t>
      </w:r>
    </w:p>
    <w:p w:rsidR="00C42EEA" w:rsidRDefault="00C42EEA" w:rsidP="00C42EEA">
      <w:pPr>
        <w:tabs>
          <w:tab w:val="left" w:pos="540"/>
        </w:tabs>
        <w:spacing w:line="260" w:lineRule="exact"/>
        <w:jc w:val="both"/>
        <w:rPr>
          <w:rFonts w:ascii="Arial" w:hAnsi="Arial" w:cs="Arial"/>
          <w:bCs/>
          <w:sz w:val="18"/>
          <w:szCs w:val="18"/>
        </w:rPr>
      </w:pPr>
    </w:p>
    <w:p w:rsidR="00C64918" w:rsidRDefault="00C64918" w:rsidP="00C64918">
      <w:pPr>
        <w:tabs>
          <w:tab w:val="left" w:pos="540"/>
        </w:tabs>
        <w:spacing w:line="260" w:lineRule="exact"/>
        <w:jc w:val="both"/>
        <w:rPr>
          <w:rFonts w:ascii="Arial" w:hAnsi="Arial" w:cs="Arial"/>
          <w:bCs/>
          <w:sz w:val="18"/>
          <w:szCs w:val="18"/>
        </w:rPr>
      </w:pPr>
      <w:r>
        <w:rPr>
          <w:rFonts w:ascii="Arial" w:hAnsi="Arial" w:cs="Arial"/>
          <w:bCs/>
          <w:sz w:val="18"/>
          <w:szCs w:val="18"/>
        </w:rPr>
        <w:t xml:space="preserve">W 2020 roku INTERFERIE S.A. otrzymała pomoc de </w:t>
      </w:r>
      <w:proofErr w:type="spellStart"/>
      <w:r>
        <w:rPr>
          <w:rFonts w:ascii="Arial" w:hAnsi="Arial" w:cs="Arial"/>
          <w:bCs/>
          <w:sz w:val="18"/>
          <w:szCs w:val="18"/>
        </w:rPr>
        <w:t>minimis</w:t>
      </w:r>
      <w:proofErr w:type="spellEnd"/>
      <w:r>
        <w:rPr>
          <w:rFonts w:ascii="Arial" w:hAnsi="Arial" w:cs="Arial"/>
          <w:bCs/>
          <w:sz w:val="18"/>
          <w:szCs w:val="18"/>
        </w:rPr>
        <w:t xml:space="preserve"> w postaci odroczenia terminów płatności podatku od nieruchomości, za m-ce X, IV-VI 2020 r. w łącznej kwocie 180 tys. zł, do 30 września 2020 r. Spółka otrzymała zaświadczenia o uzyskanej pomocy de </w:t>
      </w:r>
      <w:proofErr w:type="spellStart"/>
      <w:r>
        <w:rPr>
          <w:rFonts w:ascii="Arial" w:hAnsi="Arial" w:cs="Arial"/>
          <w:bCs/>
          <w:sz w:val="18"/>
          <w:szCs w:val="18"/>
        </w:rPr>
        <w:t>minimis</w:t>
      </w:r>
      <w:proofErr w:type="spellEnd"/>
      <w:r>
        <w:rPr>
          <w:rFonts w:ascii="Arial" w:hAnsi="Arial" w:cs="Arial"/>
          <w:bCs/>
          <w:sz w:val="18"/>
          <w:szCs w:val="18"/>
        </w:rPr>
        <w:t xml:space="preserve"> na łączną kwotę opłaty prolongacyjnej, która nie została Spółce naliczona, w wysokości 3 tys. zł ( 696,96 euro). </w:t>
      </w:r>
    </w:p>
    <w:p w:rsidR="00C42EEA" w:rsidRDefault="005A5D35" w:rsidP="00C42EEA">
      <w:pPr>
        <w:tabs>
          <w:tab w:val="left" w:pos="540"/>
        </w:tabs>
        <w:spacing w:line="260" w:lineRule="exact"/>
        <w:jc w:val="both"/>
        <w:rPr>
          <w:rFonts w:ascii="Arial" w:hAnsi="Arial" w:cs="Arial"/>
          <w:bCs/>
          <w:sz w:val="18"/>
          <w:szCs w:val="18"/>
        </w:rPr>
      </w:pPr>
      <w:r>
        <w:rPr>
          <w:rFonts w:ascii="Arial" w:hAnsi="Arial" w:cs="Arial"/>
          <w:bCs/>
          <w:sz w:val="18"/>
          <w:szCs w:val="18"/>
        </w:rPr>
        <w:t xml:space="preserve">W </w:t>
      </w:r>
      <w:r w:rsidR="00C42EEA">
        <w:rPr>
          <w:rFonts w:ascii="Arial" w:hAnsi="Arial" w:cs="Arial"/>
          <w:bCs/>
          <w:sz w:val="18"/>
          <w:szCs w:val="18"/>
        </w:rPr>
        <w:t xml:space="preserve">2021 roku Spółka otrzymała pomoc de </w:t>
      </w:r>
      <w:proofErr w:type="spellStart"/>
      <w:r w:rsidR="00C42EEA">
        <w:rPr>
          <w:rFonts w:ascii="Arial" w:hAnsi="Arial" w:cs="Arial"/>
          <w:bCs/>
          <w:sz w:val="18"/>
          <w:szCs w:val="18"/>
        </w:rPr>
        <w:t>minimis</w:t>
      </w:r>
      <w:proofErr w:type="spellEnd"/>
      <w:r w:rsidR="00C42EEA">
        <w:rPr>
          <w:rFonts w:ascii="Arial" w:hAnsi="Arial" w:cs="Arial"/>
          <w:bCs/>
          <w:sz w:val="18"/>
          <w:szCs w:val="18"/>
        </w:rPr>
        <w:t xml:space="preserve"> w postaci pomniejszenia opłaty rocznej z tyt. użytkowania wieczystego nieruchomości w kwocie 9 tys. zł oraz zwolnienie z podatku od nieruchomości, w kwocie 62 tys. zł na podstawie art. 15</w:t>
      </w:r>
      <w:r w:rsidR="00C64918">
        <w:rPr>
          <w:rFonts w:ascii="Arial" w:hAnsi="Arial" w:cs="Arial"/>
          <w:bCs/>
          <w:sz w:val="18"/>
          <w:szCs w:val="18"/>
        </w:rPr>
        <w:t xml:space="preserve">p ust.1 w związku z art. 15 </w:t>
      </w:r>
      <w:proofErr w:type="spellStart"/>
      <w:r w:rsidR="00C64918">
        <w:rPr>
          <w:rFonts w:ascii="Arial" w:hAnsi="Arial" w:cs="Arial"/>
          <w:bCs/>
          <w:sz w:val="18"/>
          <w:szCs w:val="18"/>
        </w:rPr>
        <w:t>zzzh</w:t>
      </w:r>
      <w:proofErr w:type="spellEnd"/>
      <w:r w:rsidR="00C42EEA">
        <w:rPr>
          <w:rFonts w:ascii="Arial" w:hAnsi="Arial" w:cs="Arial"/>
          <w:bCs/>
          <w:sz w:val="18"/>
          <w:szCs w:val="18"/>
        </w:rPr>
        <w:t xml:space="preserve"> Ustawy z dnia 2 marca 2020 r. o szczególnych rozwiązaniach związanych z zapobieganiem, przeciwdziałaniem i zwalczaniem COVID-19 (…).</w:t>
      </w:r>
    </w:p>
    <w:p w:rsidR="00C42EEA" w:rsidRDefault="00C42EEA" w:rsidP="00C42EEA">
      <w:pPr>
        <w:tabs>
          <w:tab w:val="left" w:pos="540"/>
        </w:tabs>
        <w:spacing w:line="260" w:lineRule="exact"/>
        <w:jc w:val="both"/>
        <w:rPr>
          <w:rFonts w:ascii="Arial" w:hAnsi="Arial" w:cs="Arial"/>
          <w:bCs/>
          <w:sz w:val="18"/>
          <w:szCs w:val="18"/>
        </w:rPr>
      </w:pPr>
    </w:p>
    <w:p w:rsidR="00C42EEA" w:rsidRDefault="00C42EEA" w:rsidP="00C42EEA">
      <w:pPr>
        <w:tabs>
          <w:tab w:val="left" w:pos="540"/>
        </w:tabs>
        <w:spacing w:line="260" w:lineRule="exact"/>
        <w:jc w:val="both"/>
        <w:rPr>
          <w:rFonts w:ascii="Arial" w:hAnsi="Arial" w:cs="Arial"/>
          <w:bCs/>
          <w:sz w:val="18"/>
          <w:szCs w:val="18"/>
        </w:rPr>
      </w:pPr>
      <w:r>
        <w:rPr>
          <w:rFonts w:ascii="Arial" w:hAnsi="Arial" w:cs="Arial"/>
          <w:bCs/>
          <w:sz w:val="18"/>
          <w:szCs w:val="18"/>
        </w:rPr>
        <w:t xml:space="preserve">W bieżącym okresie, na podstawie przepisów art. 15 ja ustawy z dnia 2 marca 2020 r. o szczególnych rozwiązaniach związanych z zapobieganiem, przeciwdziałaniem i zwalczaniem COVID-19, innych chorób zakaźnych oraz wywołanych nimi sytuacji kryzysowych, Spółka uzyskała pomniejszenie opłaty rocznej z tytułu użytkowania wieczystego nieruchomości Skarbu Państwa za 2020 rok w kwocie 213 tys. zł </w:t>
      </w:r>
    </w:p>
    <w:p w:rsidR="00C42EEA" w:rsidRDefault="00C42EEA" w:rsidP="00C42EEA">
      <w:pPr>
        <w:tabs>
          <w:tab w:val="left" w:pos="540"/>
        </w:tabs>
        <w:spacing w:line="260" w:lineRule="exact"/>
        <w:jc w:val="both"/>
        <w:rPr>
          <w:rFonts w:ascii="Arial" w:hAnsi="Arial" w:cs="Arial"/>
          <w:bCs/>
          <w:sz w:val="18"/>
          <w:szCs w:val="18"/>
        </w:rPr>
      </w:pPr>
    </w:p>
    <w:p w:rsidR="00C42EEA" w:rsidRDefault="00C42EEA" w:rsidP="00C42EEA">
      <w:pPr>
        <w:tabs>
          <w:tab w:val="left" w:pos="540"/>
        </w:tabs>
        <w:spacing w:line="260" w:lineRule="exact"/>
        <w:jc w:val="both"/>
        <w:rPr>
          <w:rFonts w:ascii="Arial" w:hAnsi="Arial" w:cs="Arial"/>
          <w:bCs/>
          <w:sz w:val="18"/>
          <w:szCs w:val="18"/>
        </w:rPr>
      </w:pPr>
      <w:r>
        <w:rPr>
          <w:rFonts w:ascii="Arial" w:hAnsi="Arial" w:cs="Arial"/>
          <w:bCs/>
          <w:sz w:val="18"/>
          <w:szCs w:val="18"/>
        </w:rPr>
        <w:t xml:space="preserve">W marcu br. Spółka otrzymała wsparcie z Polskiego Funduszu Rozwoju w wysokości: 3.283 tys. zł. O podpisaniu UMOWY POŻYCZKI PREFERENCYJNEJ w Ramach Programu Rządowego Tarcza Finansowa Polskiego Funduszu Rozwoju dla Dużych Firm Zarząd poinformował Raportem bieżącym Nr 6/2021 z dnia 16 lutego 2021 roku. </w:t>
      </w:r>
      <w:r w:rsidR="00062BAB">
        <w:rPr>
          <w:rFonts w:ascii="Arial" w:hAnsi="Arial" w:cs="Arial"/>
          <w:bCs/>
          <w:sz w:val="18"/>
          <w:szCs w:val="18"/>
        </w:rPr>
        <w:t xml:space="preserve">Pożyczka została umorzona w miesiącu wrześniu br. w kwocie: </w:t>
      </w:r>
      <w:r w:rsidR="00EF5644">
        <w:rPr>
          <w:rFonts w:ascii="Arial" w:hAnsi="Arial" w:cs="Arial"/>
          <w:bCs/>
          <w:sz w:val="18"/>
          <w:szCs w:val="18"/>
        </w:rPr>
        <w:t>2.395,5 tys. zł.</w:t>
      </w:r>
    </w:p>
    <w:p w:rsidR="00C42EEA" w:rsidRDefault="00C42EEA" w:rsidP="00C42EEA">
      <w:pPr>
        <w:tabs>
          <w:tab w:val="left" w:pos="540"/>
        </w:tabs>
        <w:spacing w:line="260" w:lineRule="exact"/>
        <w:jc w:val="both"/>
        <w:rPr>
          <w:rFonts w:ascii="Arial" w:hAnsi="Arial" w:cs="Arial"/>
          <w:bCs/>
          <w:sz w:val="18"/>
          <w:szCs w:val="18"/>
        </w:rPr>
      </w:pPr>
    </w:p>
    <w:p w:rsidR="00C42EEA" w:rsidRDefault="00C42EEA" w:rsidP="00C42EEA">
      <w:pPr>
        <w:tabs>
          <w:tab w:val="left" w:pos="540"/>
        </w:tabs>
        <w:spacing w:line="260" w:lineRule="exact"/>
        <w:jc w:val="both"/>
        <w:rPr>
          <w:rFonts w:ascii="Arial" w:hAnsi="Arial" w:cs="Arial"/>
          <w:bCs/>
          <w:sz w:val="18"/>
          <w:szCs w:val="18"/>
        </w:rPr>
      </w:pPr>
      <w:r>
        <w:rPr>
          <w:rFonts w:ascii="Arial" w:hAnsi="Arial" w:cs="Arial"/>
          <w:bCs/>
          <w:sz w:val="18"/>
          <w:szCs w:val="18"/>
        </w:rPr>
        <w:lastRenderedPageBreak/>
        <w:t xml:space="preserve">Obecnie trudno jest jednak przewidzieć zakres i czas trwania epidemii oraz wpływ na sytuację finansową Spółki </w:t>
      </w:r>
      <w:r w:rsidR="00D85679">
        <w:rPr>
          <w:rFonts w:ascii="Arial" w:hAnsi="Arial" w:cs="Arial"/>
          <w:bCs/>
          <w:sz w:val="18"/>
          <w:szCs w:val="18"/>
        </w:rPr>
        <w:br/>
      </w:r>
      <w:r>
        <w:rPr>
          <w:rFonts w:ascii="Arial" w:hAnsi="Arial" w:cs="Arial"/>
          <w:bCs/>
          <w:sz w:val="18"/>
          <w:szCs w:val="18"/>
        </w:rPr>
        <w:t xml:space="preserve">w całym roku 2021. Emitent podjął wszystkie niezbędne działania mające na celu ochronę Klientów </w:t>
      </w:r>
      <w:r w:rsidR="00D85679">
        <w:rPr>
          <w:rFonts w:ascii="Arial" w:hAnsi="Arial" w:cs="Arial"/>
          <w:bCs/>
          <w:sz w:val="18"/>
          <w:szCs w:val="18"/>
        </w:rPr>
        <w:br/>
      </w:r>
      <w:r>
        <w:rPr>
          <w:rFonts w:ascii="Arial" w:hAnsi="Arial" w:cs="Arial"/>
          <w:bCs/>
          <w:sz w:val="18"/>
          <w:szCs w:val="18"/>
        </w:rPr>
        <w:t xml:space="preserve">i Pracowników Spółki. Spółka zastosowała się do zaleceń dla obiektów hotelowych w związku z potencjalnym zagrożeniem zarażeniem </w:t>
      </w:r>
      <w:proofErr w:type="spellStart"/>
      <w:r>
        <w:rPr>
          <w:rFonts w:ascii="Arial" w:hAnsi="Arial" w:cs="Arial"/>
          <w:bCs/>
          <w:sz w:val="18"/>
          <w:szCs w:val="18"/>
        </w:rPr>
        <w:t>koronawirusem</w:t>
      </w:r>
      <w:proofErr w:type="spellEnd"/>
      <w:r>
        <w:rPr>
          <w:rFonts w:ascii="Arial" w:hAnsi="Arial" w:cs="Arial"/>
          <w:bCs/>
          <w:sz w:val="18"/>
          <w:szCs w:val="18"/>
        </w:rPr>
        <w:t xml:space="preserve"> opracowanych przez Główny Inspektorat Sanitarny, w uzgodnieniu </w:t>
      </w:r>
      <w:r>
        <w:rPr>
          <w:rFonts w:ascii="Arial" w:hAnsi="Arial" w:cs="Arial"/>
          <w:bCs/>
          <w:sz w:val="18"/>
          <w:szCs w:val="18"/>
        </w:rPr>
        <w:br/>
        <w:t>z Ministerstwem Zdrowia.</w:t>
      </w:r>
    </w:p>
    <w:p w:rsidR="005D3822" w:rsidRPr="003D5410" w:rsidRDefault="005D3822" w:rsidP="005D3822">
      <w:pPr>
        <w:tabs>
          <w:tab w:val="left" w:pos="540"/>
        </w:tabs>
        <w:spacing w:line="260" w:lineRule="exact"/>
        <w:jc w:val="both"/>
        <w:rPr>
          <w:rFonts w:ascii="Arial" w:hAnsi="Arial" w:cs="Arial"/>
          <w:sz w:val="18"/>
          <w:szCs w:val="18"/>
        </w:rPr>
      </w:pPr>
    </w:p>
    <w:p w:rsidR="005D3822" w:rsidRDefault="005D3822" w:rsidP="005D3822">
      <w:pPr>
        <w:tabs>
          <w:tab w:val="left" w:pos="540"/>
        </w:tabs>
        <w:spacing w:line="260" w:lineRule="exact"/>
        <w:jc w:val="both"/>
        <w:rPr>
          <w:rFonts w:ascii="Arial" w:hAnsi="Arial" w:cs="Arial"/>
          <w:b/>
          <w:bCs/>
          <w:sz w:val="18"/>
          <w:szCs w:val="18"/>
        </w:rPr>
      </w:pPr>
    </w:p>
    <w:p w:rsidR="005D3822" w:rsidRDefault="005D3822" w:rsidP="005D3822">
      <w:pPr>
        <w:tabs>
          <w:tab w:val="left" w:pos="540"/>
        </w:tabs>
        <w:spacing w:line="260" w:lineRule="exact"/>
        <w:jc w:val="both"/>
        <w:rPr>
          <w:rFonts w:ascii="Arial" w:hAnsi="Arial" w:cs="Arial"/>
          <w:b/>
          <w:bCs/>
          <w:sz w:val="18"/>
          <w:szCs w:val="18"/>
        </w:rPr>
      </w:pPr>
    </w:p>
    <w:p w:rsidR="005D3822" w:rsidRDefault="005D3822" w:rsidP="005D3822">
      <w:pPr>
        <w:tabs>
          <w:tab w:val="left" w:pos="540"/>
        </w:tabs>
        <w:spacing w:line="260" w:lineRule="exact"/>
        <w:jc w:val="both"/>
        <w:rPr>
          <w:rFonts w:ascii="Arial" w:hAnsi="Arial" w:cs="Arial"/>
          <w:b/>
          <w:bCs/>
          <w:sz w:val="18"/>
          <w:szCs w:val="18"/>
        </w:rPr>
      </w:pPr>
    </w:p>
    <w:p w:rsidR="008B55FB" w:rsidRDefault="008B55FB" w:rsidP="005D3822">
      <w:pPr>
        <w:tabs>
          <w:tab w:val="left" w:pos="540"/>
        </w:tabs>
        <w:spacing w:line="260" w:lineRule="exact"/>
        <w:jc w:val="both"/>
        <w:rPr>
          <w:rFonts w:ascii="Arial" w:hAnsi="Arial" w:cs="Arial"/>
          <w:b/>
          <w:bCs/>
          <w:sz w:val="18"/>
          <w:szCs w:val="18"/>
        </w:rPr>
      </w:pPr>
    </w:p>
    <w:p w:rsidR="008B55FB" w:rsidRDefault="008B55FB" w:rsidP="005D3822">
      <w:pPr>
        <w:tabs>
          <w:tab w:val="left" w:pos="540"/>
        </w:tabs>
        <w:spacing w:line="260" w:lineRule="exact"/>
        <w:jc w:val="both"/>
        <w:rPr>
          <w:rFonts w:ascii="Arial" w:hAnsi="Arial" w:cs="Arial"/>
          <w:b/>
          <w:bCs/>
          <w:sz w:val="18"/>
          <w:szCs w:val="18"/>
        </w:rPr>
      </w:pPr>
    </w:p>
    <w:p w:rsidR="008B55FB" w:rsidRDefault="008B55FB" w:rsidP="005D3822">
      <w:pPr>
        <w:tabs>
          <w:tab w:val="left" w:pos="540"/>
        </w:tabs>
        <w:spacing w:line="260" w:lineRule="exact"/>
        <w:jc w:val="both"/>
        <w:rPr>
          <w:rFonts w:ascii="Arial" w:hAnsi="Arial" w:cs="Arial"/>
          <w:b/>
          <w:bCs/>
          <w:sz w:val="18"/>
          <w:szCs w:val="18"/>
        </w:rPr>
      </w:pPr>
    </w:p>
    <w:p w:rsidR="0014561F" w:rsidRDefault="0014561F" w:rsidP="005D3822">
      <w:pPr>
        <w:tabs>
          <w:tab w:val="left" w:pos="540"/>
        </w:tabs>
        <w:spacing w:line="260" w:lineRule="exact"/>
        <w:jc w:val="both"/>
        <w:rPr>
          <w:rFonts w:ascii="Arial" w:hAnsi="Arial" w:cs="Arial"/>
          <w:b/>
          <w:bCs/>
          <w:sz w:val="18"/>
          <w:szCs w:val="18"/>
        </w:rPr>
      </w:pPr>
    </w:p>
    <w:p w:rsidR="00F06708" w:rsidRDefault="00F06708" w:rsidP="005D3822">
      <w:pPr>
        <w:tabs>
          <w:tab w:val="left" w:pos="540"/>
        </w:tabs>
        <w:spacing w:line="260" w:lineRule="exact"/>
        <w:jc w:val="both"/>
        <w:rPr>
          <w:rFonts w:ascii="Arial" w:hAnsi="Arial" w:cs="Arial"/>
          <w:b/>
          <w:bCs/>
          <w:sz w:val="18"/>
          <w:szCs w:val="18"/>
        </w:rPr>
      </w:pPr>
    </w:p>
    <w:p w:rsidR="00F06708" w:rsidRDefault="00F06708" w:rsidP="005D3822">
      <w:pPr>
        <w:tabs>
          <w:tab w:val="left" w:pos="540"/>
        </w:tabs>
        <w:spacing w:line="260" w:lineRule="exact"/>
        <w:jc w:val="both"/>
        <w:rPr>
          <w:rFonts w:ascii="Arial" w:hAnsi="Arial" w:cs="Arial"/>
          <w:b/>
          <w:bCs/>
          <w:sz w:val="18"/>
          <w:szCs w:val="18"/>
        </w:rPr>
      </w:pPr>
    </w:p>
    <w:p w:rsidR="00F06708" w:rsidRDefault="00F06708" w:rsidP="005D3822">
      <w:pPr>
        <w:tabs>
          <w:tab w:val="left" w:pos="540"/>
        </w:tabs>
        <w:spacing w:line="260" w:lineRule="exact"/>
        <w:jc w:val="both"/>
        <w:rPr>
          <w:rFonts w:ascii="Arial" w:hAnsi="Arial" w:cs="Arial"/>
          <w:b/>
          <w:bCs/>
          <w:sz w:val="18"/>
          <w:szCs w:val="18"/>
        </w:rPr>
      </w:pPr>
    </w:p>
    <w:p w:rsidR="00F06708" w:rsidRDefault="00F06708" w:rsidP="005D3822">
      <w:pPr>
        <w:tabs>
          <w:tab w:val="left" w:pos="540"/>
        </w:tabs>
        <w:spacing w:line="260" w:lineRule="exact"/>
        <w:jc w:val="both"/>
        <w:rPr>
          <w:rFonts w:ascii="Arial" w:hAnsi="Arial" w:cs="Arial"/>
          <w:b/>
          <w:bCs/>
          <w:sz w:val="18"/>
          <w:szCs w:val="18"/>
        </w:rPr>
      </w:pPr>
    </w:p>
    <w:p w:rsidR="00F06708" w:rsidRDefault="00F06708" w:rsidP="005D3822">
      <w:pPr>
        <w:tabs>
          <w:tab w:val="left" w:pos="540"/>
        </w:tabs>
        <w:spacing w:line="260" w:lineRule="exact"/>
        <w:jc w:val="both"/>
        <w:rPr>
          <w:rFonts w:ascii="Arial" w:hAnsi="Arial" w:cs="Arial"/>
          <w:b/>
          <w:bCs/>
          <w:sz w:val="18"/>
          <w:szCs w:val="18"/>
        </w:rPr>
      </w:pPr>
    </w:p>
    <w:p w:rsidR="00F06708" w:rsidRDefault="00F06708" w:rsidP="005D3822">
      <w:pPr>
        <w:tabs>
          <w:tab w:val="left" w:pos="540"/>
        </w:tabs>
        <w:spacing w:line="260" w:lineRule="exact"/>
        <w:jc w:val="both"/>
        <w:rPr>
          <w:rFonts w:ascii="Arial" w:hAnsi="Arial" w:cs="Arial"/>
          <w:b/>
          <w:bCs/>
          <w:sz w:val="18"/>
          <w:szCs w:val="18"/>
        </w:rPr>
      </w:pPr>
    </w:p>
    <w:p w:rsidR="00F06708" w:rsidRDefault="00F06708" w:rsidP="005D3822">
      <w:pPr>
        <w:tabs>
          <w:tab w:val="left" w:pos="540"/>
        </w:tabs>
        <w:spacing w:line="260" w:lineRule="exact"/>
        <w:jc w:val="both"/>
        <w:rPr>
          <w:rFonts w:ascii="Arial" w:hAnsi="Arial" w:cs="Arial"/>
          <w:b/>
          <w:bCs/>
          <w:sz w:val="18"/>
          <w:szCs w:val="18"/>
        </w:rPr>
      </w:pPr>
    </w:p>
    <w:p w:rsidR="00F06708" w:rsidRDefault="00F06708" w:rsidP="005D3822">
      <w:pPr>
        <w:tabs>
          <w:tab w:val="left" w:pos="540"/>
        </w:tabs>
        <w:spacing w:line="260" w:lineRule="exact"/>
        <w:jc w:val="both"/>
        <w:rPr>
          <w:rFonts w:ascii="Arial" w:hAnsi="Arial" w:cs="Arial"/>
          <w:b/>
          <w:bCs/>
          <w:sz w:val="18"/>
          <w:szCs w:val="18"/>
        </w:rPr>
      </w:pPr>
    </w:p>
    <w:p w:rsidR="00F06708" w:rsidRDefault="00F06708" w:rsidP="005D3822">
      <w:pPr>
        <w:tabs>
          <w:tab w:val="left" w:pos="540"/>
        </w:tabs>
        <w:spacing w:line="260" w:lineRule="exact"/>
        <w:jc w:val="both"/>
        <w:rPr>
          <w:rFonts w:ascii="Arial" w:hAnsi="Arial" w:cs="Arial"/>
          <w:b/>
          <w:bCs/>
          <w:sz w:val="18"/>
          <w:szCs w:val="18"/>
        </w:rPr>
      </w:pPr>
    </w:p>
    <w:p w:rsidR="00F06708" w:rsidRDefault="00F06708" w:rsidP="005D3822">
      <w:pPr>
        <w:tabs>
          <w:tab w:val="left" w:pos="540"/>
        </w:tabs>
        <w:spacing w:line="260" w:lineRule="exact"/>
        <w:jc w:val="both"/>
        <w:rPr>
          <w:rFonts w:ascii="Arial" w:hAnsi="Arial" w:cs="Arial"/>
          <w:b/>
          <w:bCs/>
          <w:sz w:val="18"/>
          <w:szCs w:val="18"/>
        </w:rPr>
      </w:pPr>
    </w:p>
    <w:p w:rsidR="00F06708" w:rsidRDefault="00F06708" w:rsidP="005D3822">
      <w:pPr>
        <w:tabs>
          <w:tab w:val="left" w:pos="540"/>
        </w:tabs>
        <w:spacing w:line="260" w:lineRule="exact"/>
        <w:jc w:val="both"/>
        <w:rPr>
          <w:rFonts w:ascii="Arial" w:hAnsi="Arial" w:cs="Arial"/>
          <w:b/>
          <w:bCs/>
          <w:sz w:val="18"/>
          <w:szCs w:val="18"/>
        </w:rPr>
      </w:pPr>
    </w:p>
    <w:p w:rsidR="00F06708" w:rsidRDefault="00F06708" w:rsidP="005D3822">
      <w:pPr>
        <w:tabs>
          <w:tab w:val="left" w:pos="540"/>
        </w:tabs>
        <w:spacing w:line="260" w:lineRule="exact"/>
        <w:jc w:val="both"/>
        <w:rPr>
          <w:rFonts w:ascii="Arial" w:hAnsi="Arial" w:cs="Arial"/>
          <w:b/>
          <w:bCs/>
          <w:sz w:val="18"/>
          <w:szCs w:val="18"/>
        </w:rPr>
      </w:pPr>
    </w:p>
    <w:p w:rsidR="00F06708" w:rsidRDefault="00F06708" w:rsidP="005D3822">
      <w:pPr>
        <w:tabs>
          <w:tab w:val="left" w:pos="540"/>
        </w:tabs>
        <w:spacing w:line="260" w:lineRule="exact"/>
        <w:jc w:val="both"/>
        <w:rPr>
          <w:rFonts w:ascii="Arial" w:hAnsi="Arial" w:cs="Arial"/>
          <w:b/>
          <w:bCs/>
          <w:sz w:val="18"/>
          <w:szCs w:val="18"/>
        </w:rPr>
      </w:pPr>
    </w:p>
    <w:p w:rsidR="005D3822" w:rsidRDefault="005D3822" w:rsidP="005D3822">
      <w:pPr>
        <w:tabs>
          <w:tab w:val="left" w:pos="540"/>
        </w:tabs>
        <w:spacing w:line="260" w:lineRule="exact"/>
        <w:jc w:val="both"/>
        <w:rPr>
          <w:rFonts w:ascii="Arial" w:hAnsi="Arial" w:cs="Arial"/>
          <w:b/>
          <w:bCs/>
          <w:sz w:val="18"/>
          <w:szCs w:val="18"/>
        </w:rPr>
      </w:pPr>
    </w:p>
    <w:p w:rsidR="005D3822" w:rsidRPr="00F31D8E" w:rsidRDefault="005D3822" w:rsidP="005D3822">
      <w:pPr>
        <w:tabs>
          <w:tab w:val="left" w:pos="540"/>
        </w:tabs>
        <w:spacing w:line="260" w:lineRule="exact"/>
        <w:jc w:val="both"/>
        <w:rPr>
          <w:rFonts w:ascii="Arial" w:hAnsi="Arial" w:cs="Arial"/>
          <w:b/>
          <w:bCs/>
          <w:sz w:val="18"/>
          <w:szCs w:val="18"/>
        </w:rPr>
      </w:pPr>
      <w:r w:rsidRPr="00F31D8E">
        <w:rPr>
          <w:rFonts w:ascii="Arial" w:hAnsi="Arial" w:cs="Arial"/>
          <w:b/>
          <w:bCs/>
          <w:sz w:val="18"/>
          <w:szCs w:val="18"/>
        </w:rPr>
        <w:t>Zarząd INTERFERIE S.A.</w:t>
      </w:r>
    </w:p>
    <w:p w:rsidR="005D3822" w:rsidRDefault="005D3822" w:rsidP="005D3822">
      <w:pPr>
        <w:tabs>
          <w:tab w:val="left" w:pos="540"/>
        </w:tabs>
        <w:spacing w:line="260" w:lineRule="exact"/>
        <w:jc w:val="both"/>
        <w:rPr>
          <w:rFonts w:ascii="Arial" w:hAnsi="Arial" w:cs="Arial"/>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5D3822" w:rsidRPr="00BA1953" w:rsidTr="00FB7083">
        <w:tc>
          <w:tcPr>
            <w:tcW w:w="2303" w:type="dxa"/>
          </w:tcPr>
          <w:p w:rsidR="005D3822" w:rsidRPr="00BA1953" w:rsidRDefault="005D3822" w:rsidP="00FB7083">
            <w:pPr>
              <w:tabs>
                <w:tab w:val="left" w:pos="540"/>
              </w:tabs>
              <w:spacing w:line="260" w:lineRule="exact"/>
              <w:jc w:val="both"/>
              <w:rPr>
                <w:rFonts w:ascii="Arial" w:hAnsi="Arial" w:cs="Arial"/>
                <w:b/>
                <w:bCs/>
                <w:sz w:val="18"/>
                <w:szCs w:val="18"/>
              </w:rPr>
            </w:pPr>
            <w:r w:rsidRPr="00BA1953">
              <w:rPr>
                <w:rFonts w:ascii="Arial" w:hAnsi="Arial" w:cs="Arial"/>
                <w:b/>
                <w:bCs/>
                <w:sz w:val="18"/>
                <w:szCs w:val="18"/>
              </w:rPr>
              <w:t>Miejscowość i data</w:t>
            </w:r>
          </w:p>
        </w:tc>
        <w:tc>
          <w:tcPr>
            <w:tcW w:w="2303" w:type="dxa"/>
          </w:tcPr>
          <w:p w:rsidR="005D3822" w:rsidRPr="00BA1953" w:rsidRDefault="005D3822" w:rsidP="00FB7083">
            <w:pPr>
              <w:tabs>
                <w:tab w:val="left" w:pos="540"/>
              </w:tabs>
              <w:spacing w:line="260" w:lineRule="exact"/>
              <w:jc w:val="both"/>
              <w:rPr>
                <w:rFonts w:ascii="Arial" w:hAnsi="Arial" w:cs="Arial"/>
                <w:b/>
                <w:bCs/>
                <w:sz w:val="18"/>
                <w:szCs w:val="18"/>
              </w:rPr>
            </w:pPr>
            <w:r w:rsidRPr="00BA1953">
              <w:rPr>
                <w:rFonts w:ascii="Arial" w:hAnsi="Arial" w:cs="Arial"/>
                <w:b/>
                <w:bCs/>
                <w:sz w:val="18"/>
                <w:szCs w:val="18"/>
              </w:rPr>
              <w:t>Funkcja</w:t>
            </w:r>
          </w:p>
        </w:tc>
        <w:tc>
          <w:tcPr>
            <w:tcW w:w="2303" w:type="dxa"/>
          </w:tcPr>
          <w:p w:rsidR="005D3822" w:rsidRPr="00BA1953" w:rsidRDefault="005D3822" w:rsidP="00FB7083">
            <w:pPr>
              <w:tabs>
                <w:tab w:val="left" w:pos="540"/>
              </w:tabs>
              <w:spacing w:line="260" w:lineRule="exact"/>
              <w:jc w:val="both"/>
              <w:rPr>
                <w:rFonts w:ascii="Arial" w:hAnsi="Arial" w:cs="Arial"/>
                <w:b/>
                <w:bCs/>
                <w:sz w:val="18"/>
                <w:szCs w:val="18"/>
              </w:rPr>
            </w:pPr>
            <w:r w:rsidRPr="00BA1953">
              <w:rPr>
                <w:rFonts w:ascii="Arial" w:hAnsi="Arial" w:cs="Arial"/>
                <w:b/>
                <w:bCs/>
                <w:sz w:val="18"/>
                <w:szCs w:val="18"/>
              </w:rPr>
              <w:t>Imię i nazwisko</w:t>
            </w:r>
          </w:p>
        </w:tc>
        <w:tc>
          <w:tcPr>
            <w:tcW w:w="2303" w:type="dxa"/>
          </w:tcPr>
          <w:p w:rsidR="005D3822" w:rsidRPr="00BA1953" w:rsidRDefault="005D3822" w:rsidP="00FB7083">
            <w:pPr>
              <w:tabs>
                <w:tab w:val="left" w:pos="540"/>
              </w:tabs>
              <w:spacing w:line="260" w:lineRule="exact"/>
              <w:jc w:val="both"/>
              <w:rPr>
                <w:rFonts w:ascii="Arial" w:hAnsi="Arial" w:cs="Arial"/>
                <w:b/>
                <w:bCs/>
                <w:sz w:val="18"/>
                <w:szCs w:val="18"/>
              </w:rPr>
            </w:pPr>
            <w:r w:rsidRPr="00BA1953">
              <w:rPr>
                <w:rFonts w:ascii="Arial" w:hAnsi="Arial" w:cs="Arial"/>
                <w:b/>
                <w:bCs/>
                <w:sz w:val="18"/>
                <w:szCs w:val="18"/>
              </w:rPr>
              <w:t>Podpis</w:t>
            </w:r>
          </w:p>
        </w:tc>
      </w:tr>
      <w:tr w:rsidR="005D3822" w:rsidRPr="00BA1953" w:rsidTr="00FB7083">
        <w:trPr>
          <w:trHeight w:val="745"/>
        </w:trPr>
        <w:tc>
          <w:tcPr>
            <w:tcW w:w="2303" w:type="dxa"/>
            <w:vAlign w:val="center"/>
          </w:tcPr>
          <w:p w:rsidR="005D3822" w:rsidRPr="005A5D35" w:rsidRDefault="005D3822" w:rsidP="005A5D35">
            <w:pPr>
              <w:tabs>
                <w:tab w:val="left" w:pos="540"/>
              </w:tabs>
              <w:spacing w:line="260" w:lineRule="exact"/>
              <w:rPr>
                <w:rFonts w:ascii="Arial" w:hAnsi="Arial" w:cs="Arial"/>
                <w:bCs/>
                <w:sz w:val="18"/>
                <w:szCs w:val="18"/>
              </w:rPr>
            </w:pPr>
            <w:r w:rsidRPr="005A5D35">
              <w:rPr>
                <w:rFonts w:ascii="Arial" w:hAnsi="Arial" w:cs="Arial"/>
                <w:bCs/>
                <w:sz w:val="18"/>
                <w:szCs w:val="18"/>
              </w:rPr>
              <w:t xml:space="preserve">Legnica, </w:t>
            </w:r>
            <w:r w:rsidR="005A5D35" w:rsidRPr="005A5D35">
              <w:rPr>
                <w:rFonts w:ascii="Arial" w:hAnsi="Arial" w:cs="Arial"/>
                <w:bCs/>
                <w:sz w:val="18"/>
                <w:szCs w:val="18"/>
              </w:rPr>
              <w:t>22</w:t>
            </w:r>
            <w:r w:rsidRPr="005A5D35">
              <w:rPr>
                <w:rFonts w:ascii="Arial" w:hAnsi="Arial" w:cs="Arial"/>
                <w:bCs/>
                <w:sz w:val="18"/>
                <w:szCs w:val="18"/>
              </w:rPr>
              <w:t>.10.202</w:t>
            </w:r>
            <w:r w:rsidR="008322CC" w:rsidRPr="005A5D35">
              <w:rPr>
                <w:rFonts w:ascii="Arial" w:hAnsi="Arial" w:cs="Arial"/>
                <w:bCs/>
                <w:sz w:val="18"/>
                <w:szCs w:val="18"/>
              </w:rPr>
              <w:t>1</w:t>
            </w:r>
            <w:r w:rsidRPr="005A5D35">
              <w:rPr>
                <w:rFonts w:ascii="Arial" w:hAnsi="Arial" w:cs="Arial"/>
                <w:bCs/>
                <w:sz w:val="18"/>
                <w:szCs w:val="18"/>
              </w:rPr>
              <w:t xml:space="preserve"> r.</w:t>
            </w:r>
          </w:p>
        </w:tc>
        <w:tc>
          <w:tcPr>
            <w:tcW w:w="2303" w:type="dxa"/>
            <w:vAlign w:val="center"/>
          </w:tcPr>
          <w:p w:rsidR="005D3822" w:rsidRPr="00BA1953" w:rsidRDefault="005D3822" w:rsidP="00FB7083">
            <w:pPr>
              <w:tabs>
                <w:tab w:val="left" w:pos="540"/>
              </w:tabs>
              <w:spacing w:line="260" w:lineRule="exact"/>
              <w:rPr>
                <w:rFonts w:ascii="Arial" w:hAnsi="Arial" w:cs="Arial"/>
                <w:bCs/>
                <w:sz w:val="18"/>
                <w:szCs w:val="18"/>
              </w:rPr>
            </w:pPr>
            <w:r w:rsidRPr="00BA1953">
              <w:rPr>
                <w:rFonts w:ascii="Arial" w:hAnsi="Arial" w:cs="Arial"/>
                <w:bCs/>
                <w:sz w:val="18"/>
                <w:szCs w:val="18"/>
              </w:rPr>
              <w:t>Prezes Zarządu</w:t>
            </w:r>
          </w:p>
        </w:tc>
        <w:tc>
          <w:tcPr>
            <w:tcW w:w="2303" w:type="dxa"/>
            <w:vAlign w:val="center"/>
          </w:tcPr>
          <w:p w:rsidR="005D3822" w:rsidRPr="00BA1953" w:rsidRDefault="005D3822" w:rsidP="00FB7083">
            <w:pPr>
              <w:tabs>
                <w:tab w:val="left" w:pos="540"/>
              </w:tabs>
              <w:spacing w:line="260" w:lineRule="exact"/>
              <w:rPr>
                <w:rFonts w:ascii="Arial" w:hAnsi="Arial" w:cs="Arial"/>
                <w:bCs/>
                <w:sz w:val="18"/>
                <w:szCs w:val="18"/>
              </w:rPr>
            </w:pPr>
            <w:r w:rsidRPr="00BA1953">
              <w:rPr>
                <w:rFonts w:ascii="Arial" w:hAnsi="Arial" w:cs="Arial"/>
                <w:bCs/>
                <w:sz w:val="18"/>
                <w:szCs w:val="18"/>
              </w:rPr>
              <w:t>Łukasz Ciołek</w:t>
            </w:r>
          </w:p>
        </w:tc>
        <w:tc>
          <w:tcPr>
            <w:tcW w:w="2303" w:type="dxa"/>
            <w:vAlign w:val="center"/>
          </w:tcPr>
          <w:p w:rsidR="005D3822" w:rsidRPr="00BA1953" w:rsidRDefault="005D3822" w:rsidP="00FB7083">
            <w:pPr>
              <w:tabs>
                <w:tab w:val="left" w:pos="540"/>
              </w:tabs>
              <w:spacing w:line="260" w:lineRule="exact"/>
              <w:rPr>
                <w:rFonts w:ascii="Arial" w:hAnsi="Arial" w:cs="Arial"/>
                <w:bCs/>
                <w:sz w:val="18"/>
                <w:szCs w:val="18"/>
              </w:rPr>
            </w:pPr>
          </w:p>
        </w:tc>
      </w:tr>
      <w:tr w:rsidR="005D3822" w:rsidRPr="007C67B4" w:rsidTr="00FB7083">
        <w:trPr>
          <w:trHeight w:val="737"/>
        </w:trPr>
        <w:tc>
          <w:tcPr>
            <w:tcW w:w="2303" w:type="dxa"/>
            <w:vAlign w:val="center"/>
          </w:tcPr>
          <w:p w:rsidR="005D3822" w:rsidRPr="005A5D35" w:rsidRDefault="005D3822" w:rsidP="005A5D35">
            <w:pPr>
              <w:tabs>
                <w:tab w:val="left" w:pos="540"/>
              </w:tabs>
              <w:spacing w:line="260" w:lineRule="exact"/>
              <w:rPr>
                <w:rFonts w:ascii="Arial" w:hAnsi="Arial" w:cs="Arial"/>
                <w:bCs/>
                <w:sz w:val="18"/>
                <w:szCs w:val="18"/>
              </w:rPr>
            </w:pPr>
            <w:r w:rsidRPr="005A5D35">
              <w:rPr>
                <w:rFonts w:ascii="Arial" w:hAnsi="Arial" w:cs="Arial"/>
                <w:bCs/>
                <w:sz w:val="18"/>
                <w:szCs w:val="18"/>
              </w:rPr>
              <w:t xml:space="preserve">Legnica, </w:t>
            </w:r>
            <w:r w:rsidR="005A5D35" w:rsidRPr="005A5D35">
              <w:rPr>
                <w:rFonts w:ascii="Arial" w:hAnsi="Arial" w:cs="Arial"/>
                <w:bCs/>
                <w:sz w:val="18"/>
                <w:szCs w:val="18"/>
              </w:rPr>
              <w:t>22</w:t>
            </w:r>
            <w:r w:rsidRPr="005A5D35">
              <w:rPr>
                <w:rFonts w:ascii="Arial" w:hAnsi="Arial" w:cs="Arial"/>
                <w:bCs/>
                <w:sz w:val="18"/>
                <w:szCs w:val="18"/>
              </w:rPr>
              <w:t>.10.202</w:t>
            </w:r>
            <w:r w:rsidR="008322CC" w:rsidRPr="005A5D35">
              <w:rPr>
                <w:rFonts w:ascii="Arial" w:hAnsi="Arial" w:cs="Arial"/>
                <w:bCs/>
                <w:sz w:val="18"/>
                <w:szCs w:val="18"/>
              </w:rPr>
              <w:t>1</w:t>
            </w:r>
            <w:r w:rsidRPr="005A5D35">
              <w:rPr>
                <w:rFonts w:ascii="Arial" w:hAnsi="Arial" w:cs="Arial"/>
                <w:bCs/>
                <w:sz w:val="18"/>
                <w:szCs w:val="18"/>
              </w:rPr>
              <w:t xml:space="preserve"> r.</w:t>
            </w:r>
          </w:p>
        </w:tc>
        <w:tc>
          <w:tcPr>
            <w:tcW w:w="2303" w:type="dxa"/>
            <w:vAlign w:val="center"/>
          </w:tcPr>
          <w:p w:rsidR="005D3822" w:rsidRPr="00BA1953" w:rsidRDefault="005D3822" w:rsidP="00FB7083">
            <w:pPr>
              <w:tabs>
                <w:tab w:val="left" w:pos="540"/>
              </w:tabs>
              <w:spacing w:line="260" w:lineRule="exact"/>
              <w:rPr>
                <w:rFonts w:ascii="Arial" w:hAnsi="Arial" w:cs="Arial"/>
                <w:bCs/>
                <w:sz w:val="18"/>
                <w:szCs w:val="18"/>
              </w:rPr>
            </w:pPr>
            <w:r w:rsidRPr="00BA1953">
              <w:rPr>
                <w:rFonts w:ascii="Arial" w:hAnsi="Arial" w:cs="Arial"/>
                <w:bCs/>
                <w:sz w:val="18"/>
                <w:szCs w:val="18"/>
              </w:rPr>
              <w:t>Wiceprezes Zarządu</w:t>
            </w:r>
          </w:p>
        </w:tc>
        <w:tc>
          <w:tcPr>
            <w:tcW w:w="2303" w:type="dxa"/>
            <w:vAlign w:val="center"/>
          </w:tcPr>
          <w:p w:rsidR="005D3822" w:rsidRPr="007C67B4" w:rsidRDefault="005D3822" w:rsidP="00FB7083">
            <w:pPr>
              <w:tabs>
                <w:tab w:val="left" w:pos="540"/>
              </w:tabs>
              <w:spacing w:line="260" w:lineRule="exact"/>
              <w:rPr>
                <w:rFonts w:ascii="Arial" w:hAnsi="Arial" w:cs="Arial"/>
                <w:bCs/>
                <w:sz w:val="18"/>
                <w:szCs w:val="18"/>
              </w:rPr>
            </w:pPr>
            <w:r w:rsidRPr="00BA1953">
              <w:rPr>
                <w:rFonts w:ascii="Arial" w:hAnsi="Arial" w:cs="Arial"/>
                <w:bCs/>
                <w:sz w:val="18"/>
                <w:szCs w:val="18"/>
              </w:rPr>
              <w:t>Urszula Bąkowska-Morawska</w:t>
            </w:r>
          </w:p>
        </w:tc>
        <w:tc>
          <w:tcPr>
            <w:tcW w:w="2303" w:type="dxa"/>
            <w:vAlign w:val="center"/>
          </w:tcPr>
          <w:p w:rsidR="005D3822" w:rsidRPr="007C67B4" w:rsidRDefault="005D3822" w:rsidP="00FB7083">
            <w:pPr>
              <w:tabs>
                <w:tab w:val="left" w:pos="540"/>
              </w:tabs>
              <w:spacing w:line="260" w:lineRule="exact"/>
              <w:rPr>
                <w:rFonts w:ascii="Arial" w:hAnsi="Arial" w:cs="Arial"/>
                <w:bCs/>
                <w:sz w:val="18"/>
                <w:szCs w:val="18"/>
              </w:rPr>
            </w:pPr>
          </w:p>
        </w:tc>
      </w:tr>
    </w:tbl>
    <w:p w:rsidR="005D3822" w:rsidRPr="007C67B4" w:rsidRDefault="005D3822" w:rsidP="005D3822">
      <w:pPr>
        <w:tabs>
          <w:tab w:val="left" w:pos="540"/>
        </w:tabs>
        <w:spacing w:line="260" w:lineRule="exact"/>
        <w:jc w:val="both"/>
        <w:rPr>
          <w:rFonts w:ascii="Arial" w:hAnsi="Arial" w:cs="Arial"/>
          <w:bCs/>
          <w:sz w:val="18"/>
          <w:szCs w:val="18"/>
        </w:rPr>
      </w:pPr>
    </w:p>
    <w:p w:rsidR="005D3822" w:rsidRPr="007C67B4" w:rsidRDefault="005D3822" w:rsidP="005D3822">
      <w:pPr>
        <w:tabs>
          <w:tab w:val="left" w:pos="540"/>
        </w:tabs>
        <w:spacing w:line="260" w:lineRule="exact"/>
        <w:jc w:val="both"/>
        <w:rPr>
          <w:rFonts w:ascii="Arial" w:hAnsi="Arial" w:cs="Arial"/>
          <w:b/>
          <w:bCs/>
          <w:sz w:val="18"/>
          <w:szCs w:val="18"/>
        </w:rPr>
      </w:pPr>
      <w:r w:rsidRPr="007C67B4">
        <w:rPr>
          <w:rFonts w:ascii="Arial" w:hAnsi="Arial" w:cs="Arial"/>
          <w:b/>
          <w:bCs/>
          <w:sz w:val="18"/>
          <w:szCs w:val="18"/>
        </w:rPr>
        <w:t>Osoba odpowiedzialna za prowadzenie ksiąg rachunkowych INTERFERIE S.A.</w:t>
      </w:r>
    </w:p>
    <w:p w:rsidR="005D3822" w:rsidRPr="007C67B4" w:rsidRDefault="005D3822" w:rsidP="005D3822">
      <w:pPr>
        <w:tabs>
          <w:tab w:val="left" w:pos="540"/>
        </w:tabs>
        <w:spacing w:line="260" w:lineRule="exact"/>
        <w:jc w:val="both"/>
        <w:rPr>
          <w:rFonts w:ascii="Arial" w:hAnsi="Arial" w:cs="Arial"/>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5D3822" w:rsidRPr="00BA1953" w:rsidTr="00FB7083">
        <w:tc>
          <w:tcPr>
            <w:tcW w:w="2303" w:type="dxa"/>
          </w:tcPr>
          <w:p w:rsidR="005D3822" w:rsidRPr="00BA1953" w:rsidRDefault="005D3822" w:rsidP="00FB7083">
            <w:pPr>
              <w:tabs>
                <w:tab w:val="left" w:pos="540"/>
              </w:tabs>
              <w:spacing w:line="260" w:lineRule="exact"/>
              <w:jc w:val="both"/>
              <w:rPr>
                <w:rFonts w:ascii="Arial" w:hAnsi="Arial" w:cs="Arial"/>
                <w:b/>
                <w:bCs/>
                <w:sz w:val="18"/>
                <w:szCs w:val="18"/>
              </w:rPr>
            </w:pPr>
            <w:r w:rsidRPr="00BA1953">
              <w:rPr>
                <w:rFonts w:ascii="Arial" w:hAnsi="Arial" w:cs="Arial"/>
                <w:b/>
                <w:bCs/>
                <w:sz w:val="18"/>
                <w:szCs w:val="18"/>
              </w:rPr>
              <w:t>Miejscowość i data</w:t>
            </w:r>
          </w:p>
        </w:tc>
        <w:tc>
          <w:tcPr>
            <w:tcW w:w="2303" w:type="dxa"/>
          </w:tcPr>
          <w:p w:rsidR="005D3822" w:rsidRPr="00BA1953" w:rsidRDefault="005D3822" w:rsidP="00FB7083">
            <w:pPr>
              <w:tabs>
                <w:tab w:val="left" w:pos="540"/>
              </w:tabs>
              <w:spacing w:line="260" w:lineRule="exact"/>
              <w:jc w:val="both"/>
              <w:rPr>
                <w:rFonts w:ascii="Arial" w:hAnsi="Arial" w:cs="Arial"/>
                <w:b/>
                <w:bCs/>
                <w:sz w:val="18"/>
                <w:szCs w:val="18"/>
              </w:rPr>
            </w:pPr>
            <w:r w:rsidRPr="00BA1953">
              <w:rPr>
                <w:rFonts w:ascii="Arial" w:hAnsi="Arial" w:cs="Arial"/>
                <w:b/>
                <w:bCs/>
                <w:sz w:val="18"/>
                <w:szCs w:val="18"/>
              </w:rPr>
              <w:t>Funkcja</w:t>
            </w:r>
          </w:p>
        </w:tc>
        <w:tc>
          <w:tcPr>
            <w:tcW w:w="2303" w:type="dxa"/>
          </w:tcPr>
          <w:p w:rsidR="005D3822" w:rsidRPr="00BA1953" w:rsidRDefault="005D3822" w:rsidP="00FB7083">
            <w:pPr>
              <w:tabs>
                <w:tab w:val="left" w:pos="540"/>
              </w:tabs>
              <w:spacing w:line="260" w:lineRule="exact"/>
              <w:jc w:val="both"/>
              <w:rPr>
                <w:rFonts w:ascii="Arial" w:hAnsi="Arial" w:cs="Arial"/>
                <w:b/>
                <w:bCs/>
                <w:sz w:val="18"/>
                <w:szCs w:val="18"/>
              </w:rPr>
            </w:pPr>
            <w:r w:rsidRPr="00BA1953">
              <w:rPr>
                <w:rFonts w:ascii="Arial" w:hAnsi="Arial" w:cs="Arial"/>
                <w:b/>
                <w:bCs/>
                <w:sz w:val="18"/>
                <w:szCs w:val="18"/>
              </w:rPr>
              <w:t>Imię i nazwisko</w:t>
            </w:r>
          </w:p>
        </w:tc>
        <w:tc>
          <w:tcPr>
            <w:tcW w:w="2303" w:type="dxa"/>
          </w:tcPr>
          <w:p w:rsidR="005D3822" w:rsidRPr="00BA1953" w:rsidRDefault="005D3822" w:rsidP="00FB7083">
            <w:pPr>
              <w:tabs>
                <w:tab w:val="left" w:pos="540"/>
              </w:tabs>
              <w:spacing w:line="260" w:lineRule="exact"/>
              <w:jc w:val="both"/>
              <w:rPr>
                <w:rFonts w:ascii="Arial" w:hAnsi="Arial" w:cs="Arial"/>
                <w:b/>
                <w:bCs/>
                <w:sz w:val="18"/>
                <w:szCs w:val="18"/>
              </w:rPr>
            </w:pPr>
            <w:r w:rsidRPr="00BA1953">
              <w:rPr>
                <w:rFonts w:ascii="Arial" w:hAnsi="Arial" w:cs="Arial"/>
                <w:b/>
                <w:bCs/>
                <w:sz w:val="18"/>
                <w:szCs w:val="18"/>
              </w:rPr>
              <w:t>Podpis</w:t>
            </w:r>
          </w:p>
        </w:tc>
      </w:tr>
      <w:tr w:rsidR="005D3822" w:rsidRPr="00F31D8E" w:rsidTr="00FB7083">
        <w:trPr>
          <w:trHeight w:val="739"/>
        </w:trPr>
        <w:tc>
          <w:tcPr>
            <w:tcW w:w="2303" w:type="dxa"/>
            <w:vAlign w:val="center"/>
          </w:tcPr>
          <w:p w:rsidR="005D3822" w:rsidRPr="00BA1953" w:rsidRDefault="005D3822" w:rsidP="005A5D35">
            <w:pPr>
              <w:tabs>
                <w:tab w:val="left" w:pos="540"/>
              </w:tabs>
              <w:spacing w:line="260" w:lineRule="exact"/>
              <w:rPr>
                <w:rFonts w:ascii="Arial" w:hAnsi="Arial" w:cs="Arial"/>
                <w:bCs/>
                <w:sz w:val="18"/>
                <w:szCs w:val="18"/>
              </w:rPr>
            </w:pPr>
            <w:r w:rsidRPr="00BA1953">
              <w:rPr>
                <w:rFonts w:ascii="Arial" w:hAnsi="Arial" w:cs="Arial"/>
                <w:bCs/>
                <w:sz w:val="18"/>
                <w:szCs w:val="18"/>
              </w:rPr>
              <w:t>Legnica</w:t>
            </w:r>
            <w:r w:rsidRPr="005A5D35">
              <w:rPr>
                <w:rFonts w:ascii="Arial" w:hAnsi="Arial" w:cs="Arial"/>
                <w:bCs/>
                <w:sz w:val="18"/>
                <w:szCs w:val="18"/>
              </w:rPr>
              <w:t xml:space="preserve">, </w:t>
            </w:r>
            <w:r w:rsidR="005A5D35" w:rsidRPr="005A5D35">
              <w:rPr>
                <w:rFonts w:ascii="Arial" w:hAnsi="Arial" w:cs="Arial"/>
                <w:bCs/>
                <w:sz w:val="18"/>
                <w:szCs w:val="18"/>
              </w:rPr>
              <w:t>22</w:t>
            </w:r>
            <w:r w:rsidRPr="005A5D35">
              <w:rPr>
                <w:rFonts w:ascii="Arial" w:hAnsi="Arial" w:cs="Arial"/>
                <w:bCs/>
                <w:sz w:val="18"/>
                <w:szCs w:val="18"/>
              </w:rPr>
              <w:t>.10.202</w:t>
            </w:r>
            <w:r w:rsidR="008322CC" w:rsidRPr="005A5D35">
              <w:rPr>
                <w:rFonts w:ascii="Arial" w:hAnsi="Arial" w:cs="Arial"/>
                <w:bCs/>
                <w:sz w:val="18"/>
                <w:szCs w:val="18"/>
              </w:rPr>
              <w:t>1</w:t>
            </w:r>
            <w:r w:rsidRPr="005A5D35">
              <w:rPr>
                <w:rFonts w:ascii="Arial" w:hAnsi="Arial" w:cs="Arial"/>
                <w:bCs/>
                <w:sz w:val="18"/>
                <w:szCs w:val="18"/>
              </w:rPr>
              <w:t xml:space="preserve"> r.</w:t>
            </w:r>
          </w:p>
        </w:tc>
        <w:tc>
          <w:tcPr>
            <w:tcW w:w="2303" w:type="dxa"/>
            <w:vAlign w:val="center"/>
          </w:tcPr>
          <w:p w:rsidR="005D3822" w:rsidRPr="00BA1953" w:rsidRDefault="005D3822" w:rsidP="00FB7083">
            <w:pPr>
              <w:tabs>
                <w:tab w:val="left" w:pos="540"/>
              </w:tabs>
              <w:spacing w:line="260" w:lineRule="exact"/>
              <w:rPr>
                <w:rFonts w:ascii="Arial" w:hAnsi="Arial" w:cs="Arial"/>
                <w:bCs/>
                <w:sz w:val="18"/>
                <w:szCs w:val="18"/>
              </w:rPr>
            </w:pPr>
            <w:r w:rsidRPr="00BA1953">
              <w:rPr>
                <w:rFonts w:ascii="Arial" w:hAnsi="Arial" w:cs="Arial"/>
                <w:bCs/>
                <w:sz w:val="18"/>
                <w:szCs w:val="18"/>
              </w:rPr>
              <w:t>Główny Księgowy</w:t>
            </w:r>
          </w:p>
        </w:tc>
        <w:tc>
          <w:tcPr>
            <w:tcW w:w="2303" w:type="dxa"/>
            <w:vAlign w:val="center"/>
          </w:tcPr>
          <w:p w:rsidR="005D3822" w:rsidRPr="00F31D8E" w:rsidRDefault="005D3822" w:rsidP="00FB7083">
            <w:pPr>
              <w:tabs>
                <w:tab w:val="left" w:pos="540"/>
              </w:tabs>
              <w:spacing w:line="260" w:lineRule="exact"/>
              <w:rPr>
                <w:rFonts w:ascii="Arial" w:hAnsi="Arial" w:cs="Arial"/>
                <w:bCs/>
                <w:sz w:val="18"/>
                <w:szCs w:val="18"/>
              </w:rPr>
            </w:pPr>
            <w:r w:rsidRPr="00BA1953">
              <w:rPr>
                <w:rFonts w:ascii="Arial" w:hAnsi="Arial" w:cs="Arial"/>
                <w:bCs/>
                <w:sz w:val="18"/>
                <w:szCs w:val="18"/>
              </w:rPr>
              <w:t>Renata Bindas</w:t>
            </w:r>
          </w:p>
        </w:tc>
        <w:tc>
          <w:tcPr>
            <w:tcW w:w="2303" w:type="dxa"/>
            <w:vAlign w:val="center"/>
          </w:tcPr>
          <w:p w:rsidR="005D3822" w:rsidRPr="00F31D8E" w:rsidRDefault="005D3822" w:rsidP="00FB7083">
            <w:pPr>
              <w:tabs>
                <w:tab w:val="left" w:pos="540"/>
              </w:tabs>
              <w:spacing w:line="260" w:lineRule="exact"/>
              <w:rPr>
                <w:rFonts w:ascii="Arial" w:hAnsi="Arial" w:cs="Arial"/>
                <w:bCs/>
                <w:sz w:val="18"/>
                <w:szCs w:val="18"/>
              </w:rPr>
            </w:pPr>
          </w:p>
        </w:tc>
      </w:tr>
    </w:tbl>
    <w:p w:rsidR="005D3822" w:rsidRPr="00F31D8E" w:rsidRDefault="005D3822" w:rsidP="006418A8">
      <w:pPr>
        <w:tabs>
          <w:tab w:val="left" w:pos="540"/>
        </w:tabs>
        <w:spacing w:line="260" w:lineRule="exact"/>
        <w:jc w:val="both"/>
        <w:rPr>
          <w:rFonts w:ascii="Arial" w:hAnsi="Arial" w:cs="Arial"/>
          <w:i/>
          <w:sz w:val="18"/>
          <w:szCs w:val="18"/>
        </w:rPr>
      </w:pPr>
    </w:p>
    <w:sectPr w:rsidR="005D3822" w:rsidRPr="00F31D8E" w:rsidSect="0014561F">
      <w:headerReference w:type="default" r:id="rId13"/>
      <w:footerReference w:type="even" r:id="rId14"/>
      <w:footerReference w:type="defaul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383" w:rsidRDefault="00B75383">
      <w:r>
        <w:separator/>
      </w:r>
    </w:p>
  </w:endnote>
  <w:endnote w:type="continuationSeparator" w:id="0">
    <w:p w:rsidR="00B75383" w:rsidRDefault="00B75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383" w:rsidRDefault="00B75383" w:rsidP="002B1EF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75383" w:rsidRDefault="00B75383" w:rsidP="006D005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383" w:rsidRPr="00AC5B21" w:rsidRDefault="00B75383" w:rsidP="002B1EFD">
    <w:pPr>
      <w:pStyle w:val="Stopka"/>
      <w:framePr w:wrap="around" w:vAnchor="text" w:hAnchor="margin" w:xAlign="right" w:y="1"/>
      <w:rPr>
        <w:rStyle w:val="Numerstrony"/>
        <w:rFonts w:ascii="Arial" w:hAnsi="Arial" w:cs="Arial"/>
        <w:sz w:val="20"/>
        <w:szCs w:val="20"/>
      </w:rPr>
    </w:pPr>
    <w:r w:rsidRPr="00AC5B21">
      <w:rPr>
        <w:rStyle w:val="Numerstrony"/>
        <w:rFonts w:ascii="Arial" w:hAnsi="Arial" w:cs="Arial"/>
        <w:sz w:val="20"/>
        <w:szCs w:val="20"/>
      </w:rPr>
      <w:fldChar w:fldCharType="begin"/>
    </w:r>
    <w:r w:rsidRPr="00AC5B21">
      <w:rPr>
        <w:rStyle w:val="Numerstrony"/>
        <w:rFonts w:ascii="Arial" w:hAnsi="Arial" w:cs="Arial"/>
        <w:sz w:val="20"/>
        <w:szCs w:val="20"/>
      </w:rPr>
      <w:instrText xml:space="preserve">PAGE  </w:instrText>
    </w:r>
    <w:r w:rsidRPr="00AC5B21">
      <w:rPr>
        <w:rStyle w:val="Numerstrony"/>
        <w:rFonts w:ascii="Arial" w:hAnsi="Arial" w:cs="Arial"/>
        <w:sz w:val="20"/>
        <w:szCs w:val="20"/>
      </w:rPr>
      <w:fldChar w:fldCharType="separate"/>
    </w:r>
    <w:r w:rsidR="00E62DA3">
      <w:rPr>
        <w:rStyle w:val="Numerstrony"/>
        <w:rFonts w:ascii="Arial" w:hAnsi="Arial" w:cs="Arial"/>
        <w:noProof/>
        <w:sz w:val="20"/>
        <w:szCs w:val="20"/>
      </w:rPr>
      <w:t>6</w:t>
    </w:r>
    <w:r w:rsidRPr="00AC5B21">
      <w:rPr>
        <w:rStyle w:val="Numerstrony"/>
        <w:rFonts w:ascii="Arial" w:hAnsi="Arial" w:cs="Arial"/>
        <w:sz w:val="20"/>
        <w:szCs w:val="20"/>
      </w:rPr>
      <w:fldChar w:fldCharType="end"/>
    </w:r>
  </w:p>
  <w:p w:rsidR="00B75383" w:rsidRPr="00656825" w:rsidRDefault="00B75383" w:rsidP="006D005F">
    <w:pPr>
      <w:pStyle w:val="Stopka"/>
      <w:ind w:right="360"/>
      <w:jc w:val="right"/>
      <w:rPr>
        <w:sz w:val="20"/>
        <w:szCs w:val="20"/>
      </w:rPr>
    </w:pPr>
  </w:p>
  <w:p w:rsidR="00B75383" w:rsidRDefault="00B7538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383" w:rsidRDefault="00B75383" w:rsidP="002B1EF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75383" w:rsidRDefault="00B75383" w:rsidP="006D005F">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383" w:rsidRPr="00031F1D" w:rsidRDefault="00B75383" w:rsidP="002B1EFD">
    <w:pPr>
      <w:pStyle w:val="Stopka"/>
      <w:framePr w:wrap="around" w:vAnchor="text" w:hAnchor="margin" w:xAlign="right" w:y="1"/>
      <w:rPr>
        <w:rStyle w:val="Numerstrony"/>
        <w:rFonts w:ascii="Arial" w:hAnsi="Arial" w:cs="Arial"/>
        <w:sz w:val="18"/>
        <w:szCs w:val="20"/>
      </w:rPr>
    </w:pPr>
    <w:r w:rsidRPr="00031F1D">
      <w:rPr>
        <w:rStyle w:val="Numerstrony"/>
        <w:rFonts w:ascii="Arial" w:hAnsi="Arial" w:cs="Arial"/>
        <w:sz w:val="18"/>
        <w:szCs w:val="20"/>
      </w:rPr>
      <w:fldChar w:fldCharType="begin"/>
    </w:r>
    <w:r w:rsidRPr="00031F1D">
      <w:rPr>
        <w:rStyle w:val="Numerstrony"/>
        <w:rFonts w:ascii="Arial" w:hAnsi="Arial" w:cs="Arial"/>
        <w:sz w:val="18"/>
        <w:szCs w:val="20"/>
      </w:rPr>
      <w:instrText xml:space="preserve">PAGE  </w:instrText>
    </w:r>
    <w:r w:rsidRPr="00031F1D">
      <w:rPr>
        <w:rStyle w:val="Numerstrony"/>
        <w:rFonts w:ascii="Arial" w:hAnsi="Arial" w:cs="Arial"/>
        <w:sz w:val="18"/>
        <w:szCs w:val="20"/>
      </w:rPr>
      <w:fldChar w:fldCharType="separate"/>
    </w:r>
    <w:r w:rsidR="00E62DA3">
      <w:rPr>
        <w:rStyle w:val="Numerstrony"/>
        <w:rFonts w:ascii="Arial" w:hAnsi="Arial" w:cs="Arial"/>
        <w:noProof/>
        <w:sz w:val="18"/>
        <w:szCs w:val="20"/>
      </w:rPr>
      <w:t>26</w:t>
    </w:r>
    <w:r w:rsidRPr="00031F1D">
      <w:rPr>
        <w:rStyle w:val="Numerstrony"/>
        <w:rFonts w:ascii="Arial" w:hAnsi="Arial" w:cs="Arial"/>
        <w:sz w:val="18"/>
        <w:szCs w:val="20"/>
      </w:rPr>
      <w:fldChar w:fldCharType="end"/>
    </w:r>
  </w:p>
  <w:p w:rsidR="00B75383" w:rsidRPr="00656825" w:rsidRDefault="00B75383" w:rsidP="006D005F">
    <w:pPr>
      <w:pStyle w:val="Stopka"/>
      <w:ind w:right="360"/>
      <w:jc w:val="right"/>
      <w:rPr>
        <w:sz w:val="20"/>
        <w:szCs w:val="20"/>
      </w:rPr>
    </w:pPr>
  </w:p>
  <w:p w:rsidR="00B75383" w:rsidRDefault="00B7538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383" w:rsidRDefault="00B75383">
      <w:r>
        <w:separator/>
      </w:r>
    </w:p>
  </w:footnote>
  <w:footnote w:type="continuationSeparator" w:id="0">
    <w:p w:rsidR="00B75383" w:rsidRDefault="00B75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383" w:rsidRPr="00247C83" w:rsidRDefault="00B75383" w:rsidP="00E51F06">
    <w:pPr>
      <w:pStyle w:val="Nagwek"/>
      <w:tabs>
        <w:tab w:val="left" w:pos="3240"/>
      </w:tabs>
      <w:jc w:val="center"/>
      <w:rPr>
        <w:rFonts w:ascii="Arial" w:hAnsi="Arial" w:cs="Arial"/>
        <w:sz w:val="20"/>
        <w:szCs w:val="20"/>
      </w:rPr>
    </w:pPr>
    <w:r w:rsidRPr="00247C83">
      <w:rPr>
        <w:rFonts w:ascii="Arial" w:hAnsi="Arial" w:cs="Arial"/>
        <w:sz w:val="20"/>
        <w:szCs w:val="20"/>
      </w:rPr>
      <w:t xml:space="preserve">INTERFERIE S.A. w </w:t>
    </w:r>
    <w:r>
      <w:rPr>
        <w:rFonts w:ascii="Arial" w:hAnsi="Arial" w:cs="Arial"/>
        <w:sz w:val="20"/>
        <w:szCs w:val="20"/>
      </w:rPr>
      <w:t>Legnicy</w:t>
    </w:r>
  </w:p>
  <w:p w:rsidR="00B75383" w:rsidRDefault="00B75383" w:rsidP="009F3F5E">
    <w:pPr>
      <w:pStyle w:val="Nagwek"/>
      <w:tabs>
        <w:tab w:val="left" w:pos="1260"/>
      </w:tabs>
      <w:jc w:val="center"/>
      <w:rPr>
        <w:rFonts w:ascii="Arial" w:hAnsi="Arial" w:cs="Arial"/>
        <w:sz w:val="16"/>
        <w:szCs w:val="16"/>
      </w:rPr>
    </w:pPr>
    <w:r w:rsidRPr="004B12F3">
      <w:rPr>
        <w:rFonts w:ascii="Arial" w:hAnsi="Arial" w:cs="Arial"/>
        <w:sz w:val="16"/>
        <w:szCs w:val="16"/>
      </w:rPr>
      <w:t>Śródroczne skrócone sprawozdanie finansowe za okres dziewięciu miesięcy zakończonych 30 września 20</w:t>
    </w:r>
    <w:r>
      <w:rPr>
        <w:rFonts w:ascii="Arial" w:hAnsi="Arial" w:cs="Arial"/>
        <w:sz w:val="16"/>
        <w:szCs w:val="16"/>
      </w:rPr>
      <w:t>21</w:t>
    </w:r>
    <w:r w:rsidRPr="004B12F3">
      <w:rPr>
        <w:rFonts w:ascii="Arial" w:hAnsi="Arial" w:cs="Arial"/>
        <w:sz w:val="16"/>
        <w:szCs w:val="16"/>
      </w:rPr>
      <w:t xml:space="preserve"> r. </w:t>
    </w:r>
  </w:p>
  <w:p w:rsidR="00B75383" w:rsidRDefault="00B75383" w:rsidP="009F3F5E">
    <w:pPr>
      <w:pStyle w:val="Nagwek"/>
      <w:tabs>
        <w:tab w:val="left" w:pos="1260"/>
      </w:tabs>
      <w:jc w:val="center"/>
      <w:rPr>
        <w:rFonts w:ascii="Arial" w:hAnsi="Arial" w:cs="Arial"/>
        <w:sz w:val="16"/>
        <w:szCs w:val="16"/>
      </w:rPr>
    </w:pPr>
    <w:r w:rsidRPr="00FD6E2A">
      <w:rPr>
        <w:rFonts w:ascii="Arial" w:hAnsi="Arial" w:cs="Arial"/>
        <w:sz w:val="16"/>
        <w:szCs w:val="16"/>
      </w:rPr>
      <w:t>z</w:t>
    </w:r>
    <w:r w:rsidRPr="00FD6E2A">
      <w:rPr>
        <w:rFonts w:ascii="Arial" w:hAnsi="Arial" w:cs="Arial"/>
        <w:sz w:val="20"/>
        <w:szCs w:val="20"/>
      </w:rPr>
      <w:t xml:space="preserve"> </w:t>
    </w:r>
    <w:r w:rsidRPr="00FD6E2A">
      <w:rPr>
        <w:rFonts w:ascii="Arial" w:hAnsi="Arial" w:cs="Arial"/>
        <w:sz w:val="16"/>
        <w:szCs w:val="16"/>
      </w:rPr>
      <w:t>uwzględnieniem wyceny udziałów w jednostce stowarzyszonej metodą praw własności</w:t>
    </w:r>
  </w:p>
  <w:p w:rsidR="00B75383" w:rsidRDefault="00B75383" w:rsidP="009F3F5E">
    <w:pPr>
      <w:pStyle w:val="Nagwek"/>
      <w:tabs>
        <w:tab w:val="left" w:pos="1260"/>
      </w:tabs>
      <w:jc w:val="center"/>
      <w:rPr>
        <w:rFonts w:ascii="Arial" w:hAnsi="Arial" w:cs="Arial"/>
        <w:sz w:val="16"/>
        <w:szCs w:val="16"/>
      </w:rPr>
    </w:pPr>
    <w:r>
      <w:rPr>
        <w:rFonts w:ascii="Arial" w:hAnsi="Arial" w:cs="Arial"/>
        <w:sz w:val="16"/>
        <w:szCs w:val="16"/>
      </w:rPr>
      <w:t>Sporządzone zgodnie z MSR 34</w:t>
    </w:r>
  </w:p>
  <w:p w:rsidR="00B75383" w:rsidRPr="00247C83" w:rsidRDefault="00B75383" w:rsidP="009F3F5E">
    <w:pPr>
      <w:pStyle w:val="Nagwek"/>
      <w:jc w:val="center"/>
      <w:rPr>
        <w:rFonts w:ascii="Arial" w:hAnsi="Arial" w:cs="Arial"/>
        <w:i/>
        <w:sz w:val="20"/>
        <w:szCs w:val="20"/>
      </w:rPr>
    </w:pPr>
    <w:r w:rsidRPr="00FD6E2A">
      <w:rPr>
        <w:rFonts w:ascii="Arial" w:hAnsi="Arial" w:cs="Arial"/>
        <w:i/>
        <w:sz w:val="16"/>
        <w:szCs w:val="20"/>
      </w:rPr>
      <w:t>(kwoty wyrażone są w tys. złotych)</w:t>
    </w:r>
  </w:p>
  <w:p w:rsidR="00B75383" w:rsidRPr="00931AB6" w:rsidRDefault="00B75383" w:rsidP="009D31F2">
    <w:pPr>
      <w:pStyle w:val="Nagwek"/>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383" w:rsidRPr="00247C83" w:rsidRDefault="00B75383" w:rsidP="00E51F06">
    <w:pPr>
      <w:pStyle w:val="Nagwek"/>
      <w:tabs>
        <w:tab w:val="left" w:pos="3240"/>
      </w:tabs>
      <w:jc w:val="center"/>
      <w:rPr>
        <w:rFonts w:ascii="Arial" w:hAnsi="Arial" w:cs="Arial"/>
        <w:sz w:val="20"/>
        <w:szCs w:val="20"/>
      </w:rPr>
    </w:pPr>
    <w:r w:rsidRPr="00247C83">
      <w:rPr>
        <w:rFonts w:ascii="Arial" w:hAnsi="Arial" w:cs="Arial"/>
        <w:sz w:val="20"/>
        <w:szCs w:val="20"/>
      </w:rPr>
      <w:t>INTERFERIE S.A. w L</w:t>
    </w:r>
    <w:r>
      <w:rPr>
        <w:rFonts w:ascii="Arial" w:hAnsi="Arial" w:cs="Arial"/>
        <w:sz w:val="20"/>
        <w:szCs w:val="20"/>
      </w:rPr>
      <w:t>egnicy</w:t>
    </w:r>
  </w:p>
  <w:p w:rsidR="00B75383" w:rsidRPr="00F64F2A" w:rsidRDefault="00B75383" w:rsidP="00A26FC9">
    <w:pPr>
      <w:pStyle w:val="Nagwek"/>
      <w:tabs>
        <w:tab w:val="left" w:pos="1260"/>
      </w:tabs>
      <w:jc w:val="center"/>
      <w:rPr>
        <w:rFonts w:ascii="Arial" w:hAnsi="Arial" w:cs="Arial"/>
        <w:sz w:val="16"/>
        <w:szCs w:val="16"/>
      </w:rPr>
    </w:pPr>
    <w:r w:rsidRPr="004B12F3">
      <w:rPr>
        <w:rFonts w:ascii="Arial" w:hAnsi="Arial" w:cs="Arial"/>
        <w:sz w:val="16"/>
        <w:szCs w:val="16"/>
      </w:rPr>
      <w:t xml:space="preserve">Śródroczne skrócone </w:t>
    </w:r>
    <w:r>
      <w:rPr>
        <w:rFonts w:ascii="Arial" w:hAnsi="Arial" w:cs="Arial"/>
        <w:sz w:val="16"/>
        <w:szCs w:val="16"/>
      </w:rPr>
      <w:t xml:space="preserve">jednostkowe </w:t>
    </w:r>
    <w:r w:rsidRPr="00F64F2A">
      <w:rPr>
        <w:rFonts w:ascii="Arial" w:hAnsi="Arial" w:cs="Arial"/>
        <w:sz w:val="16"/>
        <w:szCs w:val="16"/>
      </w:rPr>
      <w:t xml:space="preserve">sprawozdanie finansowe za okres dziewięciu miesięcy zakończonych 30 </w:t>
    </w:r>
    <w:r>
      <w:rPr>
        <w:rFonts w:ascii="Arial" w:hAnsi="Arial" w:cs="Arial"/>
        <w:sz w:val="16"/>
        <w:szCs w:val="16"/>
      </w:rPr>
      <w:t>września 2021</w:t>
    </w:r>
    <w:r w:rsidRPr="00F64F2A">
      <w:rPr>
        <w:rFonts w:ascii="Arial" w:hAnsi="Arial" w:cs="Arial"/>
        <w:sz w:val="16"/>
        <w:szCs w:val="16"/>
      </w:rPr>
      <w:t xml:space="preserve"> r. </w:t>
    </w:r>
  </w:p>
  <w:p w:rsidR="00B75383" w:rsidRPr="00F64F2A" w:rsidRDefault="00B75383" w:rsidP="009F3F5E">
    <w:pPr>
      <w:pStyle w:val="Nagwek"/>
      <w:tabs>
        <w:tab w:val="left" w:pos="1260"/>
      </w:tabs>
      <w:jc w:val="center"/>
      <w:rPr>
        <w:rFonts w:ascii="Arial" w:hAnsi="Arial" w:cs="Arial"/>
        <w:sz w:val="16"/>
        <w:szCs w:val="16"/>
      </w:rPr>
    </w:pPr>
    <w:r w:rsidRPr="00F64F2A">
      <w:rPr>
        <w:rFonts w:ascii="Arial" w:hAnsi="Arial" w:cs="Arial"/>
        <w:sz w:val="16"/>
        <w:szCs w:val="16"/>
      </w:rPr>
      <w:t>Sporządzone zgodnie z MSR 34</w:t>
    </w:r>
  </w:p>
  <w:p w:rsidR="00B75383" w:rsidRPr="00F64F2A" w:rsidRDefault="00B75383" w:rsidP="009F3F5E">
    <w:pPr>
      <w:pStyle w:val="Nagwek"/>
      <w:jc w:val="center"/>
      <w:rPr>
        <w:rFonts w:ascii="Arial" w:hAnsi="Arial" w:cs="Arial"/>
        <w:i/>
        <w:sz w:val="16"/>
        <w:szCs w:val="20"/>
      </w:rPr>
    </w:pPr>
    <w:r w:rsidRPr="00F64F2A">
      <w:rPr>
        <w:rFonts w:ascii="Arial" w:hAnsi="Arial" w:cs="Arial"/>
        <w:i/>
        <w:sz w:val="16"/>
        <w:szCs w:val="20"/>
      </w:rPr>
      <w:t>(kwoty wyrażone są w tys. złotych)</w:t>
    </w:r>
  </w:p>
  <w:p w:rsidR="00B75383" w:rsidRPr="00F56DF4" w:rsidRDefault="00B75383" w:rsidP="009D31F2">
    <w:pPr>
      <w:pStyle w:val="Nagwek"/>
      <w:rPr>
        <w:sz w:val="16"/>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11A5BE0"/>
    <w:lvl w:ilvl="0">
      <w:start w:val="1"/>
      <w:numFmt w:val="bullet"/>
      <w:lvlText w:val=""/>
      <w:lvlJc w:val="left"/>
      <w:pPr>
        <w:tabs>
          <w:tab w:val="num" w:pos="643"/>
        </w:tabs>
        <w:ind w:left="643" w:hanging="360"/>
      </w:pPr>
      <w:rPr>
        <w:rFonts w:ascii="Symbol" w:hAnsi="Symbol" w:hint="default"/>
      </w:rPr>
    </w:lvl>
  </w:abstractNum>
  <w:abstractNum w:abstractNumId="1">
    <w:nsid w:val="02547452"/>
    <w:multiLevelType w:val="hybridMultilevel"/>
    <w:tmpl w:val="5CB026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465182"/>
    <w:multiLevelType w:val="hybridMultilevel"/>
    <w:tmpl w:val="676C2C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7B27747"/>
    <w:multiLevelType w:val="hybridMultilevel"/>
    <w:tmpl w:val="DCB0FB04"/>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BE86D73"/>
    <w:multiLevelType w:val="hybridMultilevel"/>
    <w:tmpl w:val="0CD46DF4"/>
    <w:lvl w:ilvl="0" w:tplc="A07AD3E8">
      <w:start w:val="1"/>
      <w:numFmt w:val="lowerLetter"/>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D193031"/>
    <w:multiLevelType w:val="hybridMultilevel"/>
    <w:tmpl w:val="2E76AE8E"/>
    <w:lvl w:ilvl="0" w:tplc="31F87636">
      <w:start w:val="1"/>
      <w:numFmt w:val="lowerLetter"/>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10CC115D"/>
    <w:multiLevelType w:val="hybridMultilevel"/>
    <w:tmpl w:val="7C1A4CCA"/>
    <w:lvl w:ilvl="0" w:tplc="00D08432">
      <w:numFmt w:val="bullet"/>
      <w:lvlText w:val="-"/>
      <w:lvlJc w:val="left"/>
      <w:pPr>
        <w:ind w:left="720" w:hanging="360"/>
      </w:p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7">
    <w:nsid w:val="13C05459"/>
    <w:multiLevelType w:val="hybridMultilevel"/>
    <w:tmpl w:val="AC68C6CA"/>
    <w:lvl w:ilvl="0" w:tplc="3184E20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4913422"/>
    <w:multiLevelType w:val="hybridMultilevel"/>
    <w:tmpl w:val="5CB026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6F737B1"/>
    <w:multiLevelType w:val="hybridMultilevel"/>
    <w:tmpl w:val="7DFE12E8"/>
    <w:lvl w:ilvl="0" w:tplc="7C706BF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182D3A80"/>
    <w:multiLevelType w:val="hybridMultilevel"/>
    <w:tmpl w:val="01C4FCB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1A8B763B"/>
    <w:multiLevelType w:val="hybridMultilevel"/>
    <w:tmpl w:val="131C778C"/>
    <w:lvl w:ilvl="0" w:tplc="186C2998">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C1C24AC"/>
    <w:multiLevelType w:val="hybridMultilevel"/>
    <w:tmpl w:val="0A62A1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8D0E65"/>
    <w:multiLevelType w:val="hybridMultilevel"/>
    <w:tmpl w:val="EBE66984"/>
    <w:lvl w:ilvl="0" w:tplc="00D08432">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61A6317"/>
    <w:multiLevelType w:val="hybridMultilevel"/>
    <w:tmpl w:val="6F7EB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6A552E0"/>
    <w:multiLevelType w:val="hybridMultilevel"/>
    <w:tmpl w:val="410CFC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6C4678F"/>
    <w:multiLevelType w:val="hybridMultilevel"/>
    <w:tmpl w:val="AC68C6CA"/>
    <w:lvl w:ilvl="0" w:tplc="3184E20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29A56123"/>
    <w:multiLevelType w:val="hybridMultilevel"/>
    <w:tmpl w:val="AC2C92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126100"/>
    <w:multiLevelType w:val="hybridMultilevel"/>
    <w:tmpl w:val="A7A277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F784057"/>
    <w:multiLevelType w:val="singleLevel"/>
    <w:tmpl w:val="04150011"/>
    <w:lvl w:ilvl="0">
      <w:start w:val="1"/>
      <w:numFmt w:val="decimal"/>
      <w:pStyle w:val="Listapunktowana"/>
      <w:lvlText w:val="%1)"/>
      <w:lvlJc w:val="left"/>
      <w:pPr>
        <w:tabs>
          <w:tab w:val="num" w:pos="720"/>
        </w:tabs>
        <w:ind w:left="720" w:hanging="360"/>
      </w:pPr>
      <w:rPr>
        <w:rFonts w:cs="Times New Roman"/>
      </w:rPr>
    </w:lvl>
  </w:abstractNum>
  <w:abstractNum w:abstractNumId="20">
    <w:nsid w:val="46B24E9F"/>
    <w:multiLevelType w:val="hybridMultilevel"/>
    <w:tmpl w:val="9AE2666E"/>
    <w:lvl w:ilvl="0" w:tplc="355423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7AA08D4"/>
    <w:multiLevelType w:val="hybridMultilevel"/>
    <w:tmpl w:val="B48A8128"/>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2">
    <w:nsid w:val="47B82B7E"/>
    <w:multiLevelType w:val="hybridMultilevel"/>
    <w:tmpl w:val="A24019FA"/>
    <w:lvl w:ilvl="0" w:tplc="7326D400">
      <w:start w:val="1"/>
      <w:numFmt w:val="lowerLetter"/>
      <w:lvlText w:val="%1)"/>
      <w:lvlJc w:val="left"/>
      <w:pPr>
        <w:tabs>
          <w:tab w:val="num" w:pos="720"/>
        </w:tabs>
        <w:ind w:left="720" w:hanging="360"/>
      </w:pPr>
      <w:rPr>
        <w:rFonts w:cs="Times New Roman"/>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nsid w:val="48C61245"/>
    <w:multiLevelType w:val="hybridMultilevel"/>
    <w:tmpl w:val="0136E936"/>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nsid w:val="4A822D1D"/>
    <w:multiLevelType w:val="singleLevel"/>
    <w:tmpl w:val="DFB4BF88"/>
    <w:lvl w:ilvl="0">
      <w:start w:val="6"/>
      <w:numFmt w:val="bullet"/>
      <w:lvlText w:val="-"/>
      <w:lvlJc w:val="left"/>
      <w:pPr>
        <w:tabs>
          <w:tab w:val="num" w:pos="720"/>
        </w:tabs>
        <w:ind w:left="720" w:hanging="360"/>
      </w:pPr>
    </w:lvl>
  </w:abstractNum>
  <w:abstractNum w:abstractNumId="25">
    <w:nsid w:val="4ABC65FD"/>
    <w:multiLevelType w:val="hybridMultilevel"/>
    <w:tmpl w:val="2B20D08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4AC64304"/>
    <w:multiLevelType w:val="hybridMultilevel"/>
    <w:tmpl w:val="5EDA2CBA"/>
    <w:lvl w:ilvl="0" w:tplc="00D08432">
      <w:numFmt w:val="bullet"/>
      <w:lvlText w:val="-"/>
      <w:lvlJc w:val="left"/>
      <w:pPr>
        <w:tabs>
          <w:tab w:val="num" w:pos="360"/>
        </w:tabs>
        <w:ind w:left="36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4B0240EC"/>
    <w:multiLevelType w:val="singleLevel"/>
    <w:tmpl w:val="DF9057A4"/>
    <w:lvl w:ilvl="0">
      <w:start w:val="1"/>
      <w:numFmt w:val="bullet"/>
      <w:pStyle w:val="StyleHeading1Verdana8ptBefore0ptAfter0pt"/>
      <w:lvlText w:val="-"/>
      <w:lvlJc w:val="left"/>
      <w:pPr>
        <w:tabs>
          <w:tab w:val="num" w:pos="855"/>
        </w:tabs>
        <w:ind w:left="855" w:hanging="495"/>
      </w:pPr>
      <w:rPr>
        <w:rFonts w:hint="default"/>
      </w:rPr>
    </w:lvl>
  </w:abstractNum>
  <w:abstractNum w:abstractNumId="28">
    <w:nsid w:val="4C995D8F"/>
    <w:multiLevelType w:val="hybridMultilevel"/>
    <w:tmpl w:val="D592F1DE"/>
    <w:lvl w:ilvl="0" w:tplc="67DA8CF6">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1A97E47"/>
    <w:multiLevelType w:val="hybridMultilevel"/>
    <w:tmpl w:val="F7CE3324"/>
    <w:lvl w:ilvl="0" w:tplc="6CF6B862">
      <w:start w:val="1"/>
      <w:numFmt w:val="decimal"/>
      <w:lvlText w:val="%1)"/>
      <w:lvlJc w:val="left"/>
      <w:pPr>
        <w:tabs>
          <w:tab w:val="num" w:pos="720"/>
        </w:tabs>
        <w:ind w:left="720" w:hanging="360"/>
      </w:pPr>
      <w:rPr>
        <w:b/>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53A0653A"/>
    <w:multiLevelType w:val="hybridMultilevel"/>
    <w:tmpl w:val="43380650"/>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EF06BA0"/>
    <w:multiLevelType w:val="hybridMultilevel"/>
    <w:tmpl w:val="3698DD5C"/>
    <w:lvl w:ilvl="0" w:tplc="BCC67D60">
      <w:start w:val="1"/>
      <w:numFmt w:val="bullet"/>
      <w:lvlText w:val=""/>
      <w:lvlJc w:val="left"/>
      <w:pPr>
        <w:ind w:left="360" w:hanging="360"/>
      </w:pPr>
      <w:rPr>
        <w:rFonts w:ascii="Symbol" w:hAnsi="Symbol" w:hint="default"/>
        <w:b w:val="0"/>
        <w:color w:val="auto"/>
        <w:sz w:val="20"/>
        <w:szCs w:val="20"/>
        <w:lang w:val="en-G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37D77AB"/>
    <w:multiLevelType w:val="hybridMultilevel"/>
    <w:tmpl w:val="F6A49F74"/>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7864B9B"/>
    <w:multiLevelType w:val="singleLevel"/>
    <w:tmpl w:val="9D2C4774"/>
    <w:lvl w:ilvl="0">
      <w:numFmt w:val="bullet"/>
      <w:lvlText w:val="-"/>
      <w:lvlJc w:val="left"/>
      <w:pPr>
        <w:tabs>
          <w:tab w:val="num" w:pos="1080"/>
        </w:tabs>
        <w:ind w:left="1080" w:hanging="360"/>
      </w:pPr>
    </w:lvl>
  </w:abstractNum>
  <w:abstractNum w:abstractNumId="34">
    <w:nsid w:val="6AE81D91"/>
    <w:multiLevelType w:val="hybridMultilevel"/>
    <w:tmpl w:val="DD7EEA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703E476E"/>
    <w:multiLevelType w:val="hybridMultilevel"/>
    <w:tmpl w:val="53F0A03E"/>
    <w:lvl w:ilvl="0" w:tplc="2D1CDBAC">
      <w:start w:val="1"/>
      <w:numFmt w:val="lowerLetter"/>
      <w:lvlText w:val="%1)"/>
      <w:lvlJc w:val="left"/>
      <w:pPr>
        <w:tabs>
          <w:tab w:val="num" w:pos="720"/>
        </w:tabs>
        <w:ind w:left="720" w:hanging="360"/>
      </w:pPr>
    </w:lvl>
    <w:lvl w:ilvl="1" w:tplc="FA402ED0">
      <w:start w:val="19"/>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70CE4D48"/>
    <w:multiLevelType w:val="hybridMultilevel"/>
    <w:tmpl w:val="1B2815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1A33FA6"/>
    <w:multiLevelType w:val="hybridMultilevel"/>
    <w:tmpl w:val="F39064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22264DD"/>
    <w:multiLevelType w:val="singleLevel"/>
    <w:tmpl w:val="71AEC374"/>
    <w:lvl w:ilvl="0">
      <w:start w:val="1"/>
      <w:numFmt w:val="lowerLetter"/>
      <w:pStyle w:val="Listapunktowana2"/>
      <w:lvlText w:val="%1)"/>
      <w:lvlJc w:val="left"/>
      <w:pPr>
        <w:tabs>
          <w:tab w:val="num" w:pos="720"/>
        </w:tabs>
        <w:ind w:left="720" w:hanging="360"/>
      </w:pPr>
      <w:rPr>
        <w:rFonts w:cs="Times New Roman"/>
      </w:rPr>
    </w:lvl>
  </w:abstractNum>
  <w:abstractNum w:abstractNumId="39">
    <w:nsid w:val="75045D9D"/>
    <w:multiLevelType w:val="hybridMultilevel"/>
    <w:tmpl w:val="10F844F4"/>
    <w:lvl w:ilvl="0" w:tplc="7C706BF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nsid w:val="773E67A1"/>
    <w:multiLevelType w:val="hybridMultilevel"/>
    <w:tmpl w:val="3716D70E"/>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77990278"/>
    <w:multiLevelType w:val="hybridMultilevel"/>
    <w:tmpl w:val="C054D3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A6433C9"/>
    <w:multiLevelType w:val="hybridMultilevel"/>
    <w:tmpl w:val="79BA31C6"/>
    <w:lvl w:ilvl="0" w:tplc="5ABA22CE">
      <w:start w:val="1"/>
      <w:numFmt w:val="lowerLetter"/>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nsid w:val="7F2C11F0"/>
    <w:multiLevelType w:val="hybridMultilevel"/>
    <w:tmpl w:val="EA5A327A"/>
    <w:lvl w:ilvl="0" w:tplc="D730CEA4">
      <w:start w:val="1"/>
      <w:numFmt w:val="bullet"/>
      <w:lvlText w:val=""/>
      <w:lvlJc w:val="left"/>
      <w:pPr>
        <w:ind w:left="1800" w:hanging="360"/>
      </w:pPr>
      <w:rPr>
        <w:rFonts w:ascii="Wingdings" w:eastAsia="Times New Roman" w:hAnsi="Wingdings" w:cs="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4">
    <w:nsid w:val="7F6E01C8"/>
    <w:multiLevelType w:val="hybridMultilevel"/>
    <w:tmpl w:val="16446B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25"/>
  </w:num>
  <w:num w:numId="4">
    <w:abstractNumId w:val="10"/>
  </w:num>
  <w:num w:numId="5">
    <w:abstractNumId w:val="19"/>
    <w:lvlOverride w:ilvl="0">
      <w:startOverride w:val="1"/>
    </w:lvlOverride>
  </w:num>
  <w:num w:numId="6">
    <w:abstractNumId w:val="38"/>
    <w:lvlOverride w:ilvl="0">
      <w:startOverride w:val="1"/>
    </w:lvlOverride>
  </w:num>
  <w:num w:numId="7">
    <w:abstractNumId w:val="24"/>
  </w:num>
  <w:num w:numId="8">
    <w:abstractNumId w:val="33"/>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0"/>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0"/>
  </w:num>
  <w:num w:numId="15">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36"/>
  </w:num>
  <w:num w:numId="18">
    <w:abstractNumId w:val="3"/>
  </w:num>
  <w:num w:numId="19">
    <w:abstractNumId w:val="18"/>
  </w:num>
  <w:num w:numId="20">
    <w:abstractNumId w:val="6"/>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23"/>
  </w:num>
  <w:num w:numId="26">
    <w:abstractNumId w:val="11"/>
  </w:num>
  <w:num w:numId="27">
    <w:abstractNumId w:val="4"/>
  </w:num>
  <w:num w:numId="28">
    <w:abstractNumId w:val="13"/>
  </w:num>
  <w:num w:numId="29">
    <w:abstractNumId w:val="28"/>
  </w:num>
  <w:num w:numId="30">
    <w:abstractNumId w:val="31"/>
  </w:num>
  <w:num w:numId="31">
    <w:abstractNumId w:val="34"/>
  </w:num>
  <w:num w:numId="32">
    <w:abstractNumId w:val="7"/>
  </w:num>
  <w:num w:numId="33">
    <w:abstractNumId w:val="43"/>
  </w:num>
  <w:num w:numId="34">
    <w:abstractNumId w:val="12"/>
  </w:num>
  <w:num w:numId="35">
    <w:abstractNumId w:val="37"/>
  </w:num>
  <w:num w:numId="36">
    <w:abstractNumId w:val="5"/>
  </w:num>
  <w:num w:numId="37">
    <w:abstractNumId w:val="17"/>
  </w:num>
  <w:num w:numId="38">
    <w:abstractNumId w:val="14"/>
  </w:num>
  <w:num w:numId="39">
    <w:abstractNumId w:val="21"/>
  </w:num>
  <w:num w:numId="40">
    <w:abstractNumId w:val="44"/>
  </w:num>
  <w:num w:numId="41">
    <w:abstractNumId w:val="16"/>
  </w:num>
  <w:num w:numId="42">
    <w:abstractNumId w:val="32"/>
  </w:num>
  <w:num w:numId="43">
    <w:abstractNumId w:val="15"/>
  </w:num>
  <w:num w:numId="44">
    <w:abstractNumId w:val="41"/>
  </w:num>
  <w:num w:numId="45">
    <w:abstractNumId w:val="8"/>
  </w:num>
  <w:num w:numId="46">
    <w:abstractNumId w:val="1"/>
  </w:num>
  <w:num w:numId="47">
    <w:abstractNumId w:val="39"/>
  </w:num>
  <w:num w:numId="48">
    <w:abstractNumId w:val="9"/>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3BD"/>
    <w:rsid w:val="0000053E"/>
    <w:rsid w:val="000019F8"/>
    <w:rsid w:val="00001D13"/>
    <w:rsid w:val="00001FDD"/>
    <w:rsid w:val="0000202F"/>
    <w:rsid w:val="0000327A"/>
    <w:rsid w:val="00003420"/>
    <w:rsid w:val="00004247"/>
    <w:rsid w:val="00004CB6"/>
    <w:rsid w:val="00004E95"/>
    <w:rsid w:val="00006945"/>
    <w:rsid w:val="00006AB9"/>
    <w:rsid w:val="0000771C"/>
    <w:rsid w:val="00010139"/>
    <w:rsid w:val="000111B7"/>
    <w:rsid w:val="00012E2B"/>
    <w:rsid w:val="00013030"/>
    <w:rsid w:val="0001386D"/>
    <w:rsid w:val="00015214"/>
    <w:rsid w:val="00017733"/>
    <w:rsid w:val="00020644"/>
    <w:rsid w:val="000213E9"/>
    <w:rsid w:val="000224EC"/>
    <w:rsid w:val="00022E46"/>
    <w:rsid w:val="00023123"/>
    <w:rsid w:val="000237BB"/>
    <w:rsid w:val="00023834"/>
    <w:rsid w:val="00024703"/>
    <w:rsid w:val="0002562B"/>
    <w:rsid w:val="00025ADA"/>
    <w:rsid w:val="00025FBD"/>
    <w:rsid w:val="00026803"/>
    <w:rsid w:val="00026E22"/>
    <w:rsid w:val="00026E96"/>
    <w:rsid w:val="00026F4F"/>
    <w:rsid w:val="00027348"/>
    <w:rsid w:val="000318E9"/>
    <w:rsid w:val="00031EB6"/>
    <w:rsid w:val="00031F1D"/>
    <w:rsid w:val="000326D7"/>
    <w:rsid w:val="00033CD4"/>
    <w:rsid w:val="00035454"/>
    <w:rsid w:val="00040499"/>
    <w:rsid w:val="00040730"/>
    <w:rsid w:val="0004145F"/>
    <w:rsid w:val="00041FA2"/>
    <w:rsid w:val="000422AF"/>
    <w:rsid w:val="00042874"/>
    <w:rsid w:val="00043436"/>
    <w:rsid w:val="0004407B"/>
    <w:rsid w:val="00045474"/>
    <w:rsid w:val="00045C58"/>
    <w:rsid w:val="000461D8"/>
    <w:rsid w:val="00046E7A"/>
    <w:rsid w:val="0004793A"/>
    <w:rsid w:val="000543AA"/>
    <w:rsid w:val="00054E83"/>
    <w:rsid w:val="00055353"/>
    <w:rsid w:val="00055EF5"/>
    <w:rsid w:val="00056529"/>
    <w:rsid w:val="000565EE"/>
    <w:rsid w:val="0005713C"/>
    <w:rsid w:val="00060627"/>
    <w:rsid w:val="00061916"/>
    <w:rsid w:val="00061EB7"/>
    <w:rsid w:val="00062417"/>
    <w:rsid w:val="00062BAB"/>
    <w:rsid w:val="00062FF3"/>
    <w:rsid w:val="00064800"/>
    <w:rsid w:val="00065531"/>
    <w:rsid w:val="0006651D"/>
    <w:rsid w:val="00070619"/>
    <w:rsid w:val="00070D85"/>
    <w:rsid w:val="00071137"/>
    <w:rsid w:val="00073F76"/>
    <w:rsid w:val="00074075"/>
    <w:rsid w:val="0007424A"/>
    <w:rsid w:val="0007429D"/>
    <w:rsid w:val="00074B04"/>
    <w:rsid w:val="00076304"/>
    <w:rsid w:val="000770BB"/>
    <w:rsid w:val="000779AA"/>
    <w:rsid w:val="00080413"/>
    <w:rsid w:val="00082827"/>
    <w:rsid w:val="00082DCE"/>
    <w:rsid w:val="000832C4"/>
    <w:rsid w:val="00083FF9"/>
    <w:rsid w:val="00084263"/>
    <w:rsid w:val="0008607D"/>
    <w:rsid w:val="000863A6"/>
    <w:rsid w:val="00086E44"/>
    <w:rsid w:val="000903EF"/>
    <w:rsid w:val="0009070C"/>
    <w:rsid w:val="000908E9"/>
    <w:rsid w:val="00091681"/>
    <w:rsid w:val="0009328F"/>
    <w:rsid w:val="00093785"/>
    <w:rsid w:val="00097E64"/>
    <w:rsid w:val="000A05FB"/>
    <w:rsid w:val="000A0637"/>
    <w:rsid w:val="000A1FE1"/>
    <w:rsid w:val="000A26CF"/>
    <w:rsid w:val="000A39A3"/>
    <w:rsid w:val="000A3DAA"/>
    <w:rsid w:val="000A46EE"/>
    <w:rsid w:val="000A58E6"/>
    <w:rsid w:val="000A5D55"/>
    <w:rsid w:val="000A77B0"/>
    <w:rsid w:val="000B1120"/>
    <w:rsid w:val="000B2EFA"/>
    <w:rsid w:val="000B3599"/>
    <w:rsid w:val="000B3D73"/>
    <w:rsid w:val="000B430F"/>
    <w:rsid w:val="000B4515"/>
    <w:rsid w:val="000B50EE"/>
    <w:rsid w:val="000B534C"/>
    <w:rsid w:val="000B58B3"/>
    <w:rsid w:val="000B5B08"/>
    <w:rsid w:val="000B6D46"/>
    <w:rsid w:val="000B6D8C"/>
    <w:rsid w:val="000C072D"/>
    <w:rsid w:val="000C0DFF"/>
    <w:rsid w:val="000C16CB"/>
    <w:rsid w:val="000C1ED7"/>
    <w:rsid w:val="000C282C"/>
    <w:rsid w:val="000C4C32"/>
    <w:rsid w:val="000C4D19"/>
    <w:rsid w:val="000C77EE"/>
    <w:rsid w:val="000C794D"/>
    <w:rsid w:val="000C7B2C"/>
    <w:rsid w:val="000D159C"/>
    <w:rsid w:val="000D2516"/>
    <w:rsid w:val="000D2859"/>
    <w:rsid w:val="000D29CF"/>
    <w:rsid w:val="000D373B"/>
    <w:rsid w:val="000D3F29"/>
    <w:rsid w:val="000D4A39"/>
    <w:rsid w:val="000D4BF9"/>
    <w:rsid w:val="000D4D89"/>
    <w:rsid w:val="000D5F06"/>
    <w:rsid w:val="000D646A"/>
    <w:rsid w:val="000D72DE"/>
    <w:rsid w:val="000D781A"/>
    <w:rsid w:val="000D7D64"/>
    <w:rsid w:val="000E0157"/>
    <w:rsid w:val="000E0272"/>
    <w:rsid w:val="000E14D9"/>
    <w:rsid w:val="000E21A1"/>
    <w:rsid w:val="000E3C9C"/>
    <w:rsid w:val="000E3ED6"/>
    <w:rsid w:val="000E3F76"/>
    <w:rsid w:val="000E40C1"/>
    <w:rsid w:val="000E43EB"/>
    <w:rsid w:val="000E5512"/>
    <w:rsid w:val="000E7A1B"/>
    <w:rsid w:val="000E7BA0"/>
    <w:rsid w:val="000F0AB8"/>
    <w:rsid w:val="000F14BF"/>
    <w:rsid w:val="000F1ABE"/>
    <w:rsid w:val="000F1C70"/>
    <w:rsid w:val="000F37DF"/>
    <w:rsid w:val="000F44AB"/>
    <w:rsid w:val="000F698E"/>
    <w:rsid w:val="000F7396"/>
    <w:rsid w:val="000F7466"/>
    <w:rsid w:val="000F7E52"/>
    <w:rsid w:val="0010007A"/>
    <w:rsid w:val="00101669"/>
    <w:rsid w:val="00103DB9"/>
    <w:rsid w:val="001049FD"/>
    <w:rsid w:val="001065DA"/>
    <w:rsid w:val="00107295"/>
    <w:rsid w:val="001106AA"/>
    <w:rsid w:val="00111A68"/>
    <w:rsid w:val="001120DD"/>
    <w:rsid w:val="00112293"/>
    <w:rsid w:val="00112CB4"/>
    <w:rsid w:val="00112D54"/>
    <w:rsid w:val="0011512D"/>
    <w:rsid w:val="0011535C"/>
    <w:rsid w:val="00115953"/>
    <w:rsid w:val="001172E3"/>
    <w:rsid w:val="00117888"/>
    <w:rsid w:val="00117EA5"/>
    <w:rsid w:val="001214BC"/>
    <w:rsid w:val="00121E0E"/>
    <w:rsid w:val="0012272A"/>
    <w:rsid w:val="001238D2"/>
    <w:rsid w:val="00123B26"/>
    <w:rsid w:val="00124F8F"/>
    <w:rsid w:val="0012579A"/>
    <w:rsid w:val="00126A05"/>
    <w:rsid w:val="00130CF2"/>
    <w:rsid w:val="001328DB"/>
    <w:rsid w:val="001328E1"/>
    <w:rsid w:val="00135F36"/>
    <w:rsid w:val="00136E39"/>
    <w:rsid w:val="00140363"/>
    <w:rsid w:val="001403BC"/>
    <w:rsid w:val="00141ABD"/>
    <w:rsid w:val="00142841"/>
    <w:rsid w:val="0014561F"/>
    <w:rsid w:val="00145CB2"/>
    <w:rsid w:val="00146578"/>
    <w:rsid w:val="00146629"/>
    <w:rsid w:val="00146C9F"/>
    <w:rsid w:val="001479A1"/>
    <w:rsid w:val="00147CA8"/>
    <w:rsid w:val="0015088B"/>
    <w:rsid w:val="001511E0"/>
    <w:rsid w:val="0015124E"/>
    <w:rsid w:val="0015150C"/>
    <w:rsid w:val="00152A40"/>
    <w:rsid w:val="00152F46"/>
    <w:rsid w:val="00154D45"/>
    <w:rsid w:val="00155123"/>
    <w:rsid w:val="00161912"/>
    <w:rsid w:val="001619A8"/>
    <w:rsid w:val="0016248B"/>
    <w:rsid w:val="001630E6"/>
    <w:rsid w:val="00163E67"/>
    <w:rsid w:val="001643FD"/>
    <w:rsid w:val="00164CD6"/>
    <w:rsid w:val="00165600"/>
    <w:rsid w:val="001658BC"/>
    <w:rsid w:val="00165CD6"/>
    <w:rsid w:val="00165E6D"/>
    <w:rsid w:val="001669EF"/>
    <w:rsid w:val="0017079F"/>
    <w:rsid w:val="001716AE"/>
    <w:rsid w:val="00171734"/>
    <w:rsid w:val="00171EF7"/>
    <w:rsid w:val="00172C92"/>
    <w:rsid w:val="00173472"/>
    <w:rsid w:val="001736D3"/>
    <w:rsid w:val="00173839"/>
    <w:rsid w:val="0017540F"/>
    <w:rsid w:val="00175585"/>
    <w:rsid w:val="00175DD9"/>
    <w:rsid w:val="00175FAF"/>
    <w:rsid w:val="0017693A"/>
    <w:rsid w:val="00177FC6"/>
    <w:rsid w:val="00180AD0"/>
    <w:rsid w:val="001830DD"/>
    <w:rsid w:val="00183226"/>
    <w:rsid w:val="00183D3F"/>
    <w:rsid w:val="001847BC"/>
    <w:rsid w:val="001847CE"/>
    <w:rsid w:val="0018549E"/>
    <w:rsid w:val="00187265"/>
    <w:rsid w:val="0019195D"/>
    <w:rsid w:val="00191BD1"/>
    <w:rsid w:val="0019212F"/>
    <w:rsid w:val="001930AD"/>
    <w:rsid w:val="00193785"/>
    <w:rsid w:val="00196175"/>
    <w:rsid w:val="001961B6"/>
    <w:rsid w:val="001A6132"/>
    <w:rsid w:val="001B0E66"/>
    <w:rsid w:val="001B2B21"/>
    <w:rsid w:val="001B396B"/>
    <w:rsid w:val="001B3E5B"/>
    <w:rsid w:val="001B3E6E"/>
    <w:rsid w:val="001B420D"/>
    <w:rsid w:val="001B615F"/>
    <w:rsid w:val="001B67C9"/>
    <w:rsid w:val="001B6B38"/>
    <w:rsid w:val="001B749B"/>
    <w:rsid w:val="001B77E3"/>
    <w:rsid w:val="001C0180"/>
    <w:rsid w:val="001C0742"/>
    <w:rsid w:val="001C0B1F"/>
    <w:rsid w:val="001C332A"/>
    <w:rsid w:val="001C34D5"/>
    <w:rsid w:val="001C3C0D"/>
    <w:rsid w:val="001C44AD"/>
    <w:rsid w:val="001C5DF2"/>
    <w:rsid w:val="001C684C"/>
    <w:rsid w:val="001C78DF"/>
    <w:rsid w:val="001D368F"/>
    <w:rsid w:val="001D4437"/>
    <w:rsid w:val="001D4D35"/>
    <w:rsid w:val="001D5B40"/>
    <w:rsid w:val="001D6B19"/>
    <w:rsid w:val="001E2399"/>
    <w:rsid w:val="001E3530"/>
    <w:rsid w:val="001E383A"/>
    <w:rsid w:val="001E3875"/>
    <w:rsid w:val="001E6121"/>
    <w:rsid w:val="001E6203"/>
    <w:rsid w:val="001E6686"/>
    <w:rsid w:val="001E6DE8"/>
    <w:rsid w:val="001E6F7A"/>
    <w:rsid w:val="001E7D3E"/>
    <w:rsid w:val="001F0CE1"/>
    <w:rsid w:val="001F0EDD"/>
    <w:rsid w:val="001F3D4E"/>
    <w:rsid w:val="001F406F"/>
    <w:rsid w:val="001F4DE4"/>
    <w:rsid w:val="001F58F9"/>
    <w:rsid w:val="001F6A52"/>
    <w:rsid w:val="00200A6A"/>
    <w:rsid w:val="00200A7C"/>
    <w:rsid w:val="00201550"/>
    <w:rsid w:val="00201D77"/>
    <w:rsid w:val="00202BBF"/>
    <w:rsid w:val="00203AEA"/>
    <w:rsid w:val="00204D59"/>
    <w:rsid w:val="002057E7"/>
    <w:rsid w:val="002061EA"/>
    <w:rsid w:val="00207526"/>
    <w:rsid w:val="0021006A"/>
    <w:rsid w:val="00211862"/>
    <w:rsid w:val="002122DF"/>
    <w:rsid w:val="00215A5D"/>
    <w:rsid w:val="00215F2B"/>
    <w:rsid w:val="002205B5"/>
    <w:rsid w:val="002205D2"/>
    <w:rsid w:val="00220A95"/>
    <w:rsid w:val="00221AA0"/>
    <w:rsid w:val="00221C1C"/>
    <w:rsid w:val="00223950"/>
    <w:rsid w:val="00224987"/>
    <w:rsid w:val="00225AAB"/>
    <w:rsid w:val="00225C11"/>
    <w:rsid w:val="00225CE5"/>
    <w:rsid w:val="00227B9E"/>
    <w:rsid w:val="00230684"/>
    <w:rsid w:val="00230D42"/>
    <w:rsid w:val="00233040"/>
    <w:rsid w:val="0023581D"/>
    <w:rsid w:val="00235E3A"/>
    <w:rsid w:val="002362A1"/>
    <w:rsid w:val="00236514"/>
    <w:rsid w:val="0024013B"/>
    <w:rsid w:val="00240834"/>
    <w:rsid w:val="00242820"/>
    <w:rsid w:val="00242E94"/>
    <w:rsid w:val="00242F83"/>
    <w:rsid w:val="00243042"/>
    <w:rsid w:val="002431E1"/>
    <w:rsid w:val="002437D7"/>
    <w:rsid w:val="00247696"/>
    <w:rsid w:val="00247C83"/>
    <w:rsid w:val="00250058"/>
    <w:rsid w:val="00250D8D"/>
    <w:rsid w:val="00252B29"/>
    <w:rsid w:val="00252F87"/>
    <w:rsid w:val="00253789"/>
    <w:rsid w:val="00253EF4"/>
    <w:rsid w:val="002544F2"/>
    <w:rsid w:val="002545DC"/>
    <w:rsid w:val="00255241"/>
    <w:rsid w:val="002566B2"/>
    <w:rsid w:val="002572DB"/>
    <w:rsid w:val="00257BEA"/>
    <w:rsid w:val="002606EE"/>
    <w:rsid w:val="00260BDD"/>
    <w:rsid w:val="00261B53"/>
    <w:rsid w:val="00261DB3"/>
    <w:rsid w:val="00262B12"/>
    <w:rsid w:val="00262F58"/>
    <w:rsid w:val="0026448A"/>
    <w:rsid w:val="0026623A"/>
    <w:rsid w:val="0027200E"/>
    <w:rsid w:val="00275918"/>
    <w:rsid w:val="00275F90"/>
    <w:rsid w:val="00276320"/>
    <w:rsid w:val="00276A01"/>
    <w:rsid w:val="00277158"/>
    <w:rsid w:val="00280836"/>
    <w:rsid w:val="00281FC4"/>
    <w:rsid w:val="00282611"/>
    <w:rsid w:val="00282E1E"/>
    <w:rsid w:val="00283F30"/>
    <w:rsid w:val="0028483F"/>
    <w:rsid w:val="00285CC0"/>
    <w:rsid w:val="00291208"/>
    <w:rsid w:val="00291F53"/>
    <w:rsid w:val="00292743"/>
    <w:rsid w:val="002928B6"/>
    <w:rsid w:val="0029320B"/>
    <w:rsid w:val="0029341D"/>
    <w:rsid w:val="00293937"/>
    <w:rsid w:val="00295552"/>
    <w:rsid w:val="00295ACD"/>
    <w:rsid w:val="00295C65"/>
    <w:rsid w:val="002A2140"/>
    <w:rsid w:val="002A24A1"/>
    <w:rsid w:val="002A349E"/>
    <w:rsid w:val="002A5BCE"/>
    <w:rsid w:val="002A6211"/>
    <w:rsid w:val="002A6215"/>
    <w:rsid w:val="002B0286"/>
    <w:rsid w:val="002B189D"/>
    <w:rsid w:val="002B1D91"/>
    <w:rsid w:val="002B1EFD"/>
    <w:rsid w:val="002B1FB5"/>
    <w:rsid w:val="002B5750"/>
    <w:rsid w:val="002B6E07"/>
    <w:rsid w:val="002C0B27"/>
    <w:rsid w:val="002C1E7F"/>
    <w:rsid w:val="002C2581"/>
    <w:rsid w:val="002C4C89"/>
    <w:rsid w:val="002C5854"/>
    <w:rsid w:val="002C5D8D"/>
    <w:rsid w:val="002C61E2"/>
    <w:rsid w:val="002C738A"/>
    <w:rsid w:val="002C7CF0"/>
    <w:rsid w:val="002D024C"/>
    <w:rsid w:val="002D3A37"/>
    <w:rsid w:val="002D4815"/>
    <w:rsid w:val="002D4919"/>
    <w:rsid w:val="002D52F2"/>
    <w:rsid w:val="002D538C"/>
    <w:rsid w:val="002D55A6"/>
    <w:rsid w:val="002D6AB3"/>
    <w:rsid w:val="002D72D9"/>
    <w:rsid w:val="002D7F4F"/>
    <w:rsid w:val="002E16AF"/>
    <w:rsid w:val="002E30FF"/>
    <w:rsid w:val="002E3360"/>
    <w:rsid w:val="002E3ACE"/>
    <w:rsid w:val="002E490A"/>
    <w:rsid w:val="002E4A9E"/>
    <w:rsid w:val="002E5947"/>
    <w:rsid w:val="002E7130"/>
    <w:rsid w:val="002E7954"/>
    <w:rsid w:val="002E7C15"/>
    <w:rsid w:val="002F036A"/>
    <w:rsid w:val="002F0921"/>
    <w:rsid w:val="002F15F1"/>
    <w:rsid w:val="002F168F"/>
    <w:rsid w:val="002F3B92"/>
    <w:rsid w:val="002F45E9"/>
    <w:rsid w:val="002F5618"/>
    <w:rsid w:val="002F5DD6"/>
    <w:rsid w:val="00300C24"/>
    <w:rsid w:val="00301780"/>
    <w:rsid w:val="0030390A"/>
    <w:rsid w:val="00305B56"/>
    <w:rsid w:val="00305E2C"/>
    <w:rsid w:val="00306481"/>
    <w:rsid w:val="003067D3"/>
    <w:rsid w:val="003078FA"/>
    <w:rsid w:val="00310948"/>
    <w:rsid w:val="00310E6E"/>
    <w:rsid w:val="00312AB7"/>
    <w:rsid w:val="003132B0"/>
    <w:rsid w:val="00313610"/>
    <w:rsid w:val="00313C12"/>
    <w:rsid w:val="00313CB3"/>
    <w:rsid w:val="003140B9"/>
    <w:rsid w:val="003154D9"/>
    <w:rsid w:val="00316600"/>
    <w:rsid w:val="00316AA3"/>
    <w:rsid w:val="00316DEE"/>
    <w:rsid w:val="00320047"/>
    <w:rsid w:val="00321194"/>
    <w:rsid w:val="00322433"/>
    <w:rsid w:val="0032275A"/>
    <w:rsid w:val="00322A1F"/>
    <w:rsid w:val="0032328D"/>
    <w:rsid w:val="00323EBD"/>
    <w:rsid w:val="00325CE2"/>
    <w:rsid w:val="003260C5"/>
    <w:rsid w:val="003262A1"/>
    <w:rsid w:val="00326614"/>
    <w:rsid w:val="003270FE"/>
    <w:rsid w:val="003276DC"/>
    <w:rsid w:val="0033194D"/>
    <w:rsid w:val="003340F6"/>
    <w:rsid w:val="00334157"/>
    <w:rsid w:val="0033423D"/>
    <w:rsid w:val="00334670"/>
    <w:rsid w:val="00334D45"/>
    <w:rsid w:val="003376F3"/>
    <w:rsid w:val="00340DFA"/>
    <w:rsid w:val="003426DC"/>
    <w:rsid w:val="00342C70"/>
    <w:rsid w:val="00342F97"/>
    <w:rsid w:val="00343AF8"/>
    <w:rsid w:val="003444CE"/>
    <w:rsid w:val="003449F6"/>
    <w:rsid w:val="0034725E"/>
    <w:rsid w:val="00347A68"/>
    <w:rsid w:val="003501EE"/>
    <w:rsid w:val="003505F5"/>
    <w:rsid w:val="00350740"/>
    <w:rsid w:val="0035082B"/>
    <w:rsid w:val="0035231F"/>
    <w:rsid w:val="003523B4"/>
    <w:rsid w:val="00353DF2"/>
    <w:rsid w:val="0035625C"/>
    <w:rsid w:val="0035628A"/>
    <w:rsid w:val="003577E1"/>
    <w:rsid w:val="003578A2"/>
    <w:rsid w:val="0036047A"/>
    <w:rsid w:val="003610B8"/>
    <w:rsid w:val="00362559"/>
    <w:rsid w:val="0036364F"/>
    <w:rsid w:val="0036442C"/>
    <w:rsid w:val="00364AA2"/>
    <w:rsid w:val="00367024"/>
    <w:rsid w:val="00371D7E"/>
    <w:rsid w:val="00372CDD"/>
    <w:rsid w:val="0037364F"/>
    <w:rsid w:val="0037507B"/>
    <w:rsid w:val="003764CD"/>
    <w:rsid w:val="0038245F"/>
    <w:rsid w:val="00384302"/>
    <w:rsid w:val="0038568B"/>
    <w:rsid w:val="00386456"/>
    <w:rsid w:val="00386C18"/>
    <w:rsid w:val="00392FF0"/>
    <w:rsid w:val="00393EFD"/>
    <w:rsid w:val="0039461C"/>
    <w:rsid w:val="00394EEF"/>
    <w:rsid w:val="00395251"/>
    <w:rsid w:val="003968D0"/>
    <w:rsid w:val="003A0DDE"/>
    <w:rsid w:val="003A0EA5"/>
    <w:rsid w:val="003A123B"/>
    <w:rsid w:val="003A3D83"/>
    <w:rsid w:val="003A430D"/>
    <w:rsid w:val="003A561D"/>
    <w:rsid w:val="003A572D"/>
    <w:rsid w:val="003A6BAA"/>
    <w:rsid w:val="003A6D2D"/>
    <w:rsid w:val="003B056A"/>
    <w:rsid w:val="003B09B3"/>
    <w:rsid w:val="003B146C"/>
    <w:rsid w:val="003B1498"/>
    <w:rsid w:val="003B20BA"/>
    <w:rsid w:val="003B25BF"/>
    <w:rsid w:val="003B3250"/>
    <w:rsid w:val="003B392F"/>
    <w:rsid w:val="003B3E0D"/>
    <w:rsid w:val="003B5E17"/>
    <w:rsid w:val="003C0E18"/>
    <w:rsid w:val="003C172F"/>
    <w:rsid w:val="003C3B7A"/>
    <w:rsid w:val="003C3FC6"/>
    <w:rsid w:val="003C41BA"/>
    <w:rsid w:val="003C4DB3"/>
    <w:rsid w:val="003C5537"/>
    <w:rsid w:val="003C5EEF"/>
    <w:rsid w:val="003C6107"/>
    <w:rsid w:val="003C6682"/>
    <w:rsid w:val="003C6BEC"/>
    <w:rsid w:val="003D1C89"/>
    <w:rsid w:val="003D1CD9"/>
    <w:rsid w:val="003D1F0A"/>
    <w:rsid w:val="003D3124"/>
    <w:rsid w:val="003D514B"/>
    <w:rsid w:val="003D716D"/>
    <w:rsid w:val="003D7273"/>
    <w:rsid w:val="003D7719"/>
    <w:rsid w:val="003E0DEF"/>
    <w:rsid w:val="003E1AE9"/>
    <w:rsid w:val="003E2451"/>
    <w:rsid w:val="003E325E"/>
    <w:rsid w:val="003E3C82"/>
    <w:rsid w:val="003E705B"/>
    <w:rsid w:val="003F128D"/>
    <w:rsid w:val="003F2FEB"/>
    <w:rsid w:val="003F44F9"/>
    <w:rsid w:val="003F4641"/>
    <w:rsid w:val="003F4F1E"/>
    <w:rsid w:val="003F723F"/>
    <w:rsid w:val="003F7A75"/>
    <w:rsid w:val="00400649"/>
    <w:rsid w:val="00401020"/>
    <w:rsid w:val="004012F2"/>
    <w:rsid w:val="00401E58"/>
    <w:rsid w:val="004020C6"/>
    <w:rsid w:val="004027A3"/>
    <w:rsid w:val="00402A41"/>
    <w:rsid w:val="004031B6"/>
    <w:rsid w:val="004040E4"/>
    <w:rsid w:val="0040414A"/>
    <w:rsid w:val="004041BF"/>
    <w:rsid w:val="00404209"/>
    <w:rsid w:val="0040699E"/>
    <w:rsid w:val="004075D3"/>
    <w:rsid w:val="004122E6"/>
    <w:rsid w:val="00413239"/>
    <w:rsid w:val="00413E2F"/>
    <w:rsid w:val="00414C65"/>
    <w:rsid w:val="00415515"/>
    <w:rsid w:val="004204B9"/>
    <w:rsid w:val="004207EF"/>
    <w:rsid w:val="0042264B"/>
    <w:rsid w:val="0042291C"/>
    <w:rsid w:val="00424294"/>
    <w:rsid w:val="004274CB"/>
    <w:rsid w:val="00427E06"/>
    <w:rsid w:val="0043003E"/>
    <w:rsid w:val="0043066A"/>
    <w:rsid w:val="00431579"/>
    <w:rsid w:val="00431855"/>
    <w:rsid w:val="0043371E"/>
    <w:rsid w:val="00433E4E"/>
    <w:rsid w:val="004354E0"/>
    <w:rsid w:val="00435630"/>
    <w:rsid w:val="00437565"/>
    <w:rsid w:val="00437675"/>
    <w:rsid w:val="004429C6"/>
    <w:rsid w:val="00443E02"/>
    <w:rsid w:val="00444F79"/>
    <w:rsid w:val="00445FE1"/>
    <w:rsid w:val="00446E94"/>
    <w:rsid w:val="00447C2B"/>
    <w:rsid w:val="00452C45"/>
    <w:rsid w:val="00452DF0"/>
    <w:rsid w:val="0045436C"/>
    <w:rsid w:val="00455650"/>
    <w:rsid w:val="0045576F"/>
    <w:rsid w:val="0045660D"/>
    <w:rsid w:val="00456FD7"/>
    <w:rsid w:val="00460A4C"/>
    <w:rsid w:val="00460E4F"/>
    <w:rsid w:val="00460F84"/>
    <w:rsid w:val="004616FC"/>
    <w:rsid w:val="00461B42"/>
    <w:rsid w:val="004636D8"/>
    <w:rsid w:val="00465076"/>
    <w:rsid w:val="004651B6"/>
    <w:rsid w:val="00465DDA"/>
    <w:rsid w:val="0046621E"/>
    <w:rsid w:val="00467079"/>
    <w:rsid w:val="004670F7"/>
    <w:rsid w:val="00467E8D"/>
    <w:rsid w:val="004701C5"/>
    <w:rsid w:val="004712C4"/>
    <w:rsid w:val="00471935"/>
    <w:rsid w:val="00471B52"/>
    <w:rsid w:val="00471D93"/>
    <w:rsid w:val="00472403"/>
    <w:rsid w:val="004729E0"/>
    <w:rsid w:val="0047379F"/>
    <w:rsid w:val="0047672C"/>
    <w:rsid w:val="00477024"/>
    <w:rsid w:val="00477F03"/>
    <w:rsid w:val="0048022A"/>
    <w:rsid w:val="004811E0"/>
    <w:rsid w:val="004827BB"/>
    <w:rsid w:val="00484FB4"/>
    <w:rsid w:val="004868C4"/>
    <w:rsid w:val="0048691D"/>
    <w:rsid w:val="00486DEE"/>
    <w:rsid w:val="004909A7"/>
    <w:rsid w:val="00490FA2"/>
    <w:rsid w:val="00491116"/>
    <w:rsid w:val="00492417"/>
    <w:rsid w:val="00493C73"/>
    <w:rsid w:val="0049585A"/>
    <w:rsid w:val="00496418"/>
    <w:rsid w:val="004974CE"/>
    <w:rsid w:val="00497BE9"/>
    <w:rsid w:val="00497EE3"/>
    <w:rsid w:val="004A0749"/>
    <w:rsid w:val="004A0868"/>
    <w:rsid w:val="004A128E"/>
    <w:rsid w:val="004A1FE5"/>
    <w:rsid w:val="004A212D"/>
    <w:rsid w:val="004A299E"/>
    <w:rsid w:val="004A2F01"/>
    <w:rsid w:val="004A39C4"/>
    <w:rsid w:val="004A3A46"/>
    <w:rsid w:val="004A463F"/>
    <w:rsid w:val="004A47E4"/>
    <w:rsid w:val="004A57A3"/>
    <w:rsid w:val="004A580A"/>
    <w:rsid w:val="004A6376"/>
    <w:rsid w:val="004B093C"/>
    <w:rsid w:val="004B2B8D"/>
    <w:rsid w:val="004B2D9C"/>
    <w:rsid w:val="004B3EB7"/>
    <w:rsid w:val="004B489C"/>
    <w:rsid w:val="004B49A4"/>
    <w:rsid w:val="004B5534"/>
    <w:rsid w:val="004B59F9"/>
    <w:rsid w:val="004B5C4A"/>
    <w:rsid w:val="004B5FD6"/>
    <w:rsid w:val="004B617C"/>
    <w:rsid w:val="004B61BD"/>
    <w:rsid w:val="004B6BF7"/>
    <w:rsid w:val="004B7EAE"/>
    <w:rsid w:val="004C0FD7"/>
    <w:rsid w:val="004C3BB8"/>
    <w:rsid w:val="004C475F"/>
    <w:rsid w:val="004C5844"/>
    <w:rsid w:val="004C6566"/>
    <w:rsid w:val="004C6E61"/>
    <w:rsid w:val="004C6F31"/>
    <w:rsid w:val="004C7495"/>
    <w:rsid w:val="004C74C7"/>
    <w:rsid w:val="004D2016"/>
    <w:rsid w:val="004D56B4"/>
    <w:rsid w:val="004D5A8C"/>
    <w:rsid w:val="004D6650"/>
    <w:rsid w:val="004D6A84"/>
    <w:rsid w:val="004E0C94"/>
    <w:rsid w:val="004E1061"/>
    <w:rsid w:val="004E273A"/>
    <w:rsid w:val="004E3DD8"/>
    <w:rsid w:val="004E3FF1"/>
    <w:rsid w:val="004E4397"/>
    <w:rsid w:val="004E4EE4"/>
    <w:rsid w:val="004E5F9A"/>
    <w:rsid w:val="004E6514"/>
    <w:rsid w:val="004E7526"/>
    <w:rsid w:val="004E7ACA"/>
    <w:rsid w:val="004F104C"/>
    <w:rsid w:val="004F1AA3"/>
    <w:rsid w:val="004F246E"/>
    <w:rsid w:val="004F24A6"/>
    <w:rsid w:val="004F2A00"/>
    <w:rsid w:val="004F2DD8"/>
    <w:rsid w:val="004F2F80"/>
    <w:rsid w:val="004F3789"/>
    <w:rsid w:val="004F5AA9"/>
    <w:rsid w:val="004F5F30"/>
    <w:rsid w:val="004F7037"/>
    <w:rsid w:val="004F7501"/>
    <w:rsid w:val="004F75D8"/>
    <w:rsid w:val="0050133E"/>
    <w:rsid w:val="00501AFE"/>
    <w:rsid w:val="00501D47"/>
    <w:rsid w:val="00502559"/>
    <w:rsid w:val="00502D6B"/>
    <w:rsid w:val="005035B0"/>
    <w:rsid w:val="00503806"/>
    <w:rsid w:val="00504071"/>
    <w:rsid w:val="005060C0"/>
    <w:rsid w:val="00506722"/>
    <w:rsid w:val="00510034"/>
    <w:rsid w:val="0051249B"/>
    <w:rsid w:val="00513115"/>
    <w:rsid w:val="00513DC0"/>
    <w:rsid w:val="00513DEB"/>
    <w:rsid w:val="00514C9C"/>
    <w:rsid w:val="0051544B"/>
    <w:rsid w:val="00516692"/>
    <w:rsid w:val="00516EEB"/>
    <w:rsid w:val="0052025C"/>
    <w:rsid w:val="0052099D"/>
    <w:rsid w:val="005211D1"/>
    <w:rsid w:val="00521382"/>
    <w:rsid w:val="00523ACB"/>
    <w:rsid w:val="00523FEF"/>
    <w:rsid w:val="00524C63"/>
    <w:rsid w:val="005252D6"/>
    <w:rsid w:val="0052530E"/>
    <w:rsid w:val="005261BE"/>
    <w:rsid w:val="00527372"/>
    <w:rsid w:val="0052770A"/>
    <w:rsid w:val="00527A5F"/>
    <w:rsid w:val="00527F2B"/>
    <w:rsid w:val="005306F3"/>
    <w:rsid w:val="00531A24"/>
    <w:rsid w:val="005323C7"/>
    <w:rsid w:val="0053241D"/>
    <w:rsid w:val="005324BF"/>
    <w:rsid w:val="00532E59"/>
    <w:rsid w:val="00532FF1"/>
    <w:rsid w:val="0053372E"/>
    <w:rsid w:val="00533B90"/>
    <w:rsid w:val="00535F92"/>
    <w:rsid w:val="00536BF7"/>
    <w:rsid w:val="0054026E"/>
    <w:rsid w:val="0054054F"/>
    <w:rsid w:val="00540DA1"/>
    <w:rsid w:val="0054214A"/>
    <w:rsid w:val="00542467"/>
    <w:rsid w:val="005429D0"/>
    <w:rsid w:val="0054401E"/>
    <w:rsid w:val="005446D2"/>
    <w:rsid w:val="00545BC5"/>
    <w:rsid w:val="005476BB"/>
    <w:rsid w:val="00550B4B"/>
    <w:rsid w:val="00553EE5"/>
    <w:rsid w:val="00554AA4"/>
    <w:rsid w:val="0056050D"/>
    <w:rsid w:val="00561E9F"/>
    <w:rsid w:val="00562107"/>
    <w:rsid w:val="00562918"/>
    <w:rsid w:val="00563F27"/>
    <w:rsid w:val="005648CB"/>
    <w:rsid w:val="005651FB"/>
    <w:rsid w:val="0056545C"/>
    <w:rsid w:val="005656F1"/>
    <w:rsid w:val="00566105"/>
    <w:rsid w:val="005669EB"/>
    <w:rsid w:val="00572462"/>
    <w:rsid w:val="00575D6A"/>
    <w:rsid w:val="005761DC"/>
    <w:rsid w:val="005767F8"/>
    <w:rsid w:val="0057787C"/>
    <w:rsid w:val="00580249"/>
    <w:rsid w:val="005808EA"/>
    <w:rsid w:val="00580B5A"/>
    <w:rsid w:val="005811B2"/>
    <w:rsid w:val="0058178B"/>
    <w:rsid w:val="00583153"/>
    <w:rsid w:val="00584AC1"/>
    <w:rsid w:val="00584B2A"/>
    <w:rsid w:val="00584DD4"/>
    <w:rsid w:val="0058584F"/>
    <w:rsid w:val="005871E9"/>
    <w:rsid w:val="005878DF"/>
    <w:rsid w:val="00587F5E"/>
    <w:rsid w:val="0059063E"/>
    <w:rsid w:val="00590D00"/>
    <w:rsid w:val="00591344"/>
    <w:rsid w:val="005914F5"/>
    <w:rsid w:val="005944DE"/>
    <w:rsid w:val="005945F9"/>
    <w:rsid w:val="00594CA5"/>
    <w:rsid w:val="0059561E"/>
    <w:rsid w:val="00596C05"/>
    <w:rsid w:val="005973A8"/>
    <w:rsid w:val="005973D8"/>
    <w:rsid w:val="005A00D9"/>
    <w:rsid w:val="005A1671"/>
    <w:rsid w:val="005A1E6A"/>
    <w:rsid w:val="005A1F3C"/>
    <w:rsid w:val="005A368C"/>
    <w:rsid w:val="005A36F0"/>
    <w:rsid w:val="005A3FAC"/>
    <w:rsid w:val="005A4243"/>
    <w:rsid w:val="005A5D35"/>
    <w:rsid w:val="005A5EA9"/>
    <w:rsid w:val="005A6208"/>
    <w:rsid w:val="005B0786"/>
    <w:rsid w:val="005B0BDD"/>
    <w:rsid w:val="005B18AB"/>
    <w:rsid w:val="005B279B"/>
    <w:rsid w:val="005B36E8"/>
    <w:rsid w:val="005B4618"/>
    <w:rsid w:val="005B539F"/>
    <w:rsid w:val="005B5DE5"/>
    <w:rsid w:val="005B7790"/>
    <w:rsid w:val="005B7803"/>
    <w:rsid w:val="005C17D1"/>
    <w:rsid w:val="005C1B04"/>
    <w:rsid w:val="005C3D69"/>
    <w:rsid w:val="005C694C"/>
    <w:rsid w:val="005C7DE7"/>
    <w:rsid w:val="005D007C"/>
    <w:rsid w:val="005D052E"/>
    <w:rsid w:val="005D08E8"/>
    <w:rsid w:val="005D0E1E"/>
    <w:rsid w:val="005D1502"/>
    <w:rsid w:val="005D3682"/>
    <w:rsid w:val="005D3822"/>
    <w:rsid w:val="005D4765"/>
    <w:rsid w:val="005D6AD1"/>
    <w:rsid w:val="005E1188"/>
    <w:rsid w:val="005E11A6"/>
    <w:rsid w:val="005E21D0"/>
    <w:rsid w:val="005E2637"/>
    <w:rsid w:val="005E3091"/>
    <w:rsid w:val="005E4038"/>
    <w:rsid w:val="005E41F9"/>
    <w:rsid w:val="005E430B"/>
    <w:rsid w:val="005E4AF9"/>
    <w:rsid w:val="005E4DA8"/>
    <w:rsid w:val="005F1231"/>
    <w:rsid w:val="005F1F9E"/>
    <w:rsid w:val="005F2A86"/>
    <w:rsid w:val="005F41D0"/>
    <w:rsid w:val="005F560D"/>
    <w:rsid w:val="005F7169"/>
    <w:rsid w:val="005F793A"/>
    <w:rsid w:val="006000CD"/>
    <w:rsid w:val="00600719"/>
    <w:rsid w:val="00600E2C"/>
    <w:rsid w:val="0060198B"/>
    <w:rsid w:val="00602E53"/>
    <w:rsid w:val="00603309"/>
    <w:rsid w:val="0060387F"/>
    <w:rsid w:val="00604363"/>
    <w:rsid w:val="006045C8"/>
    <w:rsid w:val="00604F5E"/>
    <w:rsid w:val="0060692A"/>
    <w:rsid w:val="00610C98"/>
    <w:rsid w:val="00611EEF"/>
    <w:rsid w:val="006120A8"/>
    <w:rsid w:val="006132F0"/>
    <w:rsid w:val="00614D91"/>
    <w:rsid w:val="00614EB0"/>
    <w:rsid w:val="00615FB9"/>
    <w:rsid w:val="00616841"/>
    <w:rsid w:val="00616D0C"/>
    <w:rsid w:val="006175D0"/>
    <w:rsid w:val="00621B50"/>
    <w:rsid w:val="006234BE"/>
    <w:rsid w:val="00623DA2"/>
    <w:rsid w:val="006243CF"/>
    <w:rsid w:val="00624E22"/>
    <w:rsid w:val="00624F07"/>
    <w:rsid w:val="00630392"/>
    <w:rsid w:val="00631526"/>
    <w:rsid w:val="00631727"/>
    <w:rsid w:val="00632159"/>
    <w:rsid w:val="006343F7"/>
    <w:rsid w:val="00634A0C"/>
    <w:rsid w:val="00635CBE"/>
    <w:rsid w:val="00635FC9"/>
    <w:rsid w:val="00636079"/>
    <w:rsid w:val="0063647C"/>
    <w:rsid w:val="00637779"/>
    <w:rsid w:val="00640A95"/>
    <w:rsid w:val="006418A8"/>
    <w:rsid w:val="0064215C"/>
    <w:rsid w:val="00642AA7"/>
    <w:rsid w:val="006431A7"/>
    <w:rsid w:val="006436B1"/>
    <w:rsid w:val="00643B3E"/>
    <w:rsid w:val="00643CE7"/>
    <w:rsid w:val="00645C93"/>
    <w:rsid w:val="006465FF"/>
    <w:rsid w:val="00646637"/>
    <w:rsid w:val="006476A0"/>
    <w:rsid w:val="006477A5"/>
    <w:rsid w:val="00647A91"/>
    <w:rsid w:val="00647E5C"/>
    <w:rsid w:val="0065081E"/>
    <w:rsid w:val="006514F8"/>
    <w:rsid w:val="00651A63"/>
    <w:rsid w:val="00653431"/>
    <w:rsid w:val="00653843"/>
    <w:rsid w:val="00654620"/>
    <w:rsid w:val="00655495"/>
    <w:rsid w:val="006556EC"/>
    <w:rsid w:val="00655C5B"/>
    <w:rsid w:val="00656825"/>
    <w:rsid w:val="00656EBB"/>
    <w:rsid w:val="0066000F"/>
    <w:rsid w:val="006614A4"/>
    <w:rsid w:val="00663F7F"/>
    <w:rsid w:val="00664BE8"/>
    <w:rsid w:val="00664D50"/>
    <w:rsid w:val="006651A6"/>
    <w:rsid w:val="00665262"/>
    <w:rsid w:val="0066570B"/>
    <w:rsid w:val="00665E58"/>
    <w:rsid w:val="00666494"/>
    <w:rsid w:val="006672EE"/>
    <w:rsid w:val="00667936"/>
    <w:rsid w:val="00671B2A"/>
    <w:rsid w:val="00672A48"/>
    <w:rsid w:val="0067477E"/>
    <w:rsid w:val="0068230D"/>
    <w:rsid w:val="006823BE"/>
    <w:rsid w:val="00682482"/>
    <w:rsid w:val="00684950"/>
    <w:rsid w:val="0068790A"/>
    <w:rsid w:val="0069095C"/>
    <w:rsid w:val="00690C57"/>
    <w:rsid w:val="00690DC0"/>
    <w:rsid w:val="006915D0"/>
    <w:rsid w:val="00692394"/>
    <w:rsid w:val="00692A12"/>
    <w:rsid w:val="00694368"/>
    <w:rsid w:val="00695681"/>
    <w:rsid w:val="00695F99"/>
    <w:rsid w:val="00696270"/>
    <w:rsid w:val="006A00CF"/>
    <w:rsid w:val="006A046F"/>
    <w:rsid w:val="006A05AF"/>
    <w:rsid w:val="006A1204"/>
    <w:rsid w:val="006A2672"/>
    <w:rsid w:val="006A37EE"/>
    <w:rsid w:val="006A41B0"/>
    <w:rsid w:val="006A540B"/>
    <w:rsid w:val="006A56A8"/>
    <w:rsid w:val="006A6401"/>
    <w:rsid w:val="006A7035"/>
    <w:rsid w:val="006A787E"/>
    <w:rsid w:val="006B01BD"/>
    <w:rsid w:val="006B15C8"/>
    <w:rsid w:val="006B4FED"/>
    <w:rsid w:val="006B5630"/>
    <w:rsid w:val="006B6BF1"/>
    <w:rsid w:val="006B70B1"/>
    <w:rsid w:val="006C08CE"/>
    <w:rsid w:val="006C1F78"/>
    <w:rsid w:val="006C2693"/>
    <w:rsid w:val="006C2987"/>
    <w:rsid w:val="006C3B08"/>
    <w:rsid w:val="006C3E39"/>
    <w:rsid w:val="006C4173"/>
    <w:rsid w:val="006C5E75"/>
    <w:rsid w:val="006C6E43"/>
    <w:rsid w:val="006C76FC"/>
    <w:rsid w:val="006D005F"/>
    <w:rsid w:val="006D1480"/>
    <w:rsid w:val="006D16B4"/>
    <w:rsid w:val="006D28F2"/>
    <w:rsid w:val="006D578F"/>
    <w:rsid w:val="006D5E22"/>
    <w:rsid w:val="006D65A0"/>
    <w:rsid w:val="006D6F1E"/>
    <w:rsid w:val="006D7B2E"/>
    <w:rsid w:val="006E14FF"/>
    <w:rsid w:val="006E2BF4"/>
    <w:rsid w:val="006E2D37"/>
    <w:rsid w:val="006E2DB1"/>
    <w:rsid w:val="006E31F1"/>
    <w:rsid w:val="006E3E42"/>
    <w:rsid w:val="006E4E41"/>
    <w:rsid w:val="006E64EC"/>
    <w:rsid w:val="006E6840"/>
    <w:rsid w:val="006E6901"/>
    <w:rsid w:val="006F04D5"/>
    <w:rsid w:val="006F0F2D"/>
    <w:rsid w:val="006F32B8"/>
    <w:rsid w:val="006F33BF"/>
    <w:rsid w:val="006F6332"/>
    <w:rsid w:val="006F72E9"/>
    <w:rsid w:val="00702036"/>
    <w:rsid w:val="00702769"/>
    <w:rsid w:val="00703671"/>
    <w:rsid w:val="007047AD"/>
    <w:rsid w:val="00710DBB"/>
    <w:rsid w:val="00714357"/>
    <w:rsid w:val="0071543E"/>
    <w:rsid w:val="00716B5A"/>
    <w:rsid w:val="00716D4B"/>
    <w:rsid w:val="007174BE"/>
    <w:rsid w:val="00717D7D"/>
    <w:rsid w:val="0072142B"/>
    <w:rsid w:val="007214F3"/>
    <w:rsid w:val="00721FB0"/>
    <w:rsid w:val="00722627"/>
    <w:rsid w:val="00723ED9"/>
    <w:rsid w:val="007251C6"/>
    <w:rsid w:val="007253F7"/>
    <w:rsid w:val="00725866"/>
    <w:rsid w:val="00726E23"/>
    <w:rsid w:val="00727140"/>
    <w:rsid w:val="00727EFB"/>
    <w:rsid w:val="007303C1"/>
    <w:rsid w:val="007313B5"/>
    <w:rsid w:val="00731A1F"/>
    <w:rsid w:val="00731A5C"/>
    <w:rsid w:val="00732088"/>
    <w:rsid w:val="00732F25"/>
    <w:rsid w:val="00734B4C"/>
    <w:rsid w:val="00736237"/>
    <w:rsid w:val="00740411"/>
    <w:rsid w:val="00740797"/>
    <w:rsid w:val="00740BB8"/>
    <w:rsid w:val="007431FF"/>
    <w:rsid w:val="00743695"/>
    <w:rsid w:val="007437C9"/>
    <w:rsid w:val="00744679"/>
    <w:rsid w:val="0074594B"/>
    <w:rsid w:val="00746845"/>
    <w:rsid w:val="00747CF9"/>
    <w:rsid w:val="007525DE"/>
    <w:rsid w:val="007531CF"/>
    <w:rsid w:val="00753F8D"/>
    <w:rsid w:val="007547E9"/>
    <w:rsid w:val="00755291"/>
    <w:rsid w:val="0075534B"/>
    <w:rsid w:val="007556B7"/>
    <w:rsid w:val="00756941"/>
    <w:rsid w:val="00756A2A"/>
    <w:rsid w:val="00757364"/>
    <w:rsid w:val="007578D3"/>
    <w:rsid w:val="00757EAE"/>
    <w:rsid w:val="00761802"/>
    <w:rsid w:val="00761B09"/>
    <w:rsid w:val="00761C7A"/>
    <w:rsid w:val="00763969"/>
    <w:rsid w:val="007706DA"/>
    <w:rsid w:val="00770AC0"/>
    <w:rsid w:val="007714B1"/>
    <w:rsid w:val="007719A3"/>
    <w:rsid w:val="00772AA5"/>
    <w:rsid w:val="00773725"/>
    <w:rsid w:val="00774AAA"/>
    <w:rsid w:val="00776239"/>
    <w:rsid w:val="00777B21"/>
    <w:rsid w:val="00781DBB"/>
    <w:rsid w:val="007822DC"/>
    <w:rsid w:val="00782589"/>
    <w:rsid w:val="00782DAD"/>
    <w:rsid w:val="007830F4"/>
    <w:rsid w:val="007842D1"/>
    <w:rsid w:val="007878E8"/>
    <w:rsid w:val="00791515"/>
    <w:rsid w:val="00791A9B"/>
    <w:rsid w:val="00791F57"/>
    <w:rsid w:val="00792FEC"/>
    <w:rsid w:val="00793DF4"/>
    <w:rsid w:val="00793F38"/>
    <w:rsid w:val="007941DC"/>
    <w:rsid w:val="00794A2F"/>
    <w:rsid w:val="0079544C"/>
    <w:rsid w:val="00796AB5"/>
    <w:rsid w:val="00796D8F"/>
    <w:rsid w:val="00797B4B"/>
    <w:rsid w:val="00797D93"/>
    <w:rsid w:val="007A381A"/>
    <w:rsid w:val="007A4FF6"/>
    <w:rsid w:val="007A5914"/>
    <w:rsid w:val="007A6353"/>
    <w:rsid w:val="007A647B"/>
    <w:rsid w:val="007B00BB"/>
    <w:rsid w:val="007B2489"/>
    <w:rsid w:val="007B2731"/>
    <w:rsid w:val="007B2ECF"/>
    <w:rsid w:val="007B311E"/>
    <w:rsid w:val="007B4D4E"/>
    <w:rsid w:val="007B5B90"/>
    <w:rsid w:val="007B6C5D"/>
    <w:rsid w:val="007C0AC1"/>
    <w:rsid w:val="007C2085"/>
    <w:rsid w:val="007C42D0"/>
    <w:rsid w:val="007C4BEE"/>
    <w:rsid w:val="007C5874"/>
    <w:rsid w:val="007C67B4"/>
    <w:rsid w:val="007C72C8"/>
    <w:rsid w:val="007C7676"/>
    <w:rsid w:val="007D1438"/>
    <w:rsid w:val="007D14BA"/>
    <w:rsid w:val="007D16AB"/>
    <w:rsid w:val="007D5AB6"/>
    <w:rsid w:val="007D5D2B"/>
    <w:rsid w:val="007E0066"/>
    <w:rsid w:val="007E222F"/>
    <w:rsid w:val="007E523D"/>
    <w:rsid w:val="007E669B"/>
    <w:rsid w:val="007F1FC6"/>
    <w:rsid w:val="007F2248"/>
    <w:rsid w:val="007F23AE"/>
    <w:rsid w:val="007F2C23"/>
    <w:rsid w:val="007F3456"/>
    <w:rsid w:val="007F6701"/>
    <w:rsid w:val="007F6C98"/>
    <w:rsid w:val="007F7D4D"/>
    <w:rsid w:val="00802071"/>
    <w:rsid w:val="00802ECC"/>
    <w:rsid w:val="00804830"/>
    <w:rsid w:val="008053A3"/>
    <w:rsid w:val="00805BE9"/>
    <w:rsid w:val="00805FA7"/>
    <w:rsid w:val="00806BD8"/>
    <w:rsid w:val="00812EE2"/>
    <w:rsid w:val="00813164"/>
    <w:rsid w:val="00813279"/>
    <w:rsid w:val="00815584"/>
    <w:rsid w:val="00815CA5"/>
    <w:rsid w:val="0082040F"/>
    <w:rsid w:val="008232EF"/>
    <w:rsid w:val="0082467B"/>
    <w:rsid w:val="008250AA"/>
    <w:rsid w:val="008253D2"/>
    <w:rsid w:val="00825D18"/>
    <w:rsid w:val="0082733B"/>
    <w:rsid w:val="00830037"/>
    <w:rsid w:val="00831735"/>
    <w:rsid w:val="008322CC"/>
    <w:rsid w:val="00832F1E"/>
    <w:rsid w:val="008344C6"/>
    <w:rsid w:val="0083455D"/>
    <w:rsid w:val="00834B9B"/>
    <w:rsid w:val="008376A9"/>
    <w:rsid w:val="00840372"/>
    <w:rsid w:val="008405F7"/>
    <w:rsid w:val="008407D3"/>
    <w:rsid w:val="008409A6"/>
    <w:rsid w:val="0084124E"/>
    <w:rsid w:val="0084169F"/>
    <w:rsid w:val="008422F9"/>
    <w:rsid w:val="00844AD7"/>
    <w:rsid w:val="008460E9"/>
    <w:rsid w:val="00847A86"/>
    <w:rsid w:val="0085047B"/>
    <w:rsid w:val="00850D58"/>
    <w:rsid w:val="008517C8"/>
    <w:rsid w:val="00851E83"/>
    <w:rsid w:val="00851EC4"/>
    <w:rsid w:val="00851F42"/>
    <w:rsid w:val="00852B35"/>
    <w:rsid w:val="00853C01"/>
    <w:rsid w:val="00854EEC"/>
    <w:rsid w:val="00855463"/>
    <w:rsid w:val="0085618A"/>
    <w:rsid w:val="008565D3"/>
    <w:rsid w:val="008570F8"/>
    <w:rsid w:val="00857DC0"/>
    <w:rsid w:val="008617DD"/>
    <w:rsid w:val="0086298F"/>
    <w:rsid w:val="00862A8A"/>
    <w:rsid w:val="0086308C"/>
    <w:rsid w:val="00864457"/>
    <w:rsid w:val="00866495"/>
    <w:rsid w:val="00866FD5"/>
    <w:rsid w:val="00870394"/>
    <w:rsid w:val="00870577"/>
    <w:rsid w:val="00871153"/>
    <w:rsid w:val="008735AA"/>
    <w:rsid w:val="008735EA"/>
    <w:rsid w:val="00873E7A"/>
    <w:rsid w:val="0087586F"/>
    <w:rsid w:val="00876E5F"/>
    <w:rsid w:val="00877B58"/>
    <w:rsid w:val="008808D2"/>
    <w:rsid w:val="00880DB5"/>
    <w:rsid w:val="00886059"/>
    <w:rsid w:val="008866A0"/>
    <w:rsid w:val="00887440"/>
    <w:rsid w:val="00890133"/>
    <w:rsid w:val="0089045D"/>
    <w:rsid w:val="00891768"/>
    <w:rsid w:val="00891C90"/>
    <w:rsid w:val="00891D7A"/>
    <w:rsid w:val="0089238E"/>
    <w:rsid w:val="00894B10"/>
    <w:rsid w:val="00894F4E"/>
    <w:rsid w:val="00895325"/>
    <w:rsid w:val="008960E2"/>
    <w:rsid w:val="00896949"/>
    <w:rsid w:val="008971DE"/>
    <w:rsid w:val="008971FD"/>
    <w:rsid w:val="0089760E"/>
    <w:rsid w:val="008A0815"/>
    <w:rsid w:val="008A28F4"/>
    <w:rsid w:val="008A29FC"/>
    <w:rsid w:val="008A2FCB"/>
    <w:rsid w:val="008A6601"/>
    <w:rsid w:val="008A709E"/>
    <w:rsid w:val="008B0CD1"/>
    <w:rsid w:val="008B20F3"/>
    <w:rsid w:val="008B35D9"/>
    <w:rsid w:val="008B3FA3"/>
    <w:rsid w:val="008B4FF6"/>
    <w:rsid w:val="008B55FB"/>
    <w:rsid w:val="008B584B"/>
    <w:rsid w:val="008B6B4E"/>
    <w:rsid w:val="008C05B7"/>
    <w:rsid w:val="008C0FDC"/>
    <w:rsid w:val="008C1151"/>
    <w:rsid w:val="008C1939"/>
    <w:rsid w:val="008C2C93"/>
    <w:rsid w:val="008C2DBC"/>
    <w:rsid w:val="008C471F"/>
    <w:rsid w:val="008C6113"/>
    <w:rsid w:val="008C6391"/>
    <w:rsid w:val="008C68A9"/>
    <w:rsid w:val="008C7200"/>
    <w:rsid w:val="008C796E"/>
    <w:rsid w:val="008D0368"/>
    <w:rsid w:val="008D1B15"/>
    <w:rsid w:val="008D33D0"/>
    <w:rsid w:val="008D5782"/>
    <w:rsid w:val="008D6C04"/>
    <w:rsid w:val="008D71CA"/>
    <w:rsid w:val="008D7DE8"/>
    <w:rsid w:val="008E14E0"/>
    <w:rsid w:val="008E275A"/>
    <w:rsid w:val="008E404C"/>
    <w:rsid w:val="008E47D7"/>
    <w:rsid w:val="008E5BAD"/>
    <w:rsid w:val="008E5CD6"/>
    <w:rsid w:val="008E65B8"/>
    <w:rsid w:val="008E677B"/>
    <w:rsid w:val="008E67A0"/>
    <w:rsid w:val="008E6B2F"/>
    <w:rsid w:val="008E7555"/>
    <w:rsid w:val="008F071E"/>
    <w:rsid w:val="008F2772"/>
    <w:rsid w:val="008F325A"/>
    <w:rsid w:val="008F4A96"/>
    <w:rsid w:val="008F6532"/>
    <w:rsid w:val="008F6B5A"/>
    <w:rsid w:val="008F7468"/>
    <w:rsid w:val="008F7B53"/>
    <w:rsid w:val="00900187"/>
    <w:rsid w:val="009001B4"/>
    <w:rsid w:val="00900864"/>
    <w:rsid w:val="00901278"/>
    <w:rsid w:val="0090167D"/>
    <w:rsid w:val="00901F39"/>
    <w:rsid w:val="00901FC8"/>
    <w:rsid w:val="009045DB"/>
    <w:rsid w:val="009048EE"/>
    <w:rsid w:val="00904F40"/>
    <w:rsid w:val="00906A8E"/>
    <w:rsid w:val="00907E1F"/>
    <w:rsid w:val="009121E6"/>
    <w:rsid w:val="009129A5"/>
    <w:rsid w:val="00912C73"/>
    <w:rsid w:val="009131FB"/>
    <w:rsid w:val="00913235"/>
    <w:rsid w:val="00913920"/>
    <w:rsid w:val="00913A9F"/>
    <w:rsid w:val="00913F0D"/>
    <w:rsid w:val="00914D4B"/>
    <w:rsid w:val="009154EC"/>
    <w:rsid w:val="00915C8E"/>
    <w:rsid w:val="0091623C"/>
    <w:rsid w:val="009167B9"/>
    <w:rsid w:val="00916963"/>
    <w:rsid w:val="00916CF3"/>
    <w:rsid w:val="00917F4C"/>
    <w:rsid w:val="009205B4"/>
    <w:rsid w:val="009215F0"/>
    <w:rsid w:val="00922B4E"/>
    <w:rsid w:val="00922D8A"/>
    <w:rsid w:val="0092530A"/>
    <w:rsid w:val="009272BA"/>
    <w:rsid w:val="00930A81"/>
    <w:rsid w:val="00931AB6"/>
    <w:rsid w:val="00932C2E"/>
    <w:rsid w:val="00934566"/>
    <w:rsid w:val="00936043"/>
    <w:rsid w:val="00936340"/>
    <w:rsid w:val="009377C5"/>
    <w:rsid w:val="00940885"/>
    <w:rsid w:val="00940E45"/>
    <w:rsid w:val="009413AA"/>
    <w:rsid w:val="009421A1"/>
    <w:rsid w:val="009432B2"/>
    <w:rsid w:val="009444A3"/>
    <w:rsid w:val="009456B3"/>
    <w:rsid w:val="00947057"/>
    <w:rsid w:val="00947568"/>
    <w:rsid w:val="00950C04"/>
    <w:rsid w:val="00950C43"/>
    <w:rsid w:val="00952FE2"/>
    <w:rsid w:val="00954498"/>
    <w:rsid w:val="00954C93"/>
    <w:rsid w:val="00954F80"/>
    <w:rsid w:val="00956765"/>
    <w:rsid w:val="009570CD"/>
    <w:rsid w:val="00957753"/>
    <w:rsid w:val="00966944"/>
    <w:rsid w:val="00966C13"/>
    <w:rsid w:val="0096789A"/>
    <w:rsid w:val="00970C79"/>
    <w:rsid w:val="00970ED3"/>
    <w:rsid w:val="009719F5"/>
    <w:rsid w:val="00971B1D"/>
    <w:rsid w:val="00971C96"/>
    <w:rsid w:val="00971F32"/>
    <w:rsid w:val="009734F6"/>
    <w:rsid w:val="00973646"/>
    <w:rsid w:val="009743C3"/>
    <w:rsid w:val="00974D68"/>
    <w:rsid w:val="0097567A"/>
    <w:rsid w:val="00976B6B"/>
    <w:rsid w:val="00976D7F"/>
    <w:rsid w:val="009817B5"/>
    <w:rsid w:val="00981844"/>
    <w:rsid w:val="009828E9"/>
    <w:rsid w:val="00983BF9"/>
    <w:rsid w:val="009840A4"/>
    <w:rsid w:val="00985307"/>
    <w:rsid w:val="00985BD6"/>
    <w:rsid w:val="00986913"/>
    <w:rsid w:val="009877EA"/>
    <w:rsid w:val="00987DA9"/>
    <w:rsid w:val="0099027A"/>
    <w:rsid w:val="009908F4"/>
    <w:rsid w:val="009911AA"/>
    <w:rsid w:val="009911CA"/>
    <w:rsid w:val="00991420"/>
    <w:rsid w:val="00992667"/>
    <w:rsid w:val="00992D57"/>
    <w:rsid w:val="00992E8A"/>
    <w:rsid w:val="009969C1"/>
    <w:rsid w:val="00996E89"/>
    <w:rsid w:val="0099715C"/>
    <w:rsid w:val="00997255"/>
    <w:rsid w:val="009A218A"/>
    <w:rsid w:val="009A651C"/>
    <w:rsid w:val="009A68A5"/>
    <w:rsid w:val="009A7736"/>
    <w:rsid w:val="009A7CE1"/>
    <w:rsid w:val="009B0422"/>
    <w:rsid w:val="009B0A74"/>
    <w:rsid w:val="009B18E7"/>
    <w:rsid w:val="009B2C84"/>
    <w:rsid w:val="009B33A6"/>
    <w:rsid w:val="009B4C35"/>
    <w:rsid w:val="009B4D55"/>
    <w:rsid w:val="009B6CF2"/>
    <w:rsid w:val="009C13F6"/>
    <w:rsid w:val="009C2F17"/>
    <w:rsid w:val="009C5B78"/>
    <w:rsid w:val="009C5EEC"/>
    <w:rsid w:val="009C70B5"/>
    <w:rsid w:val="009C76EB"/>
    <w:rsid w:val="009D0964"/>
    <w:rsid w:val="009D0E4F"/>
    <w:rsid w:val="009D1435"/>
    <w:rsid w:val="009D2301"/>
    <w:rsid w:val="009D31AE"/>
    <w:rsid w:val="009D31F2"/>
    <w:rsid w:val="009D33E1"/>
    <w:rsid w:val="009D3D0E"/>
    <w:rsid w:val="009D49F0"/>
    <w:rsid w:val="009D5228"/>
    <w:rsid w:val="009D54D3"/>
    <w:rsid w:val="009D61FE"/>
    <w:rsid w:val="009D7595"/>
    <w:rsid w:val="009E0322"/>
    <w:rsid w:val="009E1A41"/>
    <w:rsid w:val="009E55C2"/>
    <w:rsid w:val="009E6419"/>
    <w:rsid w:val="009E6C52"/>
    <w:rsid w:val="009F14BD"/>
    <w:rsid w:val="009F1F8B"/>
    <w:rsid w:val="009F3DA3"/>
    <w:rsid w:val="009F3F5E"/>
    <w:rsid w:val="009F3FC4"/>
    <w:rsid w:val="009F3FDC"/>
    <w:rsid w:val="009F4186"/>
    <w:rsid w:val="009F4E8A"/>
    <w:rsid w:val="009F56D7"/>
    <w:rsid w:val="009F650C"/>
    <w:rsid w:val="009F6B4E"/>
    <w:rsid w:val="009F6FAF"/>
    <w:rsid w:val="00A001DD"/>
    <w:rsid w:val="00A017D6"/>
    <w:rsid w:val="00A0185B"/>
    <w:rsid w:val="00A01F5B"/>
    <w:rsid w:val="00A027B6"/>
    <w:rsid w:val="00A03988"/>
    <w:rsid w:val="00A0414F"/>
    <w:rsid w:val="00A06426"/>
    <w:rsid w:val="00A07371"/>
    <w:rsid w:val="00A076B4"/>
    <w:rsid w:val="00A10686"/>
    <w:rsid w:val="00A112DC"/>
    <w:rsid w:val="00A119A7"/>
    <w:rsid w:val="00A12627"/>
    <w:rsid w:val="00A1264C"/>
    <w:rsid w:val="00A13D7F"/>
    <w:rsid w:val="00A14746"/>
    <w:rsid w:val="00A151C8"/>
    <w:rsid w:val="00A1565A"/>
    <w:rsid w:val="00A15883"/>
    <w:rsid w:val="00A164D7"/>
    <w:rsid w:val="00A1700F"/>
    <w:rsid w:val="00A200D8"/>
    <w:rsid w:val="00A20B98"/>
    <w:rsid w:val="00A248B4"/>
    <w:rsid w:val="00A24EE5"/>
    <w:rsid w:val="00A24F24"/>
    <w:rsid w:val="00A25968"/>
    <w:rsid w:val="00A26A4D"/>
    <w:rsid w:val="00A26FC9"/>
    <w:rsid w:val="00A2741D"/>
    <w:rsid w:val="00A27C23"/>
    <w:rsid w:val="00A27C4E"/>
    <w:rsid w:val="00A27E23"/>
    <w:rsid w:val="00A30EA9"/>
    <w:rsid w:val="00A30F07"/>
    <w:rsid w:val="00A3398F"/>
    <w:rsid w:val="00A367AE"/>
    <w:rsid w:val="00A36CEF"/>
    <w:rsid w:val="00A36EF4"/>
    <w:rsid w:val="00A40FCB"/>
    <w:rsid w:val="00A44A5E"/>
    <w:rsid w:val="00A44D55"/>
    <w:rsid w:val="00A450C2"/>
    <w:rsid w:val="00A453E1"/>
    <w:rsid w:val="00A45721"/>
    <w:rsid w:val="00A46133"/>
    <w:rsid w:val="00A47193"/>
    <w:rsid w:val="00A474EB"/>
    <w:rsid w:val="00A47921"/>
    <w:rsid w:val="00A47A40"/>
    <w:rsid w:val="00A47A89"/>
    <w:rsid w:val="00A507EF"/>
    <w:rsid w:val="00A51DEB"/>
    <w:rsid w:val="00A520A5"/>
    <w:rsid w:val="00A520CA"/>
    <w:rsid w:val="00A52886"/>
    <w:rsid w:val="00A53326"/>
    <w:rsid w:val="00A54422"/>
    <w:rsid w:val="00A54FF4"/>
    <w:rsid w:val="00A55319"/>
    <w:rsid w:val="00A55CF0"/>
    <w:rsid w:val="00A56C72"/>
    <w:rsid w:val="00A57AC0"/>
    <w:rsid w:val="00A60FA0"/>
    <w:rsid w:val="00A61CF6"/>
    <w:rsid w:val="00A63230"/>
    <w:rsid w:val="00A645BB"/>
    <w:rsid w:val="00A645C8"/>
    <w:rsid w:val="00A65567"/>
    <w:rsid w:val="00A65DD9"/>
    <w:rsid w:val="00A67843"/>
    <w:rsid w:val="00A746CD"/>
    <w:rsid w:val="00A74EE6"/>
    <w:rsid w:val="00A7638A"/>
    <w:rsid w:val="00A76745"/>
    <w:rsid w:val="00A81161"/>
    <w:rsid w:val="00A837DB"/>
    <w:rsid w:val="00A859DE"/>
    <w:rsid w:val="00A85D4D"/>
    <w:rsid w:val="00A904F1"/>
    <w:rsid w:val="00A90956"/>
    <w:rsid w:val="00A90DAD"/>
    <w:rsid w:val="00A9130E"/>
    <w:rsid w:val="00A91C28"/>
    <w:rsid w:val="00A92BE9"/>
    <w:rsid w:val="00A94097"/>
    <w:rsid w:val="00A9529E"/>
    <w:rsid w:val="00A96467"/>
    <w:rsid w:val="00A96B6F"/>
    <w:rsid w:val="00A97DE9"/>
    <w:rsid w:val="00AA0293"/>
    <w:rsid w:val="00AA0859"/>
    <w:rsid w:val="00AA1D17"/>
    <w:rsid w:val="00AA4D62"/>
    <w:rsid w:val="00AA4DEA"/>
    <w:rsid w:val="00AA5417"/>
    <w:rsid w:val="00AA6275"/>
    <w:rsid w:val="00AB07C5"/>
    <w:rsid w:val="00AB0D07"/>
    <w:rsid w:val="00AB1210"/>
    <w:rsid w:val="00AB1C49"/>
    <w:rsid w:val="00AB1DE7"/>
    <w:rsid w:val="00AB2902"/>
    <w:rsid w:val="00AB2B91"/>
    <w:rsid w:val="00AB33BD"/>
    <w:rsid w:val="00AB4112"/>
    <w:rsid w:val="00AB48E5"/>
    <w:rsid w:val="00AB5718"/>
    <w:rsid w:val="00AC2108"/>
    <w:rsid w:val="00AC2134"/>
    <w:rsid w:val="00AC2C2A"/>
    <w:rsid w:val="00AC2F31"/>
    <w:rsid w:val="00AC3554"/>
    <w:rsid w:val="00AC3CD2"/>
    <w:rsid w:val="00AC5B21"/>
    <w:rsid w:val="00AC67E4"/>
    <w:rsid w:val="00AC6916"/>
    <w:rsid w:val="00AC6FB5"/>
    <w:rsid w:val="00AC7FC5"/>
    <w:rsid w:val="00AD109B"/>
    <w:rsid w:val="00AD16C0"/>
    <w:rsid w:val="00AD2E3C"/>
    <w:rsid w:val="00AD4BF0"/>
    <w:rsid w:val="00AD69C0"/>
    <w:rsid w:val="00AD6FF0"/>
    <w:rsid w:val="00AD7046"/>
    <w:rsid w:val="00AE0FC5"/>
    <w:rsid w:val="00AE330D"/>
    <w:rsid w:val="00AE33B1"/>
    <w:rsid w:val="00AE4C69"/>
    <w:rsid w:val="00AE4FC8"/>
    <w:rsid w:val="00AE545A"/>
    <w:rsid w:val="00AE63E2"/>
    <w:rsid w:val="00AF0424"/>
    <w:rsid w:val="00AF057A"/>
    <w:rsid w:val="00AF0644"/>
    <w:rsid w:val="00AF089D"/>
    <w:rsid w:val="00AF10AB"/>
    <w:rsid w:val="00AF216E"/>
    <w:rsid w:val="00AF2B36"/>
    <w:rsid w:val="00AF310B"/>
    <w:rsid w:val="00AF37A6"/>
    <w:rsid w:val="00AF448C"/>
    <w:rsid w:val="00AF568B"/>
    <w:rsid w:val="00AF5EC9"/>
    <w:rsid w:val="00AF64B8"/>
    <w:rsid w:val="00B01AC6"/>
    <w:rsid w:val="00B03247"/>
    <w:rsid w:val="00B055D3"/>
    <w:rsid w:val="00B068F8"/>
    <w:rsid w:val="00B0727B"/>
    <w:rsid w:val="00B07423"/>
    <w:rsid w:val="00B10F3E"/>
    <w:rsid w:val="00B10FFD"/>
    <w:rsid w:val="00B13D78"/>
    <w:rsid w:val="00B13E6A"/>
    <w:rsid w:val="00B1414A"/>
    <w:rsid w:val="00B150A1"/>
    <w:rsid w:val="00B15B3B"/>
    <w:rsid w:val="00B15D75"/>
    <w:rsid w:val="00B15E56"/>
    <w:rsid w:val="00B207CC"/>
    <w:rsid w:val="00B2151E"/>
    <w:rsid w:val="00B2185C"/>
    <w:rsid w:val="00B21C4D"/>
    <w:rsid w:val="00B237CA"/>
    <w:rsid w:val="00B2455A"/>
    <w:rsid w:val="00B249FD"/>
    <w:rsid w:val="00B24E65"/>
    <w:rsid w:val="00B25263"/>
    <w:rsid w:val="00B255F4"/>
    <w:rsid w:val="00B2633B"/>
    <w:rsid w:val="00B30937"/>
    <w:rsid w:val="00B31F5E"/>
    <w:rsid w:val="00B33041"/>
    <w:rsid w:val="00B338AE"/>
    <w:rsid w:val="00B33F8F"/>
    <w:rsid w:val="00B347A4"/>
    <w:rsid w:val="00B35330"/>
    <w:rsid w:val="00B35341"/>
    <w:rsid w:val="00B37072"/>
    <w:rsid w:val="00B403FC"/>
    <w:rsid w:val="00B40E4C"/>
    <w:rsid w:val="00B413F2"/>
    <w:rsid w:val="00B416CC"/>
    <w:rsid w:val="00B41CBF"/>
    <w:rsid w:val="00B422F2"/>
    <w:rsid w:val="00B43396"/>
    <w:rsid w:val="00B4391E"/>
    <w:rsid w:val="00B45118"/>
    <w:rsid w:val="00B46D56"/>
    <w:rsid w:val="00B519E8"/>
    <w:rsid w:val="00B520E8"/>
    <w:rsid w:val="00B5261E"/>
    <w:rsid w:val="00B52CDF"/>
    <w:rsid w:val="00B52DDA"/>
    <w:rsid w:val="00B535A6"/>
    <w:rsid w:val="00B536EF"/>
    <w:rsid w:val="00B54374"/>
    <w:rsid w:val="00B54832"/>
    <w:rsid w:val="00B54CB5"/>
    <w:rsid w:val="00B561C5"/>
    <w:rsid w:val="00B56BFC"/>
    <w:rsid w:val="00B56E32"/>
    <w:rsid w:val="00B570E7"/>
    <w:rsid w:val="00B5710C"/>
    <w:rsid w:val="00B60177"/>
    <w:rsid w:val="00B6065E"/>
    <w:rsid w:val="00B60F33"/>
    <w:rsid w:val="00B617AF"/>
    <w:rsid w:val="00B6224E"/>
    <w:rsid w:val="00B63821"/>
    <w:rsid w:val="00B6461C"/>
    <w:rsid w:val="00B659AC"/>
    <w:rsid w:val="00B66750"/>
    <w:rsid w:val="00B667D9"/>
    <w:rsid w:val="00B70C4B"/>
    <w:rsid w:val="00B711C4"/>
    <w:rsid w:val="00B71200"/>
    <w:rsid w:val="00B71D52"/>
    <w:rsid w:val="00B727BB"/>
    <w:rsid w:val="00B74569"/>
    <w:rsid w:val="00B74CE6"/>
    <w:rsid w:val="00B74EAE"/>
    <w:rsid w:val="00B74FA6"/>
    <w:rsid w:val="00B75383"/>
    <w:rsid w:val="00B77AA2"/>
    <w:rsid w:val="00B831F9"/>
    <w:rsid w:val="00B83C54"/>
    <w:rsid w:val="00B83DA8"/>
    <w:rsid w:val="00B8534C"/>
    <w:rsid w:val="00B86BDD"/>
    <w:rsid w:val="00B8713F"/>
    <w:rsid w:val="00B87AFE"/>
    <w:rsid w:val="00B916A5"/>
    <w:rsid w:val="00B91CEC"/>
    <w:rsid w:val="00B937FE"/>
    <w:rsid w:val="00B938D5"/>
    <w:rsid w:val="00B9447D"/>
    <w:rsid w:val="00B963B5"/>
    <w:rsid w:val="00BA03DE"/>
    <w:rsid w:val="00BA0537"/>
    <w:rsid w:val="00BA1247"/>
    <w:rsid w:val="00BA1592"/>
    <w:rsid w:val="00BA1953"/>
    <w:rsid w:val="00BA3C3E"/>
    <w:rsid w:val="00BA3DD1"/>
    <w:rsid w:val="00BA4A6F"/>
    <w:rsid w:val="00BA5700"/>
    <w:rsid w:val="00BA5DA3"/>
    <w:rsid w:val="00BA62D8"/>
    <w:rsid w:val="00BA6303"/>
    <w:rsid w:val="00BA68DD"/>
    <w:rsid w:val="00BA7CC6"/>
    <w:rsid w:val="00BB005C"/>
    <w:rsid w:val="00BB16AF"/>
    <w:rsid w:val="00BB175A"/>
    <w:rsid w:val="00BB1C0C"/>
    <w:rsid w:val="00BB23C8"/>
    <w:rsid w:val="00BB3D90"/>
    <w:rsid w:val="00BB3E73"/>
    <w:rsid w:val="00BB545C"/>
    <w:rsid w:val="00BB7C5F"/>
    <w:rsid w:val="00BB7F14"/>
    <w:rsid w:val="00BC0269"/>
    <w:rsid w:val="00BC078E"/>
    <w:rsid w:val="00BC30AD"/>
    <w:rsid w:val="00BC3755"/>
    <w:rsid w:val="00BC5EB2"/>
    <w:rsid w:val="00BC6AAB"/>
    <w:rsid w:val="00BC6C23"/>
    <w:rsid w:val="00BC70E8"/>
    <w:rsid w:val="00BD0155"/>
    <w:rsid w:val="00BD17C6"/>
    <w:rsid w:val="00BD22F4"/>
    <w:rsid w:val="00BD253D"/>
    <w:rsid w:val="00BD2872"/>
    <w:rsid w:val="00BD2C3F"/>
    <w:rsid w:val="00BD2E3B"/>
    <w:rsid w:val="00BD4CE5"/>
    <w:rsid w:val="00BD5E9C"/>
    <w:rsid w:val="00BD7BF3"/>
    <w:rsid w:val="00BD7C96"/>
    <w:rsid w:val="00BD7D3F"/>
    <w:rsid w:val="00BE1481"/>
    <w:rsid w:val="00BE1C24"/>
    <w:rsid w:val="00BE2EC0"/>
    <w:rsid w:val="00BE626D"/>
    <w:rsid w:val="00BF171E"/>
    <w:rsid w:val="00BF1954"/>
    <w:rsid w:val="00BF5440"/>
    <w:rsid w:val="00BF5466"/>
    <w:rsid w:val="00BF67BC"/>
    <w:rsid w:val="00C00ACA"/>
    <w:rsid w:val="00C01212"/>
    <w:rsid w:val="00C01CD8"/>
    <w:rsid w:val="00C01FE3"/>
    <w:rsid w:val="00C02026"/>
    <w:rsid w:val="00C02AF5"/>
    <w:rsid w:val="00C031F3"/>
    <w:rsid w:val="00C0408C"/>
    <w:rsid w:val="00C05089"/>
    <w:rsid w:val="00C055F1"/>
    <w:rsid w:val="00C05A4D"/>
    <w:rsid w:val="00C06DDD"/>
    <w:rsid w:val="00C06F69"/>
    <w:rsid w:val="00C07671"/>
    <w:rsid w:val="00C105CE"/>
    <w:rsid w:val="00C1119B"/>
    <w:rsid w:val="00C12A4A"/>
    <w:rsid w:val="00C14217"/>
    <w:rsid w:val="00C14748"/>
    <w:rsid w:val="00C14B66"/>
    <w:rsid w:val="00C17DCF"/>
    <w:rsid w:val="00C21548"/>
    <w:rsid w:val="00C23043"/>
    <w:rsid w:val="00C2618B"/>
    <w:rsid w:val="00C26A86"/>
    <w:rsid w:val="00C27BCF"/>
    <w:rsid w:val="00C310B8"/>
    <w:rsid w:val="00C31402"/>
    <w:rsid w:val="00C3429A"/>
    <w:rsid w:val="00C3579C"/>
    <w:rsid w:val="00C35E60"/>
    <w:rsid w:val="00C36604"/>
    <w:rsid w:val="00C37BC4"/>
    <w:rsid w:val="00C40029"/>
    <w:rsid w:val="00C410B7"/>
    <w:rsid w:val="00C42BC7"/>
    <w:rsid w:val="00C42EEA"/>
    <w:rsid w:val="00C4393D"/>
    <w:rsid w:val="00C448A2"/>
    <w:rsid w:val="00C45F20"/>
    <w:rsid w:val="00C4698D"/>
    <w:rsid w:val="00C46E5F"/>
    <w:rsid w:val="00C474DE"/>
    <w:rsid w:val="00C47FFD"/>
    <w:rsid w:val="00C500D2"/>
    <w:rsid w:val="00C505D5"/>
    <w:rsid w:val="00C51D48"/>
    <w:rsid w:val="00C52A18"/>
    <w:rsid w:val="00C6006F"/>
    <w:rsid w:val="00C6023F"/>
    <w:rsid w:val="00C603B3"/>
    <w:rsid w:val="00C63B43"/>
    <w:rsid w:val="00C64918"/>
    <w:rsid w:val="00C6531E"/>
    <w:rsid w:val="00C6625F"/>
    <w:rsid w:val="00C66905"/>
    <w:rsid w:val="00C677B0"/>
    <w:rsid w:val="00C704FD"/>
    <w:rsid w:val="00C7186A"/>
    <w:rsid w:val="00C71894"/>
    <w:rsid w:val="00C71DF3"/>
    <w:rsid w:val="00C729AD"/>
    <w:rsid w:val="00C74DC3"/>
    <w:rsid w:val="00C75181"/>
    <w:rsid w:val="00C76388"/>
    <w:rsid w:val="00C76425"/>
    <w:rsid w:val="00C76B5F"/>
    <w:rsid w:val="00C77E49"/>
    <w:rsid w:val="00C81D44"/>
    <w:rsid w:val="00C852FB"/>
    <w:rsid w:val="00C8540F"/>
    <w:rsid w:val="00C87377"/>
    <w:rsid w:val="00C9012B"/>
    <w:rsid w:val="00C9131B"/>
    <w:rsid w:val="00C92480"/>
    <w:rsid w:val="00C935CE"/>
    <w:rsid w:val="00C938A4"/>
    <w:rsid w:val="00C956B3"/>
    <w:rsid w:val="00C957A2"/>
    <w:rsid w:val="00C95C38"/>
    <w:rsid w:val="00C9648F"/>
    <w:rsid w:val="00C96A6D"/>
    <w:rsid w:val="00C96D8F"/>
    <w:rsid w:val="00C97852"/>
    <w:rsid w:val="00CA07BB"/>
    <w:rsid w:val="00CA0B09"/>
    <w:rsid w:val="00CA0B50"/>
    <w:rsid w:val="00CA1550"/>
    <w:rsid w:val="00CA1A91"/>
    <w:rsid w:val="00CA2558"/>
    <w:rsid w:val="00CA33F2"/>
    <w:rsid w:val="00CA4C21"/>
    <w:rsid w:val="00CA5B4D"/>
    <w:rsid w:val="00CA5FB1"/>
    <w:rsid w:val="00CA785F"/>
    <w:rsid w:val="00CB0C8A"/>
    <w:rsid w:val="00CB2DE5"/>
    <w:rsid w:val="00CB2F21"/>
    <w:rsid w:val="00CB2FF7"/>
    <w:rsid w:val="00CB58AA"/>
    <w:rsid w:val="00CB636D"/>
    <w:rsid w:val="00CB7416"/>
    <w:rsid w:val="00CB74CA"/>
    <w:rsid w:val="00CC0489"/>
    <w:rsid w:val="00CC1125"/>
    <w:rsid w:val="00CC135E"/>
    <w:rsid w:val="00CC18C2"/>
    <w:rsid w:val="00CC1BD8"/>
    <w:rsid w:val="00CC1FFF"/>
    <w:rsid w:val="00CC2BDF"/>
    <w:rsid w:val="00CC2C89"/>
    <w:rsid w:val="00CC2E70"/>
    <w:rsid w:val="00CC2E9C"/>
    <w:rsid w:val="00CC472B"/>
    <w:rsid w:val="00CC4ED4"/>
    <w:rsid w:val="00CC5B85"/>
    <w:rsid w:val="00CC5E2E"/>
    <w:rsid w:val="00CD074C"/>
    <w:rsid w:val="00CD083C"/>
    <w:rsid w:val="00CD0CA1"/>
    <w:rsid w:val="00CD1CB8"/>
    <w:rsid w:val="00CD22BF"/>
    <w:rsid w:val="00CD267C"/>
    <w:rsid w:val="00CD2B34"/>
    <w:rsid w:val="00CD3485"/>
    <w:rsid w:val="00CD67D1"/>
    <w:rsid w:val="00CD68E6"/>
    <w:rsid w:val="00CD6BB9"/>
    <w:rsid w:val="00CD7909"/>
    <w:rsid w:val="00CD7E59"/>
    <w:rsid w:val="00CE0F4E"/>
    <w:rsid w:val="00CE1502"/>
    <w:rsid w:val="00CE1B47"/>
    <w:rsid w:val="00CE4763"/>
    <w:rsid w:val="00CE4F06"/>
    <w:rsid w:val="00CE5B44"/>
    <w:rsid w:val="00CF07E5"/>
    <w:rsid w:val="00CF45F2"/>
    <w:rsid w:val="00CF7F1D"/>
    <w:rsid w:val="00D005D0"/>
    <w:rsid w:val="00D0115B"/>
    <w:rsid w:val="00D016A8"/>
    <w:rsid w:val="00D01F18"/>
    <w:rsid w:val="00D030D7"/>
    <w:rsid w:val="00D03B9F"/>
    <w:rsid w:val="00D046AF"/>
    <w:rsid w:val="00D05A4F"/>
    <w:rsid w:val="00D068B7"/>
    <w:rsid w:val="00D07087"/>
    <w:rsid w:val="00D1020E"/>
    <w:rsid w:val="00D12C82"/>
    <w:rsid w:val="00D146D3"/>
    <w:rsid w:val="00D1480D"/>
    <w:rsid w:val="00D1529B"/>
    <w:rsid w:val="00D1573A"/>
    <w:rsid w:val="00D15803"/>
    <w:rsid w:val="00D15CC9"/>
    <w:rsid w:val="00D2124F"/>
    <w:rsid w:val="00D21997"/>
    <w:rsid w:val="00D21E9F"/>
    <w:rsid w:val="00D22416"/>
    <w:rsid w:val="00D23C69"/>
    <w:rsid w:val="00D23CFE"/>
    <w:rsid w:val="00D241D5"/>
    <w:rsid w:val="00D2470D"/>
    <w:rsid w:val="00D24BE3"/>
    <w:rsid w:val="00D24EF5"/>
    <w:rsid w:val="00D24FC2"/>
    <w:rsid w:val="00D25EDC"/>
    <w:rsid w:val="00D27B1C"/>
    <w:rsid w:val="00D329FE"/>
    <w:rsid w:val="00D33AB0"/>
    <w:rsid w:val="00D34084"/>
    <w:rsid w:val="00D34AC4"/>
    <w:rsid w:val="00D36208"/>
    <w:rsid w:val="00D3758F"/>
    <w:rsid w:val="00D37973"/>
    <w:rsid w:val="00D4135A"/>
    <w:rsid w:val="00D43B5B"/>
    <w:rsid w:val="00D44370"/>
    <w:rsid w:val="00D44DF3"/>
    <w:rsid w:val="00D472FA"/>
    <w:rsid w:val="00D473E9"/>
    <w:rsid w:val="00D47DE3"/>
    <w:rsid w:val="00D50B35"/>
    <w:rsid w:val="00D5101D"/>
    <w:rsid w:val="00D5201D"/>
    <w:rsid w:val="00D52ADC"/>
    <w:rsid w:val="00D55AF2"/>
    <w:rsid w:val="00D573D8"/>
    <w:rsid w:val="00D62454"/>
    <w:rsid w:val="00D63328"/>
    <w:rsid w:val="00D6562C"/>
    <w:rsid w:val="00D65BF6"/>
    <w:rsid w:val="00D66383"/>
    <w:rsid w:val="00D66DB0"/>
    <w:rsid w:val="00D709E5"/>
    <w:rsid w:val="00D71BF3"/>
    <w:rsid w:val="00D71D66"/>
    <w:rsid w:val="00D729D3"/>
    <w:rsid w:val="00D751AF"/>
    <w:rsid w:val="00D7542F"/>
    <w:rsid w:val="00D75F6F"/>
    <w:rsid w:val="00D76FE0"/>
    <w:rsid w:val="00D806FE"/>
    <w:rsid w:val="00D80B55"/>
    <w:rsid w:val="00D80D32"/>
    <w:rsid w:val="00D80EB7"/>
    <w:rsid w:val="00D81747"/>
    <w:rsid w:val="00D8254F"/>
    <w:rsid w:val="00D82F24"/>
    <w:rsid w:val="00D82F2E"/>
    <w:rsid w:val="00D83AFE"/>
    <w:rsid w:val="00D84160"/>
    <w:rsid w:val="00D847C7"/>
    <w:rsid w:val="00D852A8"/>
    <w:rsid w:val="00D85679"/>
    <w:rsid w:val="00D864E0"/>
    <w:rsid w:val="00D87664"/>
    <w:rsid w:val="00D87CB7"/>
    <w:rsid w:val="00D87F4A"/>
    <w:rsid w:val="00D91624"/>
    <w:rsid w:val="00D91FCE"/>
    <w:rsid w:val="00D92C0E"/>
    <w:rsid w:val="00D93B4F"/>
    <w:rsid w:val="00D949B8"/>
    <w:rsid w:val="00D94CB2"/>
    <w:rsid w:val="00D95625"/>
    <w:rsid w:val="00D96090"/>
    <w:rsid w:val="00D965F6"/>
    <w:rsid w:val="00D96A9E"/>
    <w:rsid w:val="00DA064B"/>
    <w:rsid w:val="00DA079A"/>
    <w:rsid w:val="00DA18C7"/>
    <w:rsid w:val="00DA3080"/>
    <w:rsid w:val="00DA48F6"/>
    <w:rsid w:val="00DA4E89"/>
    <w:rsid w:val="00DA521C"/>
    <w:rsid w:val="00DA58EA"/>
    <w:rsid w:val="00DA6B90"/>
    <w:rsid w:val="00DB0847"/>
    <w:rsid w:val="00DB0C49"/>
    <w:rsid w:val="00DB1528"/>
    <w:rsid w:val="00DB16AF"/>
    <w:rsid w:val="00DB2960"/>
    <w:rsid w:val="00DB3B1B"/>
    <w:rsid w:val="00DB5CA4"/>
    <w:rsid w:val="00DB7FC1"/>
    <w:rsid w:val="00DC138E"/>
    <w:rsid w:val="00DC1918"/>
    <w:rsid w:val="00DC26D9"/>
    <w:rsid w:val="00DC59E7"/>
    <w:rsid w:val="00DC6F2B"/>
    <w:rsid w:val="00DC79F4"/>
    <w:rsid w:val="00DC7BBB"/>
    <w:rsid w:val="00DD1A43"/>
    <w:rsid w:val="00DD1C48"/>
    <w:rsid w:val="00DD2839"/>
    <w:rsid w:val="00DD3E92"/>
    <w:rsid w:val="00DD5994"/>
    <w:rsid w:val="00DD5B29"/>
    <w:rsid w:val="00DD5D29"/>
    <w:rsid w:val="00DD7CE7"/>
    <w:rsid w:val="00DE0195"/>
    <w:rsid w:val="00DE0606"/>
    <w:rsid w:val="00DE12D6"/>
    <w:rsid w:val="00DE2C8F"/>
    <w:rsid w:val="00DE5B37"/>
    <w:rsid w:val="00DE681F"/>
    <w:rsid w:val="00DE7EC7"/>
    <w:rsid w:val="00DF036D"/>
    <w:rsid w:val="00DF325C"/>
    <w:rsid w:val="00DF3F76"/>
    <w:rsid w:val="00DF4340"/>
    <w:rsid w:val="00DF48C0"/>
    <w:rsid w:val="00DF7AD7"/>
    <w:rsid w:val="00E029AE"/>
    <w:rsid w:val="00E03C91"/>
    <w:rsid w:val="00E04E45"/>
    <w:rsid w:val="00E065DF"/>
    <w:rsid w:val="00E067E8"/>
    <w:rsid w:val="00E07556"/>
    <w:rsid w:val="00E07D47"/>
    <w:rsid w:val="00E07DA1"/>
    <w:rsid w:val="00E07F41"/>
    <w:rsid w:val="00E10B01"/>
    <w:rsid w:val="00E12023"/>
    <w:rsid w:val="00E12B3A"/>
    <w:rsid w:val="00E13536"/>
    <w:rsid w:val="00E13B32"/>
    <w:rsid w:val="00E13E82"/>
    <w:rsid w:val="00E15D16"/>
    <w:rsid w:val="00E166EA"/>
    <w:rsid w:val="00E21329"/>
    <w:rsid w:val="00E21374"/>
    <w:rsid w:val="00E21C5F"/>
    <w:rsid w:val="00E2230D"/>
    <w:rsid w:val="00E23972"/>
    <w:rsid w:val="00E257D1"/>
    <w:rsid w:val="00E2598D"/>
    <w:rsid w:val="00E26337"/>
    <w:rsid w:val="00E26AEB"/>
    <w:rsid w:val="00E2786B"/>
    <w:rsid w:val="00E27D46"/>
    <w:rsid w:val="00E331E0"/>
    <w:rsid w:val="00E34A18"/>
    <w:rsid w:val="00E34C07"/>
    <w:rsid w:val="00E355F9"/>
    <w:rsid w:val="00E35799"/>
    <w:rsid w:val="00E35F12"/>
    <w:rsid w:val="00E371E6"/>
    <w:rsid w:val="00E4052C"/>
    <w:rsid w:val="00E417D3"/>
    <w:rsid w:val="00E42417"/>
    <w:rsid w:val="00E430C3"/>
    <w:rsid w:val="00E437A7"/>
    <w:rsid w:val="00E44BAD"/>
    <w:rsid w:val="00E45DEE"/>
    <w:rsid w:val="00E502E9"/>
    <w:rsid w:val="00E50722"/>
    <w:rsid w:val="00E51333"/>
    <w:rsid w:val="00E51C25"/>
    <w:rsid w:val="00E51F06"/>
    <w:rsid w:val="00E53835"/>
    <w:rsid w:val="00E53868"/>
    <w:rsid w:val="00E546A4"/>
    <w:rsid w:val="00E62DA3"/>
    <w:rsid w:val="00E62DC4"/>
    <w:rsid w:val="00E64836"/>
    <w:rsid w:val="00E6491D"/>
    <w:rsid w:val="00E64EE2"/>
    <w:rsid w:val="00E64FA7"/>
    <w:rsid w:val="00E65E65"/>
    <w:rsid w:val="00E66040"/>
    <w:rsid w:val="00E70461"/>
    <w:rsid w:val="00E72BF7"/>
    <w:rsid w:val="00E73E0D"/>
    <w:rsid w:val="00E7638B"/>
    <w:rsid w:val="00E77284"/>
    <w:rsid w:val="00E77917"/>
    <w:rsid w:val="00E77EE6"/>
    <w:rsid w:val="00E80D66"/>
    <w:rsid w:val="00E80E71"/>
    <w:rsid w:val="00E81DB0"/>
    <w:rsid w:val="00E82509"/>
    <w:rsid w:val="00E825E7"/>
    <w:rsid w:val="00E8279E"/>
    <w:rsid w:val="00E82A7C"/>
    <w:rsid w:val="00E8304A"/>
    <w:rsid w:val="00E835A5"/>
    <w:rsid w:val="00E8425B"/>
    <w:rsid w:val="00E844E0"/>
    <w:rsid w:val="00E85E0D"/>
    <w:rsid w:val="00E90CFC"/>
    <w:rsid w:val="00E91CDD"/>
    <w:rsid w:val="00E92586"/>
    <w:rsid w:val="00E932FC"/>
    <w:rsid w:val="00E944F9"/>
    <w:rsid w:val="00E94F95"/>
    <w:rsid w:val="00E9583B"/>
    <w:rsid w:val="00E96CF2"/>
    <w:rsid w:val="00E97EA8"/>
    <w:rsid w:val="00E97EC0"/>
    <w:rsid w:val="00EA0FBB"/>
    <w:rsid w:val="00EA176B"/>
    <w:rsid w:val="00EA1827"/>
    <w:rsid w:val="00EA2104"/>
    <w:rsid w:val="00EA23DA"/>
    <w:rsid w:val="00EA2FF1"/>
    <w:rsid w:val="00EA4957"/>
    <w:rsid w:val="00EA68B5"/>
    <w:rsid w:val="00EA74DD"/>
    <w:rsid w:val="00EA78D0"/>
    <w:rsid w:val="00EA7FDB"/>
    <w:rsid w:val="00EB061A"/>
    <w:rsid w:val="00EB2188"/>
    <w:rsid w:val="00EB4463"/>
    <w:rsid w:val="00EB53C6"/>
    <w:rsid w:val="00EB5A8A"/>
    <w:rsid w:val="00EB5B78"/>
    <w:rsid w:val="00EB6298"/>
    <w:rsid w:val="00EB6CBD"/>
    <w:rsid w:val="00EB72CB"/>
    <w:rsid w:val="00EC1249"/>
    <w:rsid w:val="00EC14B9"/>
    <w:rsid w:val="00EC21C5"/>
    <w:rsid w:val="00EC2380"/>
    <w:rsid w:val="00EC2D1F"/>
    <w:rsid w:val="00EC2E32"/>
    <w:rsid w:val="00EC35A6"/>
    <w:rsid w:val="00EC47CA"/>
    <w:rsid w:val="00EC4E2C"/>
    <w:rsid w:val="00EC4E94"/>
    <w:rsid w:val="00EC51A4"/>
    <w:rsid w:val="00EC576A"/>
    <w:rsid w:val="00EC6B1A"/>
    <w:rsid w:val="00EC7D91"/>
    <w:rsid w:val="00ED0032"/>
    <w:rsid w:val="00ED04D0"/>
    <w:rsid w:val="00ED05D1"/>
    <w:rsid w:val="00ED0DB4"/>
    <w:rsid w:val="00ED18AD"/>
    <w:rsid w:val="00ED1AEA"/>
    <w:rsid w:val="00ED27B4"/>
    <w:rsid w:val="00ED294A"/>
    <w:rsid w:val="00ED29E8"/>
    <w:rsid w:val="00ED2F2F"/>
    <w:rsid w:val="00ED41AE"/>
    <w:rsid w:val="00ED5B3A"/>
    <w:rsid w:val="00ED67C0"/>
    <w:rsid w:val="00ED6B34"/>
    <w:rsid w:val="00ED6DE6"/>
    <w:rsid w:val="00ED72FF"/>
    <w:rsid w:val="00ED7BD6"/>
    <w:rsid w:val="00EE0467"/>
    <w:rsid w:val="00EE046A"/>
    <w:rsid w:val="00EE776E"/>
    <w:rsid w:val="00EE7E29"/>
    <w:rsid w:val="00EF03AD"/>
    <w:rsid w:val="00EF1CC2"/>
    <w:rsid w:val="00EF36CD"/>
    <w:rsid w:val="00EF4169"/>
    <w:rsid w:val="00EF4D33"/>
    <w:rsid w:val="00EF5644"/>
    <w:rsid w:val="00EF58CC"/>
    <w:rsid w:val="00EF5F67"/>
    <w:rsid w:val="00EF6205"/>
    <w:rsid w:val="00EF6233"/>
    <w:rsid w:val="00EF6515"/>
    <w:rsid w:val="00F013BC"/>
    <w:rsid w:val="00F014AF"/>
    <w:rsid w:val="00F02FB7"/>
    <w:rsid w:val="00F03BB8"/>
    <w:rsid w:val="00F042CA"/>
    <w:rsid w:val="00F05B2B"/>
    <w:rsid w:val="00F06033"/>
    <w:rsid w:val="00F06708"/>
    <w:rsid w:val="00F06CC1"/>
    <w:rsid w:val="00F073E4"/>
    <w:rsid w:val="00F0742E"/>
    <w:rsid w:val="00F104DE"/>
    <w:rsid w:val="00F10E9B"/>
    <w:rsid w:val="00F10FCE"/>
    <w:rsid w:val="00F11177"/>
    <w:rsid w:val="00F14AD2"/>
    <w:rsid w:val="00F14EC4"/>
    <w:rsid w:val="00F15532"/>
    <w:rsid w:val="00F15A1C"/>
    <w:rsid w:val="00F16BBA"/>
    <w:rsid w:val="00F16CF4"/>
    <w:rsid w:val="00F17ED8"/>
    <w:rsid w:val="00F21D7A"/>
    <w:rsid w:val="00F22926"/>
    <w:rsid w:val="00F23AA1"/>
    <w:rsid w:val="00F2577C"/>
    <w:rsid w:val="00F25C24"/>
    <w:rsid w:val="00F276B2"/>
    <w:rsid w:val="00F30F04"/>
    <w:rsid w:val="00F31388"/>
    <w:rsid w:val="00F31A05"/>
    <w:rsid w:val="00F31D8E"/>
    <w:rsid w:val="00F31E80"/>
    <w:rsid w:val="00F33D8E"/>
    <w:rsid w:val="00F3544A"/>
    <w:rsid w:val="00F36B03"/>
    <w:rsid w:val="00F36EDA"/>
    <w:rsid w:val="00F378A0"/>
    <w:rsid w:val="00F4044F"/>
    <w:rsid w:val="00F40850"/>
    <w:rsid w:val="00F412D6"/>
    <w:rsid w:val="00F414E8"/>
    <w:rsid w:val="00F419DF"/>
    <w:rsid w:val="00F42020"/>
    <w:rsid w:val="00F42782"/>
    <w:rsid w:val="00F42DC9"/>
    <w:rsid w:val="00F43473"/>
    <w:rsid w:val="00F447DA"/>
    <w:rsid w:val="00F451D4"/>
    <w:rsid w:val="00F472CC"/>
    <w:rsid w:val="00F47BC3"/>
    <w:rsid w:val="00F47CAD"/>
    <w:rsid w:val="00F502F1"/>
    <w:rsid w:val="00F5150F"/>
    <w:rsid w:val="00F51CC9"/>
    <w:rsid w:val="00F5280D"/>
    <w:rsid w:val="00F53586"/>
    <w:rsid w:val="00F555ED"/>
    <w:rsid w:val="00F56DF4"/>
    <w:rsid w:val="00F5744D"/>
    <w:rsid w:val="00F6022B"/>
    <w:rsid w:val="00F60369"/>
    <w:rsid w:val="00F6047E"/>
    <w:rsid w:val="00F610AE"/>
    <w:rsid w:val="00F615EF"/>
    <w:rsid w:val="00F6259D"/>
    <w:rsid w:val="00F63034"/>
    <w:rsid w:val="00F6436E"/>
    <w:rsid w:val="00F6451A"/>
    <w:rsid w:val="00F64F2A"/>
    <w:rsid w:val="00F656FD"/>
    <w:rsid w:val="00F65C94"/>
    <w:rsid w:val="00F66691"/>
    <w:rsid w:val="00F67037"/>
    <w:rsid w:val="00F6782D"/>
    <w:rsid w:val="00F7123D"/>
    <w:rsid w:val="00F71DF2"/>
    <w:rsid w:val="00F723AC"/>
    <w:rsid w:val="00F7302F"/>
    <w:rsid w:val="00F731E9"/>
    <w:rsid w:val="00F74009"/>
    <w:rsid w:val="00F74D94"/>
    <w:rsid w:val="00F754C4"/>
    <w:rsid w:val="00F7693F"/>
    <w:rsid w:val="00F77CC4"/>
    <w:rsid w:val="00F77E4C"/>
    <w:rsid w:val="00F80E32"/>
    <w:rsid w:val="00F83C2C"/>
    <w:rsid w:val="00F8436D"/>
    <w:rsid w:val="00F8483C"/>
    <w:rsid w:val="00F84E34"/>
    <w:rsid w:val="00F85617"/>
    <w:rsid w:val="00F876E7"/>
    <w:rsid w:val="00F92C1B"/>
    <w:rsid w:val="00F9489D"/>
    <w:rsid w:val="00F9529A"/>
    <w:rsid w:val="00F97207"/>
    <w:rsid w:val="00F97358"/>
    <w:rsid w:val="00F97FAD"/>
    <w:rsid w:val="00FA1975"/>
    <w:rsid w:val="00FA3532"/>
    <w:rsid w:val="00FA4779"/>
    <w:rsid w:val="00FA587F"/>
    <w:rsid w:val="00FA66A2"/>
    <w:rsid w:val="00FA72C0"/>
    <w:rsid w:val="00FA798F"/>
    <w:rsid w:val="00FA7E2B"/>
    <w:rsid w:val="00FB2870"/>
    <w:rsid w:val="00FB2940"/>
    <w:rsid w:val="00FB48D7"/>
    <w:rsid w:val="00FB5946"/>
    <w:rsid w:val="00FB5954"/>
    <w:rsid w:val="00FB669D"/>
    <w:rsid w:val="00FB69DD"/>
    <w:rsid w:val="00FB7083"/>
    <w:rsid w:val="00FB71C6"/>
    <w:rsid w:val="00FC225F"/>
    <w:rsid w:val="00FC2522"/>
    <w:rsid w:val="00FC4112"/>
    <w:rsid w:val="00FC43B6"/>
    <w:rsid w:val="00FC51F6"/>
    <w:rsid w:val="00FC5465"/>
    <w:rsid w:val="00FC560C"/>
    <w:rsid w:val="00FC594C"/>
    <w:rsid w:val="00FC69E5"/>
    <w:rsid w:val="00FD0302"/>
    <w:rsid w:val="00FD049E"/>
    <w:rsid w:val="00FD079D"/>
    <w:rsid w:val="00FD0B26"/>
    <w:rsid w:val="00FD0FA6"/>
    <w:rsid w:val="00FD1F5A"/>
    <w:rsid w:val="00FD376E"/>
    <w:rsid w:val="00FD4233"/>
    <w:rsid w:val="00FD4C9C"/>
    <w:rsid w:val="00FD572D"/>
    <w:rsid w:val="00FD6250"/>
    <w:rsid w:val="00FD6BE1"/>
    <w:rsid w:val="00FD6E2A"/>
    <w:rsid w:val="00FD737B"/>
    <w:rsid w:val="00FD778D"/>
    <w:rsid w:val="00FD7A93"/>
    <w:rsid w:val="00FD7F81"/>
    <w:rsid w:val="00FE0123"/>
    <w:rsid w:val="00FE057E"/>
    <w:rsid w:val="00FE14DC"/>
    <w:rsid w:val="00FE1808"/>
    <w:rsid w:val="00FE1F04"/>
    <w:rsid w:val="00FE27A2"/>
    <w:rsid w:val="00FE376A"/>
    <w:rsid w:val="00FE56A7"/>
    <w:rsid w:val="00FE670F"/>
    <w:rsid w:val="00FE73DC"/>
    <w:rsid w:val="00FF192B"/>
    <w:rsid w:val="00FF23C8"/>
    <w:rsid w:val="00FF2634"/>
    <w:rsid w:val="00FF3CAC"/>
    <w:rsid w:val="00FF4827"/>
    <w:rsid w:val="00FF54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Balloon Text" w:uiPriority="0"/>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976B6B"/>
    <w:rPr>
      <w:sz w:val="24"/>
      <w:szCs w:val="24"/>
    </w:rPr>
  </w:style>
  <w:style w:type="paragraph" w:styleId="Nagwek1">
    <w:name w:val="heading 1"/>
    <w:basedOn w:val="Normalny"/>
    <w:next w:val="Normalny"/>
    <w:link w:val="Nagwek1Znak"/>
    <w:uiPriority w:val="99"/>
    <w:qFormat/>
    <w:rsid w:val="003E3C82"/>
    <w:pPr>
      <w:keepNext/>
      <w:spacing w:before="240" w:after="60"/>
      <w:outlineLvl w:val="0"/>
    </w:pPr>
    <w:rPr>
      <w:rFonts w:ascii="Arial" w:hAnsi="Arial" w:cs="Arial"/>
      <w:b/>
      <w:bCs/>
      <w:kern w:val="32"/>
      <w:sz w:val="32"/>
      <w:szCs w:val="32"/>
    </w:rPr>
  </w:style>
  <w:style w:type="paragraph" w:styleId="Nagwek2">
    <w:name w:val="heading 2"/>
    <w:basedOn w:val="Normalny"/>
    <w:link w:val="Nagwek2Znak"/>
    <w:uiPriority w:val="99"/>
    <w:qFormat/>
    <w:rsid w:val="004E4EE4"/>
    <w:pPr>
      <w:spacing w:before="100" w:beforeAutospacing="1" w:after="100" w:afterAutospacing="1"/>
      <w:outlineLvl w:val="1"/>
    </w:pPr>
    <w:rPr>
      <w:b/>
      <w:bCs/>
      <w:sz w:val="36"/>
      <w:szCs w:val="36"/>
    </w:rPr>
  </w:style>
  <w:style w:type="paragraph" w:styleId="Nagwek3">
    <w:name w:val="heading 3"/>
    <w:basedOn w:val="Normalny"/>
    <w:next w:val="Normalny"/>
    <w:link w:val="Nagwek3Znak"/>
    <w:uiPriority w:val="99"/>
    <w:qFormat/>
    <w:locked/>
    <w:rsid w:val="00E07DA1"/>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9"/>
    <w:qFormat/>
    <w:locked/>
    <w:rsid w:val="00E07DA1"/>
    <w:pPr>
      <w:keepNext/>
      <w:spacing w:before="240" w:after="60"/>
      <w:outlineLvl w:val="3"/>
    </w:pPr>
    <w:rPr>
      <w:rFonts w:ascii="Calibri" w:hAnsi="Calibri"/>
      <w:b/>
      <w:bCs/>
      <w:sz w:val="28"/>
      <w:szCs w:val="28"/>
    </w:rPr>
  </w:style>
  <w:style w:type="paragraph" w:styleId="Nagwek5">
    <w:name w:val="heading 5"/>
    <w:basedOn w:val="Normalny"/>
    <w:next w:val="Normalny"/>
    <w:link w:val="Nagwek5Znak"/>
    <w:uiPriority w:val="99"/>
    <w:qFormat/>
    <w:locked/>
    <w:rsid w:val="00E07DA1"/>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9"/>
    <w:qFormat/>
    <w:locked/>
    <w:rsid w:val="00E07DA1"/>
    <w:pPr>
      <w:spacing w:before="240" w:after="60"/>
      <w:outlineLvl w:val="5"/>
    </w:pPr>
    <w:rPr>
      <w:rFonts w:ascii="Calibri" w:hAnsi="Calibri"/>
      <w:b/>
      <w:bCs/>
      <w:sz w:val="22"/>
      <w:szCs w:val="22"/>
    </w:rPr>
  </w:style>
  <w:style w:type="paragraph" w:styleId="Nagwek7">
    <w:name w:val="heading 7"/>
    <w:basedOn w:val="Normalny"/>
    <w:next w:val="Normalny"/>
    <w:link w:val="Nagwek7Znak"/>
    <w:uiPriority w:val="99"/>
    <w:qFormat/>
    <w:locked/>
    <w:rsid w:val="00E07DA1"/>
    <w:pPr>
      <w:spacing w:before="240" w:after="60"/>
      <w:outlineLvl w:val="6"/>
    </w:pPr>
    <w:rPr>
      <w:rFonts w:ascii="Calibri" w:hAnsi="Calibri"/>
    </w:rPr>
  </w:style>
  <w:style w:type="paragraph" w:styleId="Nagwek8">
    <w:name w:val="heading 8"/>
    <w:basedOn w:val="Normalny"/>
    <w:next w:val="Normalny"/>
    <w:link w:val="Nagwek8Znak"/>
    <w:uiPriority w:val="99"/>
    <w:qFormat/>
    <w:locked/>
    <w:rsid w:val="00E07DA1"/>
    <w:pPr>
      <w:spacing w:before="240" w:after="60"/>
      <w:outlineLvl w:val="7"/>
    </w:pPr>
    <w:rPr>
      <w:rFonts w:ascii="Calibri" w:hAnsi="Calibri"/>
      <w:i/>
      <w:iCs/>
    </w:rPr>
  </w:style>
  <w:style w:type="paragraph" w:styleId="Nagwek9">
    <w:name w:val="heading 9"/>
    <w:basedOn w:val="Normalny"/>
    <w:next w:val="Normalny"/>
    <w:link w:val="Nagwek9Znak"/>
    <w:uiPriority w:val="99"/>
    <w:qFormat/>
    <w:locked/>
    <w:rsid w:val="00E07DA1"/>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F4E8A"/>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9F4E8A"/>
    <w:rPr>
      <w:rFonts w:ascii="Cambria" w:hAnsi="Cambria" w:cs="Times New Roman"/>
      <w:b/>
      <w:bCs/>
      <w:i/>
      <w:iCs/>
      <w:sz w:val="28"/>
      <w:szCs w:val="28"/>
    </w:rPr>
  </w:style>
  <w:style w:type="character" w:customStyle="1" w:styleId="Nagwek3Znak">
    <w:name w:val="Nagłówek 3 Znak"/>
    <w:basedOn w:val="Domylnaczcionkaakapitu"/>
    <w:link w:val="Nagwek3"/>
    <w:uiPriority w:val="99"/>
    <w:locked/>
    <w:rsid w:val="00E07DA1"/>
    <w:rPr>
      <w:rFonts w:ascii="Cambria" w:hAnsi="Cambria" w:cs="Times New Roman"/>
      <w:b/>
      <w:bCs/>
      <w:sz w:val="26"/>
      <w:szCs w:val="26"/>
    </w:rPr>
  </w:style>
  <w:style w:type="character" w:customStyle="1" w:styleId="Nagwek4Znak">
    <w:name w:val="Nagłówek 4 Znak"/>
    <w:basedOn w:val="Domylnaczcionkaakapitu"/>
    <w:link w:val="Nagwek4"/>
    <w:uiPriority w:val="99"/>
    <w:locked/>
    <w:rsid w:val="00E07DA1"/>
    <w:rPr>
      <w:rFonts w:ascii="Calibri" w:hAnsi="Calibri" w:cs="Times New Roman"/>
      <w:b/>
      <w:bCs/>
      <w:sz w:val="28"/>
      <w:szCs w:val="28"/>
    </w:rPr>
  </w:style>
  <w:style w:type="character" w:customStyle="1" w:styleId="Nagwek5Znak">
    <w:name w:val="Nagłówek 5 Znak"/>
    <w:basedOn w:val="Domylnaczcionkaakapitu"/>
    <w:link w:val="Nagwek5"/>
    <w:uiPriority w:val="99"/>
    <w:locked/>
    <w:rsid w:val="00E07DA1"/>
    <w:rPr>
      <w:rFonts w:ascii="Calibri" w:hAnsi="Calibri" w:cs="Times New Roman"/>
      <w:b/>
      <w:bCs/>
      <w:i/>
      <w:iCs/>
      <w:sz w:val="26"/>
      <w:szCs w:val="26"/>
    </w:rPr>
  </w:style>
  <w:style w:type="character" w:customStyle="1" w:styleId="Nagwek6Znak">
    <w:name w:val="Nagłówek 6 Znak"/>
    <w:basedOn w:val="Domylnaczcionkaakapitu"/>
    <w:link w:val="Nagwek6"/>
    <w:uiPriority w:val="99"/>
    <w:locked/>
    <w:rsid w:val="00E07DA1"/>
    <w:rPr>
      <w:rFonts w:ascii="Calibri" w:hAnsi="Calibri" w:cs="Times New Roman"/>
      <w:b/>
      <w:bCs/>
    </w:rPr>
  </w:style>
  <w:style w:type="character" w:customStyle="1" w:styleId="Nagwek7Znak">
    <w:name w:val="Nagłówek 7 Znak"/>
    <w:basedOn w:val="Domylnaczcionkaakapitu"/>
    <w:link w:val="Nagwek7"/>
    <w:uiPriority w:val="99"/>
    <w:locked/>
    <w:rsid w:val="00E07DA1"/>
    <w:rPr>
      <w:rFonts w:ascii="Calibri" w:hAnsi="Calibri" w:cs="Times New Roman"/>
      <w:sz w:val="24"/>
      <w:szCs w:val="24"/>
    </w:rPr>
  </w:style>
  <w:style w:type="character" w:customStyle="1" w:styleId="Nagwek8Znak">
    <w:name w:val="Nagłówek 8 Znak"/>
    <w:basedOn w:val="Domylnaczcionkaakapitu"/>
    <w:link w:val="Nagwek8"/>
    <w:uiPriority w:val="99"/>
    <w:locked/>
    <w:rsid w:val="00E07DA1"/>
    <w:rPr>
      <w:rFonts w:ascii="Calibri" w:hAnsi="Calibri" w:cs="Times New Roman"/>
      <w:i/>
      <w:iCs/>
      <w:sz w:val="24"/>
      <w:szCs w:val="24"/>
    </w:rPr>
  </w:style>
  <w:style w:type="character" w:customStyle="1" w:styleId="Nagwek9Znak">
    <w:name w:val="Nagłówek 9 Znak"/>
    <w:basedOn w:val="Domylnaczcionkaakapitu"/>
    <w:link w:val="Nagwek9"/>
    <w:uiPriority w:val="99"/>
    <w:locked/>
    <w:rsid w:val="00E07DA1"/>
    <w:rPr>
      <w:rFonts w:ascii="Cambria" w:hAnsi="Cambria" w:cs="Times New Roman"/>
    </w:rPr>
  </w:style>
  <w:style w:type="paragraph" w:styleId="Stopka">
    <w:name w:val="footer"/>
    <w:basedOn w:val="Normalny"/>
    <w:link w:val="StopkaZnak"/>
    <w:uiPriority w:val="99"/>
    <w:rsid w:val="00AB33BD"/>
    <w:pPr>
      <w:tabs>
        <w:tab w:val="center" w:pos="4536"/>
        <w:tab w:val="right" w:pos="9072"/>
      </w:tabs>
    </w:pPr>
  </w:style>
  <w:style w:type="character" w:customStyle="1" w:styleId="StopkaZnak">
    <w:name w:val="Stopka Znak"/>
    <w:basedOn w:val="Domylnaczcionkaakapitu"/>
    <w:link w:val="Stopka"/>
    <w:uiPriority w:val="99"/>
    <w:locked/>
    <w:rsid w:val="00531A24"/>
    <w:rPr>
      <w:rFonts w:cs="Times New Roman"/>
      <w:sz w:val="24"/>
      <w:szCs w:val="24"/>
    </w:rPr>
  </w:style>
  <w:style w:type="character" w:styleId="Numerstrony">
    <w:name w:val="page number"/>
    <w:basedOn w:val="Domylnaczcionkaakapitu"/>
    <w:uiPriority w:val="99"/>
    <w:rsid w:val="00AB33BD"/>
    <w:rPr>
      <w:rFonts w:cs="Times New Roman"/>
    </w:rPr>
  </w:style>
  <w:style w:type="paragraph" w:styleId="Nagwek">
    <w:name w:val="header"/>
    <w:basedOn w:val="Normalny"/>
    <w:link w:val="NagwekZnak"/>
    <w:rsid w:val="00AB33BD"/>
    <w:pPr>
      <w:tabs>
        <w:tab w:val="center" w:pos="4536"/>
        <w:tab w:val="right" w:pos="9072"/>
      </w:tabs>
    </w:pPr>
  </w:style>
  <w:style w:type="character" w:customStyle="1" w:styleId="NagwekZnak">
    <w:name w:val="Nagłówek Znak"/>
    <w:basedOn w:val="Domylnaczcionkaakapitu"/>
    <w:link w:val="Nagwek"/>
    <w:uiPriority w:val="99"/>
    <w:semiHidden/>
    <w:locked/>
    <w:rsid w:val="009F4E8A"/>
    <w:rPr>
      <w:rFonts w:cs="Times New Roman"/>
      <w:sz w:val="24"/>
      <w:szCs w:val="24"/>
    </w:rPr>
  </w:style>
  <w:style w:type="paragraph" w:styleId="Tytu">
    <w:name w:val="Title"/>
    <w:basedOn w:val="Normalny"/>
    <w:link w:val="TytuZnak"/>
    <w:uiPriority w:val="99"/>
    <w:qFormat/>
    <w:rsid w:val="00931AB6"/>
    <w:pPr>
      <w:spacing w:line="260" w:lineRule="exact"/>
      <w:jc w:val="center"/>
    </w:pPr>
    <w:rPr>
      <w:rFonts w:ascii="Arial" w:hAnsi="Arial" w:cs="Arial"/>
      <w:b/>
      <w:bCs/>
      <w:sz w:val="20"/>
    </w:rPr>
  </w:style>
  <w:style w:type="character" w:customStyle="1" w:styleId="TytuZnak">
    <w:name w:val="Tytuł Znak"/>
    <w:basedOn w:val="Domylnaczcionkaakapitu"/>
    <w:link w:val="Tytu"/>
    <w:uiPriority w:val="99"/>
    <w:locked/>
    <w:rsid w:val="009F4E8A"/>
    <w:rPr>
      <w:rFonts w:ascii="Cambria" w:hAnsi="Cambria" w:cs="Times New Roman"/>
      <w:b/>
      <w:bCs/>
      <w:kern w:val="28"/>
      <w:sz w:val="32"/>
      <w:szCs w:val="32"/>
    </w:rPr>
  </w:style>
  <w:style w:type="paragraph" w:styleId="Tekstpodstawowy3">
    <w:name w:val="Body Text 3"/>
    <w:basedOn w:val="Normalny"/>
    <w:link w:val="Tekstpodstawowy3Znak"/>
    <w:uiPriority w:val="99"/>
    <w:rsid w:val="00CD074C"/>
    <w:pPr>
      <w:spacing w:line="260" w:lineRule="exact"/>
      <w:jc w:val="both"/>
    </w:pPr>
    <w:rPr>
      <w:rFonts w:ascii="Arial" w:hAnsi="Arial" w:cs="Arial"/>
      <w:b/>
      <w:bCs/>
      <w:sz w:val="18"/>
      <w:szCs w:val="22"/>
    </w:rPr>
  </w:style>
  <w:style w:type="character" w:customStyle="1" w:styleId="Tekstpodstawowy3Znak">
    <w:name w:val="Tekst podstawowy 3 Znak"/>
    <w:basedOn w:val="Domylnaczcionkaakapitu"/>
    <w:link w:val="Tekstpodstawowy3"/>
    <w:uiPriority w:val="99"/>
    <w:locked/>
    <w:rsid w:val="009F4E8A"/>
    <w:rPr>
      <w:rFonts w:cs="Times New Roman"/>
      <w:sz w:val="16"/>
      <w:szCs w:val="16"/>
    </w:rPr>
  </w:style>
  <w:style w:type="paragraph" w:styleId="Tekstpodstawowywcity">
    <w:name w:val="Body Text Indent"/>
    <w:basedOn w:val="Normalny"/>
    <w:link w:val="TekstpodstawowywcityZnak"/>
    <w:uiPriority w:val="99"/>
    <w:rsid w:val="000213E9"/>
    <w:pPr>
      <w:spacing w:after="120"/>
      <w:ind w:left="283"/>
    </w:pPr>
  </w:style>
  <w:style w:type="character" w:customStyle="1" w:styleId="TekstpodstawowywcityZnak">
    <w:name w:val="Tekst podstawowy wcięty Znak"/>
    <w:basedOn w:val="Domylnaczcionkaakapitu"/>
    <w:link w:val="Tekstpodstawowywcity"/>
    <w:uiPriority w:val="99"/>
    <w:semiHidden/>
    <w:locked/>
    <w:rsid w:val="009F4E8A"/>
    <w:rPr>
      <w:rFonts w:cs="Times New Roman"/>
      <w:sz w:val="24"/>
      <w:szCs w:val="24"/>
    </w:rPr>
  </w:style>
  <w:style w:type="paragraph" w:styleId="Tekstpodstawowy">
    <w:name w:val="Body Text"/>
    <w:basedOn w:val="Normalny"/>
    <w:link w:val="TekstpodstawowyZnak"/>
    <w:uiPriority w:val="99"/>
    <w:rsid w:val="00FC2522"/>
    <w:pPr>
      <w:spacing w:after="120"/>
    </w:pPr>
  </w:style>
  <w:style w:type="character" w:customStyle="1" w:styleId="TekstpodstawowyZnak">
    <w:name w:val="Tekst podstawowy Znak"/>
    <w:basedOn w:val="Domylnaczcionkaakapitu"/>
    <w:link w:val="Tekstpodstawowy"/>
    <w:uiPriority w:val="99"/>
    <w:semiHidden/>
    <w:locked/>
    <w:rsid w:val="009F4E8A"/>
    <w:rPr>
      <w:rFonts w:cs="Times New Roman"/>
      <w:sz w:val="24"/>
      <w:szCs w:val="24"/>
    </w:rPr>
  </w:style>
  <w:style w:type="paragraph" w:styleId="Tekstpodstawowy2">
    <w:name w:val="Body Text 2"/>
    <w:basedOn w:val="Normalny"/>
    <w:link w:val="Tekstpodstawowy2Znak"/>
    <w:uiPriority w:val="99"/>
    <w:rsid w:val="003E3C82"/>
    <w:pPr>
      <w:spacing w:after="120" w:line="480" w:lineRule="auto"/>
    </w:pPr>
  </w:style>
  <w:style w:type="character" w:customStyle="1" w:styleId="Tekstpodstawowy2Znak">
    <w:name w:val="Tekst podstawowy 2 Znak"/>
    <w:basedOn w:val="Domylnaczcionkaakapitu"/>
    <w:link w:val="Tekstpodstawowy2"/>
    <w:uiPriority w:val="99"/>
    <w:locked/>
    <w:rsid w:val="009F4E8A"/>
    <w:rPr>
      <w:rFonts w:cs="Times New Roman"/>
      <w:sz w:val="24"/>
      <w:szCs w:val="24"/>
    </w:rPr>
  </w:style>
  <w:style w:type="paragraph" w:customStyle="1" w:styleId="StyleHeading1Verdana8ptBefore0ptAfter0pt">
    <w:name w:val="Style Heading 1 + Verdana 8 pt Before:  0 pt After:  0 pt"/>
    <w:basedOn w:val="Nagwek1"/>
    <w:uiPriority w:val="99"/>
    <w:rsid w:val="003E3C82"/>
    <w:pPr>
      <w:numPr>
        <w:numId w:val="2"/>
      </w:numPr>
      <w:spacing w:before="0" w:after="0"/>
      <w:jc w:val="both"/>
    </w:pPr>
    <w:rPr>
      <w:rFonts w:ascii="Verdana" w:hAnsi="Verdana" w:cs="Times New Roman"/>
      <w:kern w:val="0"/>
      <w:sz w:val="16"/>
      <w:szCs w:val="24"/>
      <w:lang w:val="en-GB"/>
    </w:rPr>
  </w:style>
  <w:style w:type="character" w:styleId="Odwoaniedokomentarza">
    <w:name w:val="annotation reference"/>
    <w:basedOn w:val="Domylnaczcionkaakapitu"/>
    <w:uiPriority w:val="99"/>
    <w:semiHidden/>
    <w:rsid w:val="007B2489"/>
    <w:rPr>
      <w:rFonts w:cs="Times New Roman"/>
      <w:sz w:val="16"/>
      <w:szCs w:val="16"/>
    </w:rPr>
  </w:style>
  <w:style w:type="paragraph" w:styleId="Tekstkomentarza">
    <w:name w:val="annotation text"/>
    <w:basedOn w:val="Normalny"/>
    <w:link w:val="TekstkomentarzaZnak"/>
    <w:uiPriority w:val="99"/>
    <w:semiHidden/>
    <w:rsid w:val="007B2489"/>
    <w:rPr>
      <w:sz w:val="20"/>
      <w:szCs w:val="20"/>
    </w:rPr>
  </w:style>
  <w:style w:type="character" w:customStyle="1" w:styleId="TekstkomentarzaZnak">
    <w:name w:val="Tekst komentarza Znak"/>
    <w:basedOn w:val="Domylnaczcionkaakapitu"/>
    <w:link w:val="Tekstkomentarza"/>
    <w:uiPriority w:val="99"/>
    <w:semiHidden/>
    <w:locked/>
    <w:rsid w:val="00BD2E3B"/>
    <w:rPr>
      <w:rFonts w:cs="Times New Roman"/>
    </w:rPr>
  </w:style>
  <w:style w:type="paragraph" w:styleId="Tematkomentarza">
    <w:name w:val="annotation subject"/>
    <w:basedOn w:val="Tekstkomentarza"/>
    <w:next w:val="Tekstkomentarza"/>
    <w:link w:val="TematkomentarzaZnak"/>
    <w:uiPriority w:val="99"/>
    <w:semiHidden/>
    <w:rsid w:val="007B2489"/>
    <w:rPr>
      <w:b/>
      <w:bCs/>
    </w:rPr>
  </w:style>
  <w:style w:type="character" w:customStyle="1" w:styleId="TematkomentarzaZnak">
    <w:name w:val="Temat komentarza Znak"/>
    <w:basedOn w:val="TekstkomentarzaZnak"/>
    <w:link w:val="Tematkomentarza"/>
    <w:uiPriority w:val="99"/>
    <w:semiHidden/>
    <w:locked/>
    <w:rsid w:val="009F4E8A"/>
    <w:rPr>
      <w:rFonts w:cs="Times New Roman"/>
      <w:b/>
      <w:bCs/>
      <w:sz w:val="20"/>
      <w:szCs w:val="20"/>
    </w:rPr>
  </w:style>
  <w:style w:type="paragraph" w:styleId="Tekstdymka">
    <w:name w:val="Balloon Text"/>
    <w:basedOn w:val="Normalny"/>
    <w:link w:val="TekstdymkaZnak"/>
    <w:semiHidden/>
    <w:rsid w:val="007B248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F4E8A"/>
    <w:rPr>
      <w:rFonts w:cs="Times New Roman"/>
      <w:sz w:val="2"/>
    </w:rPr>
  </w:style>
  <w:style w:type="paragraph" w:customStyle="1" w:styleId="Akapitzlist1">
    <w:name w:val="Akapit z listą1"/>
    <w:basedOn w:val="Normalny"/>
    <w:uiPriority w:val="99"/>
    <w:rsid w:val="00CA0B50"/>
    <w:pPr>
      <w:ind w:left="720"/>
      <w:contextualSpacing/>
    </w:pPr>
  </w:style>
  <w:style w:type="paragraph" w:styleId="NormalnyWeb">
    <w:name w:val="Normal (Web)"/>
    <w:basedOn w:val="Normalny"/>
    <w:uiPriority w:val="99"/>
    <w:rsid w:val="004E4EE4"/>
    <w:pPr>
      <w:spacing w:before="100" w:beforeAutospacing="1" w:after="100" w:afterAutospacing="1"/>
    </w:pPr>
  </w:style>
  <w:style w:type="character" w:styleId="Pogrubienie">
    <w:name w:val="Strong"/>
    <w:basedOn w:val="Domylnaczcionkaakapitu"/>
    <w:uiPriority w:val="99"/>
    <w:qFormat/>
    <w:rsid w:val="00023834"/>
    <w:rPr>
      <w:rFonts w:cs="Times New Roman"/>
      <w:b/>
      <w:bCs/>
    </w:rPr>
  </w:style>
  <w:style w:type="paragraph" w:customStyle="1" w:styleId="Poprawka1">
    <w:name w:val="Poprawka1"/>
    <w:hidden/>
    <w:uiPriority w:val="99"/>
    <w:semiHidden/>
    <w:rsid w:val="004075D3"/>
    <w:rPr>
      <w:sz w:val="24"/>
      <w:szCs w:val="24"/>
    </w:rPr>
  </w:style>
  <w:style w:type="paragraph" w:customStyle="1" w:styleId="DraftParagraph">
    <w:name w:val="Draft Paragraph"/>
    <w:basedOn w:val="Normalny"/>
    <w:uiPriority w:val="99"/>
    <w:rsid w:val="009F4186"/>
    <w:pPr>
      <w:spacing w:line="360" w:lineRule="exact"/>
      <w:jc w:val="both"/>
    </w:pPr>
    <w:rPr>
      <w:sz w:val="20"/>
      <w:szCs w:val="20"/>
      <w:lang w:val="en-GB" w:eastAsia="en-US"/>
    </w:rPr>
  </w:style>
  <w:style w:type="table" w:styleId="Tabela-Siatka">
    <w:name w:val="Table Grid"/>
    <w:basedOn w:val="Standardowy"/>
    <w:uiPriority w:val="99"/>
    <w:rsid w:val="00796D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Normal">
    <w:name w:val="000 Normal"/>
    <w:basedOn w:val="Normalny"/>
    <w:link w:val="000NormalChar"/>
    <w:uiPriority w:val="99"/>
    <w:rsid w:val="00471D93"/>
    <w:pPr>
      <w:overflowPunct w:val="0"/>
      <w:autoSpaceDE w:val="0"/>
      <w:autoSpaceDN w:val="0"/>
      <w:adjustRightInd w:val="0"/>
      <w:spacing w:before="60" w:after="40" w:line="220" w:lineRule="exact"/>
      <w:ind w:left="697"/>
      <w:jc w:val="both"/>
      <w:textAlignment w:val="baseline"/>
    </w:pPr>
    <w:rPr>
      <w:rFonts w:ascii="Arial" w:hAnsi="Arial"/>
      <w:sz w:val="20"/>
      <w:szCs w:val="20"/>
      <w:lang w:val="en-GB" w:eastAsia="en-US"/>
    </w:rPr>
  </w:style>
  <w:style w:type="character" w:customStyle="1" w:styleId="000NormalChar">
    <w:name w:val="000 Normal Char"/>
    <w:basedOn w:val="Domylnaczcionkaakapitu"/>
    <w:link w:val="000Normal"/>
    <w:uiPriority w:val="99"/>
    <w:locked/>
    <w:rsid w:val="00471D93"/>
    <w:rPr>
      <w:rFonts w:ascii="Arial" w:hAnsi="Arial" w:cs="Times New Roman"/>
      <w:lang w:val="en-GB" w:eastAsia="en-US" w:bidi="ar-SA"/>
    </w:rPr>
  </w:style>
  <w:style w:type="paragraph" w:customStyle="1" w:styleId="222Tablejustifiedindent2">
    <w:name w:val="222 Table justified indent 2"/>
    <w:basedOn w:val="Normalny"/>
    <w:uiPriority w:val="99"/>
    <w:rsid w:val="00D87664"/>
    <w:pPr>
      <w:overflowPunct w:val="0"/>
      <w:autoSpaceDE w:val="0"/>
      <w:autoSpaceDN w:val="0"/>
      <w:adjustRightInd w:val="0"/>
      <w:spacing w:before="20" w:line="200" w:lineRule="exact"/>
      <w:ind w:left="340" w:hanging="170"/>
      <w:jc w:val="both"/>
      <w:textAlignment w:val="baseline"/>
    </w:pPr>
    <w:rPr>
      <w:rFonts w:ascii="Garamond" w:hAnsi="Garamond"/>
      <w:sz w:val="20"/>
      <w:szCs w:val="20"/>
      <w:lang w:val="en-GB" w:eastAsia="en-US"/>
    </w:rPr>
  </w:style>
  <w:style w:type="paragraph" w:styleId="Poprawka">
    <w:name w:val="Revision"/>
    <w:hidden/>
    <w:uiPriority w:val="99"/>
    <w:semiHidden/>
    <w:rsid w:val="00392FF0"/>
    <w:rPr>
      <w:sz w:val="24"/>
      <w:szCs w:val="24"/>
    </w:rPr>
  </w:style>
  <w:style w:type="character" w:customStyle="1" w:styleId="apple-style-span">
    <w:name w:val="apple-style-span"/>
    <w:basedOn w:val="Domylnaczcionkaakapitu"/>
    <w:uiPriority w:val="99"/>
    <w:rsid w:val="00E502E9"/>
    <w:rPr>
      <w:rFonts w:cs="Times New Roman"/>
    </w:rPr>
  </w:style>
  <w:style w:type="paragraph" w:styleId="Tekstpodstawowywcity3">
    <w:name w:val="Body Text Indent 3"/>
    <w:basedOn w:val="Normalny"/>
    <w:link w:val="Tekstpodstawowywcity3Znak"/>
    <w:uiPriority w:val="99"/>
    <w:rsid w:val="00E65E65"/>
    <w:pPr>
      <w:spacing w:after="120" w:line="276" w:lineRule="auto"/>
      <w:ind w:left="283"/>
      <w:jc w:val="both"/>
    </w:pPr>
    <w:rPr>
      <w:rFonts w:ascii="Calibri" w:hAnsi="Calibri"/>
      <w:sz w:val="16"/>
      <w:szCs w:val="16"/>
      <w:lang w:eastAsia="en-US"/>
    </w:rPr>
  </w:style>
  <w:style w:type="character" w:customStyle="1" w:styleId="Tekstpodstawowywcity3Znak">
    <w:name w:val="Tekst podstawowy wcięty 3 Znak"/>
    <w:basedOn w:val="Domylnaczcionkaakapitu"/>
    <w:link w:val="Tekstpodstawowywcity3"/>
    <w:uiPriority w:val="99"/>
    <w:locked/>
    <w:rsid w:val="00E65E65"/>
    <w:rPr>
      <w:rFonts w:ascii="Calibri" w:hAnsi="Calibri" w:cs="Times New Roman"/>
      <w:sz w:val="16"/>
      <w:lang w:val="pl-PL" w:eastAsia="en-US"/>
    </w:rPr>
  </w:style>
  <w:style w:type="paragraph" w:customStyle="1" w:styleId="Revision1">
    <w:name w:val="Revision1"/>
    <w:hidden/>
    <w:uiPriority w:val="99"/>
    <w:semiHidden/>
    <w:rsid w:val="0043371E"/>
    <w:rPr>
      <w:sz w:val="24"/>
      <w:szCs w:val="24"/>
    </w:rPr>
  </w:style>
  <w:style w:type="paragraph" w:customStyle="1" w:styleId="ListParagraph1">
    <w:name w:val="List Paragraph1"/>
    <w:basedOn w:val="Normalny"/>
    <w:uiPriority w:val="99"/>
    <w:rsid w:val="002E490A"/>
    <w:pPr>
      <w:ind w:left="720"/>
      <w:contextualSpacing/>
    </w:pPr>
  </w:style>
  <w:style w:type="paragraph" w:customStyle="1" w:styleId="Style000NormalBlack">
    <w:name w:val="Style 000 Normal + Black"/>
    <w:basedOn w:val="000Normal"/>
    <w:link w:val="Style000NormalBlackChar"/>
    <w:uiPriority w:val="99"/>
    <w:rsid w:val="00A1565A"/>
    <w:pPr>
      <w:ind w:left="720"/>
    </w:pPr>
    <w:rPr>
      <w:rFonts w:ascii="Times New Roman" w:hAnsi="Times New Roman"/>
      <w:color w:val="000000"/>
      <w:lang w:val="pl-PL"/>
    </w:rPr>
  </w:style>
  <w:style w:type="character" w:customStyle="1" w:styleId="Style000NormalBlackChar">
    <w:name w:val="Style 000 Normal + Black Char"/>
    <w:basedOn w:val="000NormalChar"/>
    <w:link w:val="Style000NormalBlack"/>
    <w:uiPriority w:val="99"/>
    <w:locked/>
    <w:rsid w:val="00A1565A"/>
    <w:rPr>
      <w:rFonts w:ascii="Arial" w:hAnsi="Arial" w:cs="Times New Roman"/>
      <w:color w:val="000000"/>
      <w:lang w:val="en-GB" w:eastAsia="en-US" w:bidi="ar-SA"/>
    </w:rPr>
  </w:style>
  <w:style w:type="paragraph" w:styleId="Lista">
    <w:name w:val="List"/>
    <w:basedOn w:val="Normalny"/>
    <w:uiPriority w:val="99"/>
    <w:rsid w:val="00E07DA1"/>
    <w:pPr>
      <w:ind w:left="283" w:hanging="283"/>
      <w:contextualSpacing/>
    </w:pPr>
  </w:style>
  <w:style w:type="paragraph" w:styleId="Lista2">
    <w:name w:val="List 2"/>
    <w:basedOn w:val="Normalny"/>
    <w:uiPriority w:val="99"/>
    <w:rsid w:val="00E07DA1"/>
    <w:pPr>
      <w:ind w:left="566" w:hanging="283"/>
      <w:contextualSpacing/>
    </w:pPr>
  </w:style>
  <w:style w:type="paragraph" w:styleId="Lista3">
    <w:name w:val="List 3"/>
    <w:basedOn w:val="Normalny"/>
    <w:uiPriority w:val="99"/>
    <w:rsid w:val="00E07DA1"/>
    <w:pPr>
      <w:ind w:left="849" w:hanging="283"/>
      <w:contextualSpacing/>
    </w:pPr>
  </w:style>
  <w:style w:type="paragraph" w:styleId="Listapunktowana">
    <w:name w:val="List Bullet"/>
    <w:basedOn w:val="Normalny"/>
    <w:uiPriority w:val="99"/>
    <w:rsid w:val="00E07DA1"/>
    <w:pPr>
      <w:numPr>
        <w:numId w:val="5"/>
      </w:numPr>
      <w:tabs>
        <w:tab w:val="clear" w:pos="720"/>
        <w:tab w:val="num" w:pos="360"/>
      </w:tabs>
      <w:ind w:left="360"/>
      <w:contextualSpacing/>
    </w:pPr>
  </w:style>
  <w:style w:type="paragraph" w:styleId="Listapunktowana2">
    <w:name w:val="List Bullet 2"/>
    <w:basedOn w:val="Normalny"/>
    <w:uiPriority w:val="99"/>
    <w:rsid w:val="00E07DA1"/>
    <w:pPr>
      <w:numPr>
        <w:numId w:val="6"/>
      </w:numPr>
      <w:tabs>
        <w:tab w:val="clear" w:pos="720"/>
        <w:tab w:val="num" w:pos="643"/>
      </w:tabs>
      <w:ind w:left="643"/>
      <w:contextualSpacing/>
    </w:pPr>
  </w:style>
  <w:style w:type="paragraph" w:styleId="Lista-kontynuacja">
    <w:name w:val="List Continue"/>
    <w:basedOn w:val="Normalny"/>
    <w:uiPriority w:val="99"/>
    <w:rsid w:val="00E07DA1"/>
    <w:pPr>
      <w:spacing w:after="120"/>
      <w:ind w:left="283"/>
      <w:contextualSpacing/>
    </w:pPr>
  </w:style>
  <w:style w:type="paragraph" w:styleId="Lista-kontynuacja2">
    <w:name w:val="List Continue 2"/>
    <w:basedOn w:val="Normalny"/>
    <w:uiPriority w:val="99"/>
    <w:rsid w:val="00E07DA1"/>
    <w:pPr>
      <w:spacing w:after="120"/>
      <w:ind w:left="566"/>
      <w:contextualSpacing/>
    </w:pPr>
  </w:style>
  <w:style w:type="paragraph" w:styleId="Lista-kontynuacja3">
    <w:name w:val="List Continue 3"/>
    <w:basedOn w:val="Normalny"/>
    <w:uiPriority w:val="99"/>
    <w:rsid w:val="00E07DA1"/>
    <w:pPr>
      <w:spacing w:after="120"/>
      <w:ind w:left="849"/>
      <w:contextualSpacing/>
    </w:pPr>
  </w:style>
  <w:style w:type="paragraph" w:styleId="Tekstpodstawowyzwciciem">
    <w:name w:val="Body Text First Indent"/>
    <w:basedOn w:val="Tekstpodstawowy"/>
    <w:link w:val="TekstpodstawowyzwciciemZnak"/>
    <w:uiPriority w:val="99"/>
    <w:rsid w:val="00E07DA1"/>
    <w:pPr>
      <w:ind w:firstLine="210"/>
    </w:pPr>
  </w:style>
  <w:style w:type="character" w:customStyle="1" w:styleId="TekstpodstawowyzwciciemZnak">
    <w:name w:val="Tekst podstawowy z wcięciem Znak"/>
    <w:basedOn w:val="TekstpodstawowyZnak"/>
    <w:link w:val="Tekstpodstawowyzwciciem"/>
    <w:uiPriority w:val="99"/>
    <w:locked/>
    <w:rsid w:val="00E07DA1"/>
    <w:rPr>
      <w:rFonts w:cs="Times New Roman"/>
      <w:sz w:val="24"/>
      <w:szCs w:val="24"/>
    </w:rPr>
  </w:style>
  <w:style w:type="paragraph" w:styleId="Tekstpodstawowyzwciciem2">
    <w:name w:val="Body Text First Indent 2"/>
    <w:basedOn w:val="Tekstpodstawowywcity"/>
    <w:link w:val="Tekstpodstawowyzwciciem2Znak"/>
    <w:uiPriority w:val="99"/>
    <w:locked/>
    <w:rsid w:val="001F406F"/>
    <w:pPr>
      <w:spacing w:after="0"/>
      <w:ind w:left="360" w:firstLine="360"/>
    </w:pPr>
  </w:style>
  <w:style w:type="character" w:customStyle="1" w:styleId="Tekstpodstawowyzwciciem2Znak">
    <w:name w:val="Tekst podstawowy z wcięciem 2 Znak"/>
    <w:basedOn w:val="TekstpodstawowywcityZnak"/>
    <w:link w:val="Tekstpodstawowyzwciciem2"/>
    <w:uiPriority w:val="99"/>
    <w:locked/>
    <w:rsid w:val="001F406F"/>
    <w:rPr>
      <w:rFonts w:cs="Times New Roman"/>
      <w:sz w:val="24"/>
      <w:szCs w:val="24"/>
    </w:rPr>
  </w:style>
  <w:style w:type="paragraph" w:styleId="Akapitzlist">
    <w:name w:val="List Paragraph"/>
    <w:basedOn w:val="Normalny"/>
    <w:link w:val="AkapitzlistZnak"/>
    <w:uiPriority w:val="34"/>
    <w:qFormat/>
    <w:rsid w:val="00B8713F"/>
    <w:pPr>
      <w:ind w:left="720"/>
      <w:contextualSpacing/>
    </w:pPr>
  </w:style>
  <w:style w:type="character" w:customStyle="1" w:styleId="apple-tab-span">
    <w:name w:val="apple-tab-span"/>
    <w:basedOn w:val="Domylnaczcionkaakapitu"/>
    <w:rsid w:val="00DB0C49"/>
  </w:style>
  <w:style w:type="character" w:customStyle="1" w:styleId="AkapitzlistZnak">
    <w:name w:val="Akapit z listą Znak"/>
    <w:link w:val="Akapitzlist"/>
    <w:uiPriority w:val="34"/>
    <w:rsid w:val="000C0DFF"/>
    <w:rPr>
      <w:sz w:val="24"/>
      <w:szCs w:val="24"/>
    </w:rPr>
  </w:style>
  <w:style w:type="paragraph" w:customStyle="1" w:styleId="podstawowyakapitowy">
    <w:name w:val="podstawowyakapitowy"/>
    <w:basedOn w:val="Normalny"/>
    <w:rsid w:val="003D514B"/>
    <w:pPr>
      <w:spacing w:before="100" w:beforeAutospacing="1" w:after="100" w:afterAutospacing="1"/>
    </w:pPr>
  </w:style>
  <w:style w:type="paragraph" w:styleId="Tekstprzypisukocowego">
    <w:name w:val="endnote text"/>
    <w:basedOn w:val="Normalny"/>
    <w:link w:val="TekstprzypisukocowegoZnak"/>
    <w:uiPriority w:val="99"/>
    <w:semiHidden/>
    <w:unhideWhenUsed/>
    <w:locked/>
    <w:rsid w:val="002B1D91"/>
    <w:rPr>
      <w:sz w:val="20"/>
      <w:szCs w:val="20"/>
    </w:rPr>
  </w:style>
  <w:style w:type="character" w:customStyle="1" w:styleId="TekstprzypisukocowegoZnak">
    <w:name w:val="Tekst przypisu końcowego Znak"/>
    <w:basedOn w:val="Domylnaczcionkaakapitu"/>
    <w:link w:val="Tekstprzypisukocowego"/>
    <w:uiPriority w:val="99"/>
    <w:semiHidden/>
    <w:rsid w:val="002B1D91"/>
    <w:rPr>
      <w:sz w:val="20"/>
      <w:szCs w:val="20"/>
    </w:rPr>
  </w:style>
  <w:style w:type="character" w:styleId="Odwoanieprzypisukocowego">
    <w:name w:val="endnote reference"/>
    <w:basedOn w:val="Domylnaczcionkaakapitu"/>
    <w:uiPriority w:val="99"/>
    <w:semiHidden/>
    <w:unhideWhenUsed/>
    <w:locked/>
    <w:rsid w:val="002B1D9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Balloon Text" w:uiPriority="0"/>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976B6B"/>
    <w:rPr>
      <w:sz w:val="24"/>
      <w:szCs w:val="24"/>
    </w:rPr>
  </w:style>
  <w:style w:type="paragraph" w:styleId="Nagwek1">
    <w:name w:val="heading 1"/>
    <w:basedOn w:val="Normalny"/>
    <w:next w:val="Normalny"/>
    <w:link w:val="Nagwek1Znak"/>
    <w:uiPriority w:val="99"/>
    <w:qFormat/>
    <w:rsid w:val="003E3C82"/>
    <w:pPr>
      <w:keepNext/>
      <w:spacing w:before="240" w:after="60"/>
      <w:outlineLvl w:val="0"/>
    </w:pPr>
    <w:rPr>
      <w:rFonts w:ascii="Arial" w:hAnsi="Arial" w:cs="Arial"/>
      <w:b/>
      <w:bCs/>
      <w:kern w:val="32"/>
      <w:sz w:val="32"/>
      <w:szCs w:val="32"/>
    </w:rPr>
  </w:style>
  <w:style w:type="paragraph" w:styleId="Nagwek2">
    <w:name w:val="heading 2"/>
    <w:basedOn w:val="Normalny"/>
    <w:link w:val="Nagwek2Znak"/>
    <w:uiPriority w:val="99"/>
    <w:qFormat/>
    <w:rsid w:val="004E4EE4"/>
    <w:pPr>
      <w:spacing w:before="100" w:beforeAutospacing="1" w:after="100" w:afterAutospacing="1"/>
      <w:outlineLvl w:val="1"/>
    </w:pPr>
    <w:rPr>
      <w:b/>
      <w:bCs/>
      <w:sz w:val="36"/>
      <w:szCs w:val="36"/>
    </w:rPr>
  </w:style>
  <w:style w:type="paragraph" w:styleId="Nagwek3">
    <w:name w:val="heading 3"/>
    <w:basedOn w:val="Normalny"/>
    <w:next w:val="Normalny"/>
    <w:link w:val="Nagwek3Znak"/>
    <w:uiPriority w:val="99"/>
    <w:qFormat/>
    <w:locked/>
    <w:rsid w:val="00E07DA1"/>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9"/>
    <w:qFormat/>
    <w:locked/>
    <w:rsid w:val="00E07DA1"/>
    <w:pPr>
      <w:keepNext/>
      <w:spacing w:before="240" w:after="60"/>
      <w:outlineLvl w:val="3"/>
    </w:pPr>
    <w:rPr>
      <w:rFonts w:ascii="Calibri" w:hAnsi="Calibri"/>
      <w:b/>
      <w:bCs/>
      <w:sz w:val="28"/>
      <w:szCs w:val="28"/>
    </w:rPr>
  </w:style>
  <w:style w:type="paragraph" w:styleId="Nagwek5">
    <w:name w:val="heading 5"/>
    <w:basedOn w:val="Normalny"/>
    <w:next w:val="Normalny"/>
    <w:link w:val="Nagwek5Znak"/>
    <w:uiPriority w:val="99"/>
    <w:qFormat/>
    <w:locked/>
    <w:rsid w:val="00E07DA1"/>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9"/>
    <w:qFormat/>
    <w:locked/>
    <w:rsid w:val="00E07DA1"/>
    <w:pPr>
      <w:spacing w:before="240" w:after="60"/>
      <w:outlineLvl w:val="5"/>
    </w:pPr>
    <w:rPr>
      <w:rFonts w:ascii="Calibri" w:hAnsi="Calibri"/>
      <w:b/>
      <w:bCs/>
      <w:sz w:val="22"/>
      <w:szCs w:val="22"/>
    </w:rPr>
  </w:style>
  <w:style w:type="paragraph" w:styleId="Nagwek7">
    <w:name w:val="heading 7"/>
    <w:basedOn w:val="Normalny"/>
    <w:next w:val="Normalny"/>
    <w:link w:val="Nagwek7Znak"/>
    <w:uiPriority w:val="99"/>
    <w:qFormat/>
    <w:locked/>
    <w:rsid w:val="00E07DA1"/>
    <w:pPr>
      <w:spacing w:before="240" w:after="60"/>
      <w:outlineLvl w:val="6"/>
    </w:pPr>
    <w:rPr>
      <w:rFonts w:ascii="Calibri" w:hAnsi="Calibri"/>
    </w:rPr>
  </w:style>
  <w:style w:type="paragraph" w:styleId="Nagwek8">
    <w:name w:val="heading 8"/>
    <w:basedOn w:val="Normalny"/>
    <w:next w:val="Normalny"/>
    <w:link w:val="Nagwek8Znak"/>
    <w:uiPriority w:val="99"/>
    <w:qFormat/>
    <w:locked/>
    <w:rsid w:val="00E07DA1"/>
    <w:pPr>
      <w:spacing w:before="240" w:after="60"/>
      <w:outlineLvl w:val="7"/>
    </w:pPr>
    <w:rPr>
      <w:rFonts w:ascii="Calibri" w:hAnsi="Calibri"/>
      <w:i/>
      <w:iCs/>
    </w:rPr>
  </w:style>
  <w:style w:type="paragraph" w:styleId="Nagwek9">
    <w:name w:val="heading 9"/>
    <w:basedOn w:val="Normalny"/>
    <w:next w:val="Normalny"/>
    <w:link w:val="Nagwek9Znak"/>
    <w:uiPriority w:val="99"/>
    <w:qFormat/>
    <w:locked/>
    <w:rsid w:val="00E07DA1"/>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F4E8A"/>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9F4E8A"/>
    <w:rPr>
      <w:rFonts w:ascii="Cambria" w:hAnsi="Cambria" w:cs="Times New Roman"/>
      <w:b/>
      <w:bCs/>
      <w:i/>
      <w:iCs/>
      <w:sz w:val="28"/>
      <w:szCs w:val="28"/>
    </w:rPr>
  </w:style>
  <w:style w:type="character" w:customStyle="1" w:styleId="Nagwek3Znak">
    <w:name w:val="Nagłówek 3 Znak"/>
    <w:basedOn w:val="Domylnaczcionkaakapitu"/>
    <w:link w:val="Nagwek3"/>
    <w:uiPriority w:val="99"/>
    <w:locked/>
    <w:rsid w:val="00E07DA1"/>
    <w:rPr>
      <w:rFonts w:ascii="Cambria" w:hAnsi="Cambria" w:cs="Times New Roman"/>
      <w:b/>
      <w:bCs/>
      <w:sz w:val="26"/>
      <w:szCs w:val="26"/>
    </w:rPr>
  </w:style>
  <w:style w:type="character" w:customStyle="1" w:styleId="Nagwek4Znak">
    <w:name w:val="Nagłówek 4 Znak"/>
    <w:basedOn w:val="Domylnaczcionkaakapitu"/>
    <w:link w:val="Nagwek4"/>
    <w:uiPriority w:val="99"/>
    <w:locked/>
    <w:rsid w:val="00E07DA1"/>
    <w:rPr>
      <w:rFonts w:ascii="Calibri" w:hAnsi="Calibri" w:cs="Times New Roman"/>
      <w:b/>
      <w:bCs/>
      <w:sz w:val="28"/>
      <w:szCs w:val="28"/>
    </w:rPr>
  </w:style>
  <w:style w:type="character" w:customStyle="1" w:styleId="Nagwek5Znak">
    <w:name w:val="Nagłówek 5 Znak"/>
    <w:basedOn w:val="Domylnaczcionkaakapitu"/>
    <w:link w:val="Nagwek5"/>
    <w:uiPriority w:val="99"/>
    <w:locked/>
    <w:rsid w:val="00E07DA1"/>
    <w:rPr>
      <w:rFonts w:ascii="Calibri" w:hAnsi="Calibri" w:cs="Times New Roman"/>
      <w:b/>
      <w:bCs/>
      <w:i/>
      <w:iCs/>
      <w:sz w:val="26"/>
      <w:szCs w:val="26"/>
    </w:rPr>
  </w:style>
  <w:style w:type="character" w:customStyle="1" w:styleId="Nagwek6Znak">
    <w:name w:val="Nagłówek 6 Znak"/>
    <w:basedOn w:val="Domylnaczcionkaakapitu"/>
    <w:link w:val="Nagwek6"/>
    <w:uiPriority w:val="99"/>
    <w:locked/>
    <w:rsid w:val="00E07DA1"/>
    <w:rPr>
      <w:rFonts w:ascii="Calibri" w:hAnsi="Calibri" w:cs="Times New Roman"/>
      <w:b/>
      <w:bCs/>
    </w:rPr>
  </w:style>
  <w:style w:type="character" w:customStyle="1" w:styleId="Nagwek7Znak">
    <w:name w:val="Nagłówek 7 Znak"/>
    <w:basedOn w:val="Domylnaczcionkaakapitu"/>
    <w:link w:val="Nagwek7"/>
    <w:uiPriority w:val="99"/>
    <w:locked/>
    <w:rsid w:val="00E07DA1"/>
    <w:rPr>
      <w:rFonts w:ascii="Calibri" w:hAnsi="Calibri" w:cs="Times New Roman"/>
      <w:sz w:val="24"/>
      <w:szCs w:val="24"/>
    </w:rPr>
  </w:style>
  <w:style w:type="character" w:customStyle="1" w:styleId="Nagwek8Znak">
    <w:name w:val="Nagłówek 8 Znak"/>
    <w:basedOn w:val="Domylnaczcionkaakapitu"/>
    <w:link w:val="Nagwek8"/>
    <w:uiPriority w:val="99"/>
    <w:locked/>
    <w:rsid w:val="00E07DA1"/>
    <w:rPr>
      <w:rFonts w:ascii="Calibri" w:hAnsi="Calibri" w:cs="Times New Roman"/>
      <w:i/>
      <w:iCs/>
      <w:sz w:val="24"/>
      <w:szCs w:val="24"/>
    </w:rPr>
  </w:style>
  <w:style w:type="character" w:customStyle="1" w:styleId="Nagwek9Znak">
    <w:name w:val="Nagłówek 9 Znak"/>
    <w:basedOn w:val="Domylnaczcionkaakapitu"/>
    <w:link w:val="Nagwek9"/>
    <w:uiPriority w:val="99"/>
    <w:locked/>
    <w:rsid w:val="00E07DA1"/>
    <w:rPr>
      <w:rFonts w:ascii="Cambria" w:hAnsi="Cambria" w:cs="Times New Roman"/>
    </w:rPr>
  </w:style>
  <w:style w:type="paragraph" w:styleId="Stopka">
    <w:name w:val="footer"/>
    <w:basedOn w:val="Normalny"/>
    <w:link w:val="StopkaZnak"/>
    <w:uiPriority w:val="99"/>
    <w:rsid w:val="00AB33BD"/>
    <w:pPr>
      <w:tabs>
        <w:tab w:val="center" w:pos="4536"/>
        <w:tab w:val="right" w:pos="9072"/>
      </w:tabs>
    </w:pPr>
  </w:style>
  <w:style w:type="character" w:customStyle="1" w:styleId="StopkaZnak">
    <w:name w:val="Stopka Znak"/>
    <w:basedOn w:val="Domylnaczcionkaakapitu"/>
    <w:link w:val="Stopka"/>
    <w:uiPriority w:val="99"/>
    <w:locked/>
    <w:rsid w:val="00531A24"/>
    <w:rPr>
      <w:rFonts w:cs="Times New Roman"/>
      <w:sz w:val="24"/>
      <w:szCs w:val="24"/>
    </w:rPr>
  </w:style>
  <w:style w:type="character" w:styleId="Numerstrony">
    <w:name w:val="page number"/>
    <w:basedOn w:val="Domylnaczcionkaakapitu"/>
    <w:uiPriority w:val="99"/>
    <w:rsid w:val="00AB33BD"/>
    <w:rPr>
      <w:rFonts w:cs="Times New Roman"/>
    </w:rPr>
  </w:style>
  <w:style w:type="paragraph" w:styleId="Nagwek">
    <w:name w:val="header"/>
    <w:basedOn w:val="Normalny"/>
    <w:link w:val="NagwekZnak"/>
    <w:rsid w:val="00AB33BD"/>
    <w:pPr>
      <w:tabs>
        <w:tab w:val="center" w:pos="4536"/>
        <w:tab w:val="right" w:pos="9072"/>
      </w:tabs>
    </w:pPr>
  </w:style>
  <w:style w:type="character" w:customStyle="1" w:styleId="NagwekZnak">
    <w:name w:val="Nagłówek Znak"/>
    <w:basedOn w:val="Domylnaczcionkaakapitu"/>
    <w:link w:val="Nagwek"/>
    <w:uiPriority w:val="99"/>
    <w:semiHidden/>
    <w:locked/>
    <w:rsid w:val="009F4E8A"/>
    <w:rPr>
      <w:rFonts w:cs="Times New Roman"/>
      <w:sz w:val="24"/>
      <w:szCs w:val="24"/>
    </w:rPr>
  </w:style>
  <w:style w:type="paragraph" w:styleId="Tytu">
    <w:name w:val="Title"/>
    <w:basedOn w:val="Normalny"/>
    <w:link w:val="TytuZnak"/>
    <w:uiPriority w:val="99"/>
    <w:qFormat/>
    <w:rsid w:val="00931AB6"/>
    <w:pPr>
      <w:spacing w:line="260" w:lineRule="exact"/>
      <w:jc w:val="center"/>
    </w:pPr>
    <w:rPr>
      <w:rFonts w:ascii="Arial" w:hAnsi="Arial" w:cs="Arial"/>
      <w:b/>
      <w:bCs/>
      <w:sz w:val="20"/>
    </w:rPr>
  </w:style>
  <w:style w:type="character" w:customStyle="1" w:styleId="TytuZnak">
    <w:name w:val="Tytuł Znak"/>
    <w:basedOn w:val="Domylnaczcionkaakapitu"/>
    <w:link w:val="Tytu"/>
    <w:uiPriority w:val="99"/>
    <w:locked/>
    <w:rsid w:val="009F4E8A"/>
    <w:rPr>
      <w:rFonts w:ascii="Cambria" w:hAnsi="Cambria" w:cs="Times New Roman"/>
      <w:b/>
      <w:bCs/>
      <w:kern w:val="28"/>
      <w:sz w:val="32"/>
      <w:szCs w:val="32"/>
    </w:rPr>
  </w:style>
  <w:style w:type="paragraph" w:styleId="Tekstpodstawowy3">
    <w:name w:val="Body Text 3"/>
    <w:basedOn w:val="Normalny"/>
    <w:link w:val="Tekstpodstawowy3Znak"/>
    <w:uiPriority w:val="99"/>
    <w:rsid w:val="00CD074C"/>
    <w:pPr>
      <w:spacing w:line="260" w:lineRule="exact"/>
      <w:jc w:val="both"/>
    </w:pPr>
    <w:rPr>
      <w:rFonts w:ascii="Arial" w:hAnsi="Arial" w:cs="Arial"/>
      <w:b/>
      <w:bCs/>
      <w:sz w:val="18"/>
      <w:szCs w:val="22"/>
    </w:rPr>
  </w:style>
  <w:style w:type="character" w:customStyle="1" w:styleId="Tekstpodstawowy3Znak">
    <w:name w:val="Tekst podstawowy 3 Znak"/>
    <w:basedOn w:val="Domylnaczcionkaakapitu"/>
    <w:link w:val="Tekstpodstawowy3"/>
    <w:uiPriority w:val="99"/>
    <w:locked/>
    <w:rsid w:val="009F4E8A"/>
    <w:rPr>
      <w:rFonts w:cs="Times New Roman"/>
      <w:sz w:val="16"/>
      <w:szCs w:val="16"/>
    </w:rPr>
  </w:style>
  <w:style w:type="paragraph" w:styleId="Tekstpodstawowywcity">
    <w:name w:val="Body Text Indent"/>
    <w:basedOn w:val="Normalny"/>
    <w:link w:val="TekstpodstawowywcityZnak"/>
    <w:uiPriority w:val="99"/>
    <w:rsid w:val="000213E9"/>
    <w:pPr>
      <w:spacing w:after="120"/>
      <w:ind w:left="283"/>
    </w:pPr>
  </w:style>
  <w:style w:type="character" w:customStyle="1" w:styleId="TekstpodstawowywcityZnak">
    <w:name w:val="Tekst podstawowy wcięty Znak"/>
    <w:basedOn w:val="Domylnaczcionkaakapitu"/>
    <w:link w:val="Tekstpodstawowywcity"/>
    <w:uiPriority w:val="99"/>
    <w:semiHidden/>
    <w:locked/>
    <w:rsid w:val="009F4E8A"/>
    <w:rPr>
      <w:rFonts w:cs="Times New Roman"/>
      <w:sz w:val="24"/>
      <w:szCs w:val="24"/>
    </w:rPr>
  </w:style>
  <w:style w:type="paragraph" w:styleId="Tekstpodstawowy">
    <w:name w:val="Body Text"/>
    <w:basedOn w:val="Normalny"/>
    <w:link w:val="TekstpodstawowyZnak"/>
    <w:uiPriority w:val="99"/>
    <w:rsid w:val="00FC2522"/>
    <w:pPr>
      <w:spacing w:after="120"/>
    </w:pPr>
  </w:style>
  <w:style w:type="character" w:customStyle="1" w:styleId="TekstpodstawowyZnak">
    <w:name w:val="Tekst podstawowy Znak"/>
    <w:basedOn w:val="Domylnaczcionkaakapitu"/>
    <w:link w:val="Tekstpodstawowy"/>
    <w:uiPriority w:val="99"/>
    <w:semiHidden/>
    <w:locked/>
    <w:rsid w:val="009F4E8A"/>
    <w:rPr>
      <w:rFonts w:cs="Times New Roman"/>
      <w:sz w:val="24"/>
      <w:szCs w:val="24"/>
    </w:rPr>
  </w:style>
  <w:style w:type="paragraph" w:styleId="Tekstpodstawowy2">
    <w:name w:val="Body Text 2"/>
    <w:basedOn w:val="Normalny"/>
    <w:link w:val="Tekstpodstawowy2Znak"/>
    <w:uiPriority w:val="99"/>
    <w:rsid w:val="003E3C82"/>
    <w:pPr>
      <w:spacing w:after="120" w:line="480" w:lineRule="auto"/>
    </w:pPr>
  </w:style>
  <w:style w:type="character" w:customStyle="1" w:styleId="Tekstpodstawowy2Znak">
    <w:name w:val="Tekst podstawowy 2 Znak"/>
    <w:basedOn w:val="Domylnaczcionkaakapitu"/>
    <w:link w:val="Tekstpodstawowy2"/>
    <w:uiPriority w:val="99"/>
    <w:locked/>
    <w:rsid w:val="009F4E8A"/>
    <w:rPr>
      <w:rFonts w:cs="Times New Roman"/>
      <w:sz w:val="24"/>
      <w:szCs w:val="24"/>
    </w:rPr>
  </w:style>
  <w:style w:type="paragraph" w:customStyle="1" w:styleId="StyleHeading1Verdana8ptBefore0ptAfter0pt">
    <w:name w:val="Style Heading 1 + Verdana 8 pt Before:  0 pt After:  0 pt"/>
    <w:basedOn w:val="Nagwek1"/>
    <w:uiPriority w:val="99"/>
    <w:rsid w:val="003E3C82"/>
    <w:pPr>
      <w:numPr>
        <w:numId w:val="2"/>
      </w:numPr>
      <w:spacing w:before="0" w:after="0"/>
      <w:jc w:val="both"/>
    </w:pPr>
    <w:rPr>
      <w:rFonts w:ascii="Verdana" w:hAnsi="Verdana" w:cs="Times New Roman"/>
      <w:kern w:val="0"/>
      <w:sz w:val="16"/>
      <w:szCs w:val="24"/>
      <w:lang w:val="en-GB"/>
    </w:rPr>
  </w:style>
  <w:style w:type="character" w:styleId="Odwoaniedokomentarza">
    <w:name w:val="annotation reference"/>
    <w:basedOn w:val="Domylnaczcionkaakapitu"/>
    <w:uiPriority w:val="99"/>
    <w:semiHidden/>
    <w:rsid w:val="007B2489"/>
    <w:rPr>
      <w:rFonts w:cs="Times New Roman"/>
      <w:sz w:val="16"/>
      <w:szCs w:val="16"/>
    </w:rPr>
  </w:style>
  <w:style w:type="paragraph" w:styleId="Tekstkomentarza">
    <w:name w:val="annotation text"/>
    <w:basedOn w:val="Normalny"/>
    <w:link w:val="TekstkomentarzaZnak"/>
    <w:uiPriority w:val="99"/>
    <w:semiHidden/>
    <w:rsid w:val="007B2489"/>
    <w:rPr>
      <w:sz w:val="20"/>
      <w:szCs w:val="20"/>
    </w:rPr>
  </w:style>
  <w:style w:type="character" w:customStyle="1" w:styleId="TekstkomentarzaZnak">
    <w:name w:val="Tekst komentarza Znak"/>
    <w:basedOn w:val="Domylnaczcionkaakapitu"/>
    <w:link w:val="Tekstkomentarza"/>
    <w:uiPriority w:val="99"/>
    <w:semiHidden/>
    <w:locked/>
    <w:rsid w:val="00BD2E3B"/>
    <w:rPr>
      <w:rFonts w:cs="Times New Roman"/>
    </w:rPr>
  </w:style>
  <w:style w:type="paragraph" w:styleId="Tematkomentarza">
    <w:name w:val="annotation subject"/>
    <w:basedOn w:val="Tekstkomentarza"/>
    <w:next w:val="Tekstkomentarza"/>
    <w:link w:val="TematkomentarzaZnak"/>
    <w:uiPriority w:val="99"/>
    <w:semiHidden/>
    <w:rsid w:val="007B2489"/>
    <w:rPr>
      <w:b/>
      <w:bCs/>
    </w:rPr>
  </w:style>
  <w:style w:type="character" w:customStyle="1" w:styleId="TematkomentarzaZnak">
    <w:name w:val="Temat komentarza Znak"/>
    <w:basedOn w:val="TekstkomentarzaZnak"/>
    <w:link w:val="Tematkomentarza"/>
    <w:uiPriority w:val="99"/>
    <w:semiHidden/>
    <w:locked/>
    <w:rsid w:val="009F4E8A"/>
    <w:rPr>
      <w:rFonts w:cs="Times New Roman"/>
      <w:b/>
      <w:bCs/>
      <w:sz w:val="20"/>
      <w:szCs w:val="20"/>
    </w:rPr>
  </w:style>
  <w:style w:type="paragraph" w:styleId="Tekstdymka">
    <w:name w:val="Balloon Text"/>
    <w:basedOn w:val="Normalny"/>
    <w:link w:val="TekstdymkaZnak"/>
    <w:semiHidden/>
    <w:rsid w:val="007B248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F4E8A"/>
    <w:rPr>
      <w:rFonts w:cs="Times New Roman"/>
      <w:sz w:val="2"/>
    </w:rPr>
  </w:style>
  <w:style w:type="paragraph" w:customStyle="1" w:styleId="Akapitzlist1">
    <w:name w:val="Akapit z listą1"/>
    <w:basedOn w:val="Normalny"/>
    <w:uiPriority w:val="99"/>
    <w:rsid w:val="00CA0B50"/>
    <w:pPr>
      <w:ind w:left="720"/>
      <w:contextualSpacing/>
    </w:pPr>
  </w:style>
  <w:style w:type="paragraph" w:styleId="NormalnyWeb">
    <w:name w:val="Normal (Web)"/>
    <w:basedOn w:val="Normalny"/>
    <w:uiPriority w:val="99"/>
    <w:rsid w:val="004E4EE4"/>
    <w:pPr>
      <w:spacing w:before="100" w:beforeAutospacing="1" w:after="100" w:afterAutospacing="1"/>
    </w:pPr>
  </w:style>
  <w:style w:type="character" w:styleId="Pogrubienie">
    <w:name w:val="Strong"/>
    <w:basedOn w:val="Domylnaczcionkaakapitu"/>
    <w:uiPriority w:val="99"/>
    <w:qFormat/>
    <w:rsid w:val="00023834"/>
    <w:rPr>
      <w:rFonts w:cs="Times New Roman"/>
      <w:b/>
      <w:bCs/>
    </w:rPr>
  </w:style>
  <w:style w:type="paragraph" w:customStyle="1" w:styleId="Poprawka1">
    <w:name w:val="Poprawka1"/>
    <w:hidden/>
    <w:uiPriority w:val="99"/>
    <w:semiHidden/>
    <w:rsid w:val="004075D3"/>
    <w:rPr>
      <w:sz w:val="24"/>
      <w:szCs w:val="24"/>
    </w:rPr>
  </w:style>
  <w:style w:type="paragraph" w:customStyle="1" w:styleId="DraftParagraph">
    <w:name w:val="Draft Paragraph"/>
    <w:basedOn w:val="Normalny"/>
    <w:uiPriority w:val="99"/>
    <w:rsid w:val="009F4186"/>
    <w:pPr>
      <w:spacing w:line="360" w:lineRule="exact"/>
      <w:jc w:val="both"/>
    </w:pPr>
    <w:rPr>
      <w:sz w:val="20"/>
      <w:szCs w:val="20"/>
      <w:lang w:val="en-GB" w:eastAsia="en-US"/>
    </w:rPr>
  </w:style>
  <w:style w:type="table" w:styleId="Tabela-Siatka">
    <w:name w:val="Table Grid"/>
    <w:basedOn w:val="Standardowy"/>
    <w:uiPriority w:val="99"/>
    <w:rsid w:val="00796D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Normal">
    <w:name w:val="000 Normal"/>
    <w:basedOn w:val="Normalny"/>
    <w:link w:val="000NormalChar"/>
    <w:uiPriority w:val="99"/>
    <w:rsid w:val="00471D93"/>
    <w:pPr>
      <w:overflowPunct w:val="0"/>
      <w:autoSpaceDE w:val="0"/>
      <w:autoSpaceDN w:val="0"/>
      <w:adjustRightInd w:val="0"/>
      <w:spacing w:before="60" w:after="40" w:line="220" w:lineRule="exact"/>
      <w:ind w:left="697"/>
      <w:jc w:val="both"/>
      <w:textAlignment w:val="baseline"/>
    </w:pPr>
    <w:rPr>
      <w:rFonts w:ascii="Arial" w:hAnsi="Arial"/>
      <w:sz w:val="20"/>
      <w:szCs w:val="20"/>
      <w:lang w:val="en-GB" w:eastAsia="en-US"/>
    </w:rPr>
  </w:style>
  <w:style w:type="character" w:customStyle="1" w:styleId="000NormalChar">
    <w:name w:val="000 Normal Char"/>
    <w:basedOn w:val="Domylnaczcionkaakapitu"/>
    <w:link w:val="000Normal"/>
    <w:uiPriority w:val="99"/>
    <w:locked/>
    <w:rsid w:val="00471D93"/>
    <w:rPr>
      <w:rFonts w:ascii="Arial" w:hAnsi="Arial" w:cs="Times New Roman"/>
      <w:lang w:val="en-GB" w:eastAsia="en-US" w:bidi="ar-SA"/>
    </w:rPr>
  </w:style>
  <w:style w:type="paragraph" w:customStyle="1" w:styleId="222Tablejustifiedindent2">
    <w:name w:val="222 Table justified indent 2"/>
    <w:basedOn w:val="Normalny"/>
    <w:uiPriority w:val="99"/>
    <w:rsid w:val="00D87664"/>
    <w:pPr>
      <w:overflowPunct w:val="0"/>
      <w:autoSpaceDE w:val="0"/>
      <w:autoSpaceDN w:val="0"/>
      <w:adjustRightInd w:val="0"/>
      <w:spacing w:before="20" w:line="200" w:lineRule="exact"/>
      <w:ind w:left="340" w:hanging="170"/>
      <w:jc w:val="both"/>
      <w:textAlignment w:val="baseline"/>
    </w:pPr>
    <w:rPr>
      <w:rFonts w:ascii="Garamond" w:hAnsi="Garamond"/>
      <w:sz w:val="20"/>
      <w:szCs w:val="20"/>
      <w:lang w:val="en-GB" w:eastAsia="en-US"/>
    </w:rPr>
  </w:style>
  <w:style w:type="paragraph" w:styleId="Poprawka">
    <w:name w:val="Revision"/>
    <w:hidden/>
    <w:uiPriority w:val="99"/>
    <w:semiHidden/>
    <w:rsid w:val="00392FF0"/>
    <w:rPr>
      <w:sz w:val="24"/>
      <w:szCs w:val="24"/>
    </w:rPr>
  </w:style>
  <w:style w:type="character" w:customStyle="1" w:styleId="apple-style-span">
    <w:name w:val="apple-style-span"/>
    <w:basedOn w:val="Domylnaczcionkaakapitu"/>
    <w:uiPriority w:val="99"/>
    <w:rsid w:val="00E502E9"/>
    <w:rPr>
      <w:rFonts w:cs="Times New Roman"/>
    </w:rPr>
  </w:style>
  <w:style w:type="paragraph" w:styleId="Tekstpodstawowywcity3">
    <w:name w:val="Body Text Indent 3"/>
    <w:basedOn w:val="Normalny"/>
    <w:link w:val="Tekstpodstawowywcity3Znak"/>
    <w:uiPriority w:val="99"/>
    <w:rsid w:val="00E65E65"/>
    <w:pPr>
      <w:spacing w:after="120" w:line="276" w:lineRule="auto"/>
      <w:ind w:left="283"/>
      <w:jc w:val="both"/>
    </w:pPr>
    <w:rPr>
      <w:rFonts w:ascii="Calibri" w:hAnsi="Calibri"/>
      <w:sz w:val="16"/>
      <w:szCs w:val="16"/>
      <w:lang w:eastAsia="en-US"/>
    </w:rPr>
  </w:style>
  <w:style w:type="character" w:customStyle="1" w:styleId="Tekstpodstawowywcity3Znak">
    <w:name w:val="Tekst podstawowy wcięty 3 Znak"/>
    <w:basedOn w:val="Domylnaczcionkaakapitu"/>
    <w:link w:val="Tekstpodstawowywcity3"/>
    <w:uiPriority w:val="99"/>
    <w:locked/>
    <w:rsid w:val="00E65E65"/>
    <w:rPr>
      <w:rFonts w:ascii="Calibri" w:hAnsi="Calibri" w:cs="Times New Roman"/>
      <w:sz w:val="16"/>
      <w:lang w:val="pl-PL" w:eastAsia="en-US"/>
    </w:rPr>
  </w:style>
  <w:style w:type="paragraph" w:customStyle="1" w:styleId="Revision1">
    <w:name w:val="Revision1"/>
    <w:hidden/>
    <w:uiPriority w:val="99"/>
    <w:semiHidden/>
    <w:rsid w:val="0043371E"/>
    <w:rPr>
      <w:sz w:val="24"/>
      <w:szCs w:val="24"/>
    </w:rPr>
  </w:style>
  <w:style w:type="paragraph" w:customStyle="1" w:styleId="ListParagraph1">
    <w:name w:val="List Paragraph1"/>
    <w:basedOn w:val="Normalny"/>
    <w:uiPriority w:val="99"/>
    <w:rsid w:val="002E490A"/>
    <w:pPr>
      <w:ind w:left="720"/>
      <w:contextualSpacing/>
    </w:pPr>
  </w:style>
  <w:style w:type="paragraph" w:customStyle="1" w:styleId="Style000NormalBlack">
    <w:name w:val="Style 000 Normal + Black"/>
    <w:basedOn w:val="000Normal"/>
    <w:link w:val="Style000NormalBlackChar"/>
    <w:uiPriority w:val="99"/>
    <w:rsid w:val="00A1565A"/>
    <w:pPr>
      <w:ind w:left="720"/>
    </w:pPr>
    <w:rPr>
      <w:rFonts w:ascii="Times New Roman" w:hAnsi="Times New Roman"/>
      <w:color w:val="000000"/>
      <w:lang w:val="pl-PL"/>
    </w:rPr>
  </w:style>
  <w:style w:type="character" w:customStyle="1" w:styleId="Style000NormalBlackChar">
    <w:name w:val="Style 000 Normal + Black Char"/>
    <w:basedOn w:val="000NormalChar"/>
    <w:link w:val="Style000NormalBlack"/>
    <w:uiPriority w:val="99"/>
    <w:locked/>
    <w:rsid w:val="00A1565A"/>
    <w:rPr>
      <w:rFonts w:ascii="Arial" w:hAnsi="Arial" w:cs="Times New Roman"/>
      <w:color w:val="000000"/>
      <w:lang w:val="en-GB" w:eastAsia="en-US" w:bidi="ar-SA"/>
    </w:rPr>
  </w:style>
  <w:style w:type="paragraph" w:styleId="Lista">
    <w:name w:val="List"/>
    <w:basedOn w:val="Normalny"/>
    <w:uiPriority w:val="99"/>
    <w:rsid w:val="00E07DA1"/>
    <w:pPr>
      <w:ind w:left="283" w:hanging="283"/>
      <w:contextualSpacing/>
    </w:pPr>
  </w:style>
  <w:style w:type="paragraph" w:styleId="Lista2">
    <w:name w:val="List 2"/>
    <w:basedOn w:val="Normalny"/>
    <w:uiPriority w:val="99"/>
    <w:rsid w:val="00E07DA1"/>
    <w:pPr>
      <w:ind w:left="566" w:hanging="283"/>
      <w:contextualSpacing/>
    </w:pPr>
  </w:style>
  <w:style w:type="paragraph" w:styleId="Lista3">
    <w:name w:val="List 3"/>
    <w:basedOn w:val="Normalny"/>
    <w:uiPriority w:val="99"/>
    <w:rsid w:val="00E07DA1"/>
    <w:pPr>
      <w:ind w:left="849" w:hanging="283"/>
      <w:contextualSpacing/>
    </w:pPr>
  </w:style>
  <w:style w:type="paragraph" w:styleId="Listapunktowana">
    <w:name w:val="List Bullet"/>
    <w:basedOn w:val="Normalny"/>
    <w:uiPriority w:val="99"/>
    <w:rsid w:val="00E07DA1"/>
    <w:pPr>
      <w:numPr>
        <w:numId w:val="5"/>
      </w:numPr>
      <w:tabs>
        <w:tab w:val="clear" w:pos="720"/>
        <w:tab w:val="num" w:pos="360"/>
      </w:tabs>
      <w:ind w:left="360"/>
      <w:contextualSpacing/>
    </w:pPr>
  </w:style>
  <w:style w:type="paragraph" w:styleId="Listapunktowana2">
    <w:name w:val="List Bullet 2"/>
    <w:basedOn w:val="Normalny"/>
    <w:uiPriority w:val="99"/>
    <w:rsid w:val="00E07DA1"/>
    <w:pPr>
      <w:numPr>
        <w:numId w:val="6"/>
      </w:numPr>
      <w:tabs>
        <w:tab w:val="clear" w:pos="720"/>
        <w:tab w:val="num" w:pos="643"/>
      </w:tabs>
      <w:ind w:left="643"/>
      <w:contextualSpacing/>
    </w:pPr>
  </w:style>
  <w:style w:type="paragraph" w:styleId="Lista-kontynuacja">
    <w:name w:val="List Continue"/>
    <w:basedOn w:val="Normalny"/>
    <w:uiPriority w:val="99"/>
    <w:rsid w:val="00E07DA1"/>
    <w:pPr>
      <w:spacing w:after="120"/>
      <w:ind w:left="283"/>
      <w:contextualSpacing/>
    </w:pPr>
  </w:style>
  <w:style w:type="paragraph" w:styleId="Lista-kontynuacja2">
    <w:name w:val="List Continue 2"/>
    <w:basedOn w:val="Normalny"/>
    <w:uiPriority w:val="99"/>
    <w:rsid w:val="00E07DA1"/>
    <w:pPr>
      <w:spacing w:after="120"/>
      <w:ind w:left="566"/>
      <w:contextualSpacing/>
    </w:pPr>
  </w:style>
  <w:style w:type="paragraph" w:styleId="Lista-kontynuacja3">
    <w:name w:val="List Continue 3"/>
    <w:basedOn w:val="Normalny"/>
    <w:uiPriority w:val="99"/>
    <w:rsid w:val="00E07DA1"/>
    <w:pPr>
      <w:spacing w:after="120"/>
      <w:ind w:left="849"/>
      <w:contextualSpacing/>
    </w:pPr>
  </w:style>
  <w:style w:type="paragraph" w:styleId="Tekstpodstawowyzwciciem">
    <w:name w:val="Body Text First Indent"/>
    <w:basedOn w:val="Tekstpodstawowy"/>
    <w:link w:val="TekstpodstawowyzwciciemZnak"/>
    <w:uiPriority w:val="99"/>
    <w:rsid w:val="00E07DA1"/>
    <w:pPr>
      <w:ind w:firstLine="210"/>
    </w:pPr>
  </w:style>
  <w:style w:type="character" w:customStyle="1" w:styleId="TekstpodstawowyzwciciemZnak">
    <w:name w:val="Tekst podstawowy z wcięciem Znak"/>
    <w:basedOn w:val="TekstpodstawowyZnak"/>
    <w:link w:val="Tekstpodstawowyzwciciem"/>
    <w:uiPriority w:val="99"/>
    <w:locked/>
    <w:rsid w:val="00E07DA1"/>
    <w:rPr>
      <w:rFonts w:cs="Times New Roman"/>
      <w:sz w:val="24"/>
      <w:szCs w:val="24"/>
    </w:rPr>
  </w:style>
  <w:style w:type="paragraph" w:styleId="Tekstpodstawowyzwciciem2">
    <w:name w:val="Body Text First Indent 2"/>
    <w:basedOn w:val="Tekstpodstawowywcity"/>
    <w:link w:val="Tekstpodstawowyzwciciem2Znak"/>
    <w:uiPriority w:val="99"/>
    <w:locked/>
    <w:rsid w:val="001F406F"/>
    <w:pPr>
      <w:spacing w:after="0"/>
      <w:ind w:left="360" w:firstLine="360"/>
    </w:pPr>
  </w:style>
  <w:style w:type="character" w:customStyle="1" w:styleId="Tekstpodstawowyzwciciem2Znak">
    <w:name w:val="Tekst podstawowy z wcięciem 2 Znak"/>
    <w:basedOn w:val="TekstpodstawowywcityZnak"/>
    <w:link w:val="Tekstpodstawowyzwciciem2"/>
    <w:uiPriority w:val="99"/>
    <w:locked/>
    <w:rsid w:val="001F406F"/>
    <w:rPr>
      <w:rFonts w:cs="Times New Roman"/>
      <w:sz w:val="24"/>
      <w:szCs w:val="24"/>
    </w:rPr>
  </w:style>
  <w:style w:type="paragraph" w:styleId="Akapitzlist">
    <w:name w:val="List Paragraph"/>
    <w:basedOn w:val="Normalny"/>
    <w:link w:val="AkapitzlistZnak"/>
    <w:uiPriority w:val="34"/>
    <w:qFormat/>
    <w:rsid w:val="00B8713F"/>
    <w:pPr>
      <w:ind w:left="720"/>
      <w:contextualSpacing/>
    </w:pPr>
  </w:style>
  <w:style w:type="character" w:customStyle="1" w:styleId="apple-tab-span">
    <w:name w:val="apple-tab-span"/>
    <w:basedOn w:val="Domylnaczcionkaakapitu"/>
    <w:rsid w:val="00DB0C49"/>
  </w:style>
  <w:style w:type="character" w:customStyle="1" w:styleId="AkapitzlistZnak">
    <w:name w:val="Akapit z listą Znak"/>
    <w:link w:val="Akapitzlist"/>
    <w:uiPriority w:val="34"/>
    <w:rsid w:val="000C0DFF"/>
    <w:rPr>
      <w:sz w:val="24"/>
      <w:szCs w:val="24"/>
    </w:rPr>
  </w:style>
  <w:style w:type="paragraph" w:customStyle="1" w:styleId="podstawowyakapitowy">
    <w:name w:val="podstawowyakapitowy"/>
    <w:basedOn w:val="Normalny"/>
    <w:rsid w:val="003D514B"/>
    <w:pPr>
      <w:spacing w:before="100" w:beforeAutospacing="1" w:after="100" w:afterAutospacing="1"/>
    </w:pPr>
  </w:style>
  <w:style w:type="paragraph" w:styleId="Tekstprzypisukocowego">
    <w:name w:val="endnote text"/>
    <w:basedOn w:val="Normalny"/>
    <w:link w:val="TekstprzypisukocowegoZnak"/>
    <w:uiPriority w:val="99"/>
    <w:semiHidden/>
    <w:unhideWhenUsed/>
    <w:locked/>
    <w:rsid w:val="002B1D91"/>
    <w:rPr>
      <w:sz w:val="20"/>
      <w:szCs w:val="20"/>
    </w:rPr>
  </w:style>
  <w:style w:type="character" w:customStyle="1" w:styleId="TekstprzypisukocowegoZnak">
    <w:name w:val="Tekst przypisu końcowego Znak"/>
    <w:basedOn w:val="Domylnaczcionkaakapitu"/>
    <w:link w:val="Tekstprzypisukocowego"/>
    <w:uiPriority w:val="99"/>
    <w:semiHidden/>
    <w:rsid w:val="002B1D91"/>
    <w:rPr>
      <w:sz w:val="20"/>
      <w:szCs w:val="20"/>
    </w:rPr>
  </w:style>
  <w:style w:type="character" w:styleId="Odwoanieprzypisukocowego">
    <w:name w:val="endnote reference"/>
    <w:basedOn w:val="Domylnaczcionkaakapitu"/>
    <w:uiPriority w:val="99"/>
    <w:semiHidden/>
    <w:unhideWhenUsed/>
    <w:locked/>
    <w:rsid w:val="002B1D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347">
      <w:bodyDiv w:val="1"/>
      <w:marLeft w:val="0"/>
      <w:marRight w:val="0"/>
      <w:marTop w:val="0"/>
      <w:marBottom w:val="0"/>
      <w:divBdr>
        <w:top w:val="none" w:sz="0" w:space="0" w:color="auto"/>
        <w:left w:val="none" w:sz="0" w:space="0" w:color="auto"/>
        <w:bottom w:val="none" w:sz="0" w:space="0" w:color="auto"/>
        <w:right w:val="none" w:sz="0" w:space="0" w:color="auto"/>
      </w:divBdr>
    </w:div>
    <w:div w:id="6559787">
      <w:bodyDiv w:val="1"/>
      <w:marLeft w:val="0"/>
      <w:marRight w:val="0"/>
      <w:marTop w:val="0"/>
      <w:marBottom w:val="0"/>
      <w:divBdr>
        <w:top w:val="none" w:sz="0" w:space="0" w:color="auto"/>
        <w:left w:val="none" w:sz="0" w:space="0" w:color="auto"/>
        <w:bottom w:val="none" w:sz="0" w:space="0" w:color="auto"/>
        <w:right w:val="none" w:sz="0" w:space="0" w:color="auto"/>
      </w:divBdr>
      <w:divsChild>
        <w:div w:id="671179186">
          <w:marLeft w:val="0"/>
          <w:marRight w:val="0"/>
          <w:marTop w:val="0"/>
          <w:marBottom w:val="0"/>
          <w:divBdr>
            <w:top w:val="none" w:sz="0" w:space="0" w:color="auto"/>
            <w:left w:val="none" w:sz="0" w:space="0" w:color="auto"/>
            <w:bottom w:val="none" w:sz="0" w:space="0" w:color="auto"/>
            <w:right w:val="none" w:sz="0" w:space="0" w:color="auto"/>
          </w:divBdr>
          <w:divsChild>
            <w:div w:id="14509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30">
      <w:bodyDiv w:val="1"/>
      <w:marLeft w:val="0"/>
      <w:marRight w:val="0"/>
      <w:marTop w:val="0"/>
      <w:marBottom w:val="0"/>
      <w:divBdr>
        <w:top w:val="none" w:sz="0" w:space="0" w:color="auto"/>
        <w:left w:val="none" w:sz="0" w:space="0" w:color="auto"/>
        <w:bottom w:val="none" w:sz="0" w:space="0" w:color="auto"/>
        <w:right w:val="none" w:sz="0" w:space="0" w:color="auto"/>
      </w:divBdr>
    </w:div>
    <w:div w:id="11615836">
      <w:bodyDiv w:val="1"/>
      <w:marLeft w:val="0"/>
      <w:marRight w:val="0"/>
      <w:marTop w:val="0"/>
      <w:marBottom w:val="0"/>
      <w:divBdr>
        <w:top w:val="none" w:sz="0" w:space="0" w:color="auto"/>
        <w:left w:val="none" w:sz="0" w:space="0" w:color="auto"/>
        <w:bottom w:val="none" w:sz="0" w:space="0" w:color="auto"/>
        <w:right w:val="none" w:sz="0" w:space="0" w:color="auto"/>
      </w:divBdr>
    </w:div>
    <w:div w:id="13383093">
      <w:bodyDiv w:val="1"/>
      <w:marLeft w:val="0"/>
      <w:marRight w:val="0"/>
      <w:marTop w:val="0"/>
      <w:marBottom w:val="0"/>
      <w:divBdr>
        <w:top w:val="none" w:sz="0" w:space="0" w:color="auto"/>
        <w:left w:val="none" w:sz="0" w:space="0" w:color="auto"/>
        <w:bottom w:val="none" w:sz="0" w:space="0" w:color="auto"/>
        <w:right w:val="none" w:sz="0" w:space="0" w:color="auto"/>
      </w:divBdr>
    </w:div>
    <w:div w:id="14578593">
      <w:bodyDiv w:val="1"/>
      <w:marLeft w:val="0"/>
      <w:marRight w:val="0"/>
      <w:marTop w:val="0"/>
      <w:marBottom w:val="0"/>
      <w:divBdr>
        <w:top w:val="none" w:sz="0" w:space="0" w:color="auto"/>
        <w:left w:val="none" w:sz="0" w:space="0" w:color="auto"/>
        <w:bottom w:val="none" w:sz="0" w:space="0" w:color="auto"/>
        <w:right w:val="none" w:sz="0" w:space="0" w:color="auto"/>
      </w:divBdr>
    </w:div>
    <w:div w:id="23488010">
      <w:marLeft w:val="0"/>
      <w:marRight w:val="0"/>
      <w:marTop w:val="0"/>
      <w:marBottom w:val="0"/>
      <w:divBdr>
        <w:top w:val="none" w:sz="0" w:space="0" w:color="auto"/>
        <w:left w:val="none" w:sz="0" w:space="0" w:color="auto"/>
        <w:bottom w:val="none" w:sz="0" w:space="0" w:color="auto"/>
        <w:right w:val="none" w:sz="0" w:space="0" w:color="auto"/>
      </w:divBdr>
    </w:div>
    <w:div w:id="23488011">
      <w:marLeft w:val="0"/>
      <w:marRight w:val="0"/>
      <w:marTop w:val="0"/>
      <w:marBottom w:val="0"/>
      <w:divBdr>
        <w:top w:val="none" w:sz="0" w:space="0" w:color="auto"/>
        <w:left w:val="none" w:sz="0" w:space="0" w:color="auto"/>
        <w:bottom w:val="none" w:sz="0" w:space="0" w:color="auto"/>
        <w:right w:val="none" w:sz="0" w:space="0" w:color="auto"/>
      </w:divBdr>
    </w:div>
    <w:div w:id="23488012">
      <w:marLeft w:val="0"/>
      <w:marRight w:val="0"/>
      <w:marTop w:val="0"/>
      <w:marBottom w:val="0"/>
      <w:divBdr>
        <w:top w:val="none" w:sz="0" w:space="0" w:color="auto"/>
        <w:left w:val="none" w:sz="0" w:space="0" w:color="auto"/>
        <w:bottom w:val="none" w:sz="0" w:space="0" w:color="auto"/>
        <w:right w:val="none" w:sz="0" w:space="0" w:color="auto"/>
      </w:divBdr>
    </w:div>
    <w:div w:id="23488013">
      <w:marLeft w:val="0"/>
      <w:marRight w:val="0"/>
      <w:marTop w:val="0"/>
      <w:marBottom w:val="0"/>
      <w:divBdr>
        <w:top w:val="none" w:sz="0" w:space="0" w:color="auto"/>
        <w:left w:val="none" w:sz="0" w:space="0" w:color="auto"/>
        <w:bottom w:val="none" w:sz="0" w:space="0" w:color="auto"/>
        <w:right w:val="none" w:sz="0" w:space="0" w:color="auto"/>
      </w:divBdr>
    </w:div>
    <w:div w:id="23488014">
      <w:marLeft w:val="0"/>
      <w:marRight w:val="0"/>
      <w:marTop w:val="0"/>
      <w:marBottom w:val="0"/>
      <w:divBdr>
        <w:top w:val="none" w:sz="0" w:space="0" w:color="auto"/>
        <w:left w:val="none" w:sz="0" w:space="0" w:color="auto"/>
        <w:bottom w:val="none" w:sz="0" w:space="0" w:color="auto"/>
        <w:right w:val="none" w:sz="0" w:space="0" w:color="auto"/>
      </w:divBdr>
    </w:div>
    <w:div w:id="23488015">
      <w:marLeft w:val="0"/>
      <w:marRight w:val="0"/>
      <w:marTop w:val="0"/>
      <w:marBottom w:val="0"/>
      <w:divBdr>
        <w:top w:val="none" w:sz="0" w:space="0" w:color="auto"/>
        <w:left w:val="none" w:sz="0" w:space="0" w:color="auto"/>
        <w:bottom w:val="none" w:sz="0" w:space="0" w:color="auto"/>
        <w:right w:val="none" w:sz="0" w:space="0" w:color="auto"/>
      </w:divBdr>
      <w:divsChild>
        <w:div w:id="23488016">
          <w:marLeft w:val="0"/>
          <w:marRight w:val="0"/>
          <w:marTop w:val="0"/>
          <w:marBottom w:val="0"/>
          <w:divBdr>
            <w:top w:val="none" w:sz="0" w:space="0" w:color="auto"/>
            <w:left w:val="none" w:sz="0" w:space="0" w:color="auto"/>
            <w:bottom w:val="none" w:sz="0" w:space="0" w:color="auto"/>
            <w:right w:val="none" w:sz="0" w:space="0" w:color="auto"/>
          </w:divBdr>
        </w:div>
        <w:div w:id="23488026">
          <w:marLeft w:val="0"/>
          <w:marRight w:val="0"/>
          <w:marTop w:val="0"/>
          <w:marBottom w:val="0"/>
          <w:divBdr>
            <w:top w:val="none" w:sz="0" w:space="0" w:color="auto"/>
            <w:left w:val="none" w:sz="0" w:space="0" w:color="auto"/>
            <w:bottom w:val="none" w:sz="0" w:space="0" w:color="auto"/>
            <w:right w:val="none" w:sz="0" w:space="0" w:color="auto"/>
          </w:divBdr>
        </w:div>
        <w:div w:id="23488030">
          <w:marLeft w:val="0"/>
          <w:marRight w:val="0"/>
          <w:marTop w:val="0"/>
          <w:marBottom w:val="0"/>
          <w:divBdr>
            <w:top w:val="none" w:sz="0" w:space="0" w:color="auto"/>
            <w:left w:val="none" w:sz="0" w:space="0" w:color="auto"/>
            <w:bottom w:val="none" w:sz="0" w:space="0" w:color="auto"/>
            <w:right w:val="none" w:sz="0" w:space="0" w:color="auto"/>
          </w:divBdr>
        </w:div>
        <w:div w:id="23488040">
          <w:marLeft w:val="0"/>
          <w:marRight w:val="0"/>
          <w:marTop w:val="0"/>
          <w:marBottom w:val="0"/>
          <w:divBdr>
            <w:top w:val="none" w:sz="0" w:space="0" w:color="auto"/>
            <w:left w:val="none" w:sz="0" w:space="0" w:color="auto"/>
            <w:bottom w:val="none" w:sz="0" w:space="0" w:color="auto"/>
            <w:right w:val="none" w:sz="0" w:space="0" w:color="auto"/>
          </w:divBdr>
        </w:div>
        <w:div w:id="23488044">
          <w:marLeft w:val="0"/>
          <w:marRight w:val="0"/>
          <w:marTop w:val="0"/>
          <w:marBottom w:val="0"/>
          <w:divBdr>
            <w:top w:val="none" w:sz="0" w:space="0" w:color="auto"/>
            <w:left w:val="none" w:sz="0" w:space="0" w:color="auto"/>
            <w:bottom w:val="none" w:sz="0" w:space="0" w:color="auto"/>
            <w:right w:val="none" w:sz="0" w:space="0" w:color="auto"/>
          </w:divBdr>
        </w:div>
        <w:div w:id="23488046">
          <w:marLeft w:val="0"/>
          <w:marRight w:val="0"/>
          <w:marTop w:val="0"/>
          <w:marBottom w:val="0"/>
          <w:divBdr>
            <w:top w:val="none" w:sz="0" w:space="0" w:color="auto"/>
            <w:left w:val="none" w:sz="0" w:space="0" w:color="auto"/>
            <w:bottom w:val="none" w:sz="0" w:space="0" w:color="auto"/>
            <w:right w:val="none" w:sz="0" w:space="0" w:color="auto"/>
          </w:divBdr>
        </w:div>
        <w:div w:id="23488053">
          <w:marLeft w:val="0"/>
          <w:marRight w:val="0"/>
          <w:marTop w:val="0"/>
          <w:marBottom w:val="0"/>
          <w:divBdr>
            <w:top w:val="none" w:sz="0" w:space="0" w:color="auto"/>
            <w:left w:val="none" w:sz="0" w:space="0" w:color="auto"/>
            <w:bottom w:val="none" w:sz="0" w:space="0" w:color="auto"/>
            <w:right w:val="none" w:sz="0" w:space="0" w:color="auto"/>
          </w:divBdr>
        </w:div>
        <w:div w:id="23488058">
          <w:marLeft w:val="0"/>
          <w:marRight w:val="0"/>
          <w:marTop w:val="0"/>
          <w:marBottom w:val="0"/>
          <w:divBdr>
            <w:top w:val="none" w:sz="0" w:space="0" w:color="auto"/>
            <w:left w:val="none" w:sz="0" w:space="0" w:color="auto"/>
            <w:bottom w:val="none" w:sz="0" w:space="0" w:color="auto"/>
            <w:right w:val="none" w:sz="0" w:space="0" w:color="auto"/>
          </w:divBdr>
        </w:div>
        <w:div w:id="23488060">
          <w:marLeft w:val="0"/>
          <w:marRight w:val="0"/>
          <w:marTop w:val="0"/>
          <w:marBottom w:val="0"/>
          <w:divBdr>
            <w:top w:val="none" w:sz="0" w:space="0" w:color="auto"/>
            <w:left w:val="none" w:sz="0" w:space="0" w:color="auto"/>
            <w:bottom w:val="none" w:sz="0" w:space="0" w:color="auto"/>
            <w:right w:val="none" w:sz="0" w:space="0" w:color="auto"/>
          </w:divBdr>
        </w:div>
        <w:div w:id="23488083">
          <w:marLeft w:val="0"/>
          <w:marRight w:val="0"/>
          <w:marTop w:val="0"/>
          <w:marBottom w:val="0"/>
          <w:divBdr>
            <w:top w:val="none" w:sz="0" w:space="0" w:color="auto"/>
            <w:left w:val="none" w:sz="0" w:space="0" w:color="auto"/>
            <w:bottom w:val="none" w:sz="0" w:space="0" w:color="auto"/>
            <w:right w:val="none" w:sz="0" w:space="0" w:color="auto"/>
          </w:divBdr>
        </w:div>
      </w:divsChild>
    </w:div>
    <w:div w:id="23488017">
      <w:marLeft w:val="0"/>
      <w:marRight w:val="0"/>
      <w:marTop w:val="0"/>
      <w:marBottom w:val="0"/>
      <w:divBdr>
        <w:top w:val="none" w:sz="0" w:space="0" w:color="auto"/>
        <w:left w:val="none" w:sz="0" w:space="0" w:color="auto"/>
        <w:bottom w:val="none" w:sz="0" w:space="0" w:color="auto"/>
        <w:right w:val="none" w:sz="0" w:space="0" w:color="auto"/>
      </w:divBdr>
    </w:div>
    <w:div w:id="23488018">
      <w:marLeft w:val="0"/>
      <w:marRight w:val="0"/>
      <w:marTop w:val="0"/>
      <w:marBottom w:val="0"/>
      <w:divBdr>
        <w:top w:val="none" w:sz="0" w:space="0" w:color="auto"/>
        <w:left w:val="none" w:sz="0" w:space="0" w:color="auto"/>
        <w:bottom w:val="none" w:sz="0" w:space="0" w:color="auto"/>
        <w:right w:val="none" w:sz="0" w:space="0" w:color="auto"/>
      </w:divBdr>
    </w:div>
    <w:div w:id="23488019">
      <w:marLeft w:val="0"/>
      <w:marRight w:val="0"/>
      <w:marTop w:val="0"/>
      <w:marBottom w:val="0"/>
      <w:divBdr>
        <w:top w:val="none" w:sz="0" w:space="0" w:color="auto"/>
        <w:left w:val="none" w:sz="0" w:space="0" w:color="auto"/>
        <w:bottom w:val="none" w:sz="0" w:space="0" w:color="auto"/>
        <w:right w:val="none" w:sz="0" w:space="0" w:color="auto"/>
      </w:divBdr>
    </w:div>
    <w:div w:id="23488020">
      <w:marLeft w:val="0"/>
      <w:marRight w:val="0"/>
      <w:marTop w:val="0"/>
      <w:marBottom w:val="0"/>
      <w:divBdr>
        <w:top w:val="none" w:sz="0" w:space="0" w:color="auto"/>
        <w:left w:val="none" w:sz="0" w:space="0" w:color="auto"/>
        <w:bottom w:val="none" w:sz="0" w:space="0" w:color="auto"/>
        <w:right w:val="none" w:sz="0" w:space="0" w:color="auto"/>
      </w:divBdr>
    </w:div>
    <w:div w:id="23488021">
      <w:marLeft w:val="0"/>
      <w:marRight w:val="0"/>
      <w:marTop w:val="0"/>
      <w:marBottom w:val="0"/>
      <w:divBdr>
        <w:top w:val="none" w:sz="0" w:space="0" w:color="auto"/>
        <w:left w:val="none" w:sz="0" w:space="0" w:color="auto"/>
        <w:bottom w:val="none" w:sz="0" w:space="0" w:color="auto"/>
        <w:right w:val="none" w:sz="0" w:space="0" w:color="auto"/>
      </w:divBdr>
    </w:div>
    <w:div w:id="23488022">
      <w:marLeft w:val="0"/>
      <w:marRight w:val="0"/>
      <w:marTop w:val="0"/>
      <w:marBottom w:val="0"/>
      <w:divBdr>
        <w:top w:val="none" w:sz="0" w:space="0" w:color="auto"/>
        <w:left w:val="none" w:sz="0" w:space="0" w:color="auto"/>
        <w:bottom w:val="none" w:sz="0" w:space="0" w:color="auto"/>
        <w:right w:val="none" w:sz="0" w:space="0" w:color="auto"/>
      </w:divBdr>
    </w:div>
    <w:div w:id="23488023">
      <w:marLeft w:val="0"/>
      <w:marRight w:val="0"/>
      <w:marTop w:val="0"/>
      <w:marBottom w:val="0"/>
      <w:divBdr>
        <w:top w:val="none" w:sz="0" w:space="0" w:color="auto"/>
        <w:left w:val="none" w:sz="0" w:space="0" w:color="auto"/>
        <w:bottom w:val="none" w:sz="0" w:space="0" w:color="auto"/>
        <w:right w:val="none" w:sz="0" w:space="0" w:color="auto"/>
      </w:divBdr>
    </w:div>
    <w:div w:id="23488024">
      <w:marLeft w:val="0"/>
      <w:marRight w:val="0"/>
      <w:marTop w:val="0"/>
      <w:marBottom w:val="0"/>
      <w:divBdr>
        <w:top w:val="none" w:sz="0" w:space="0" w:color="auto"/>
        <w:left w:val="none" w:sz="0" w:space="0" w:color="auto"/>
        <w:bottom w:val="none" w:sz="0" w:space="0" w:color="auto"/>
        <w:right w:val="none" w:sz="0" w:space="0" w:color="auto"/>
      </w:divBdr>
    </w:div>
    <w:div w:id="23488025">
      <w:marLeft w:val="0"/>
      <w:marRight w:val="0"/>
      <w:marTop w:val="0"/>
      <w:marBottom w:val="0"/>
      <w:divBdr>
        <w:top w:val="none" w:sz="0" w:space="0" w:color="auto"/>
        <w:left w:val="none" w:sz="0" w:space="0" w:color="auto"/>
        <w:bottom w:val="none" w:sz="0" w:space="0" w:color="auto"/>
        <w:right w:val="none" w:sz="0" w:space="0" w:color="auto"/>
      </w:divBdr>
    </w:div>
    <w:div w:id="23488027">
      <w:marLeft w:val="0"/>
      <w:marRight w:val="0"/>
      <w:marTop w:val="0"/>
      <w:marBottom w:val="0"/>
      <w:divBdr>
        <w:top w:val="none" w:sz="0" w:space="0" w:color="auto"/>
        <w:left w:val="none" w:sz="0" w:space="0" w:color="auto"/>
        <w:bottom w:val="none" w:sz="0" w:space="0" w:color="auto"/>
        <w:right w:val="none" w:sz="0" w:space="0" w:color="auto"/>
      </w:divBdr>
    </w:div>
    <w:div w:id="23488028">
      <w:marLeft w:val="0"/>
      <w:marRight w:val="0"/>
      <w:marTop w:val="0"/>
      <w:marBottom w:val="0"/>
      <w:divBdr>
        <w:top w:val="none" w:sz="0" w:space="0" w:color="auto"/>
        <w:left w:val="none" w:sz="0" w:space="0" w:color="auto"/>
        <w:bottom w:val="none" w:sz="0" w:space="0" w:color="auto"/>
        <w:right w:val="none" w:sz="0" w:space="0" w:color="auto"/>
      </w:divBdr>
    </w:div>
    <w:div w:id="23488029">
      <w:marLeft w:val="0"/>
      <w:marRight w:val="0"/>
      <w:marTop w:val="0"/>
      <w:marBottom w:val="0"/>
      <w:divBdr>
        <w:top w:val="none" w:sz="0" w:space="0" w:color="auto"/>
        <w:left w:val="none" w:sz="0" w:space="0" w:color="auto"/>
        <w:bottom w:val="none" w:sz="0" w:space="0" w:color="auto"/>
        <w:right w:val="none" w:sz="0" w:space="0" w:color="auto"/>
      </w:divBdr>
    </w:div>
    <w:div w:id="23488031">
      <w:marLeft w:val="0"/>
      <w:marRight w:val="0"/>
      <w:marTop w:val="0"/>
      <w:marBottom w:val="0"/>
      <w:divBdr>
        <w:top w:val="none" w:sz="0" w:space="0" w:color="auto"/>
        <w:left w:val="none" w:sz="0" w:space="0" w:color="auto"/>
        <w:bottom w:val="none" w:sz="0" w:space="0" w:color="auto"/>
        <w:right w:val="none" w:sz="0" w:space="0" w:color="auto"/>
      </w:divBdr>
    </w:div>
    <w:div w:id="23488032">
      <w:marLeft w:val="0"/>
      <w:marRight w:val="0"/>
      <w:marTop w:val="0"/>
      <w:marBottom w:val="0"/>
      <w:divBdr>
        <w:top w:val="none" w:sz="0" w:space="0" w:color="auto"/>
        <w:left w:val="none" w:sz="0" w:space="0" w:color="auto"/>
        <w:bottom w:val="none" w:sz="0" w:space="0" w:color="auto"/>
        <w:right w:val="none" w:sz="0" w:space="0" w:color="auto"/>
      </w:divBdr>
    </w:div>
    <w:div w:id="23488033">
      <w:marLeft w:val="0"/>
      <w:marRight w:val="0"/>
      <w:marTop w:val="0"/>
      <w:marBottom w:val="0"/>
      <w:divBdr>
        <w:top w:val="none" w:sz="0" w:space="0" w:color="auto"/>
        <w:left w:val="none" w:sz="0" w:space="0" w:color="auto"/>
        <w:bottom w:val="none" w:sz="0" w:space="0" w:color="auto"/>
        <w:right w:val="none" w:sz="0" w:space="0" w:color="auto"/>
      </w:divBdr>
    </w:div>
    <w:div w:id="23488034">
      <w:marLeft w:val="0"/>
      <w:marRight w:val="0"/>
      <w:marTop w:val="0"/>
      <w:marBottom w:val="0"/>
      <w:divBdr>
        <w:top w:val="none" w:sz="0" w:space="0" w:color="auto"/>
        <w:left w:val="none" w:sz="0" w:space="0" w:color="auto"/>
        <w:bottom w:val="none" w:sz="0" w:space="0" w:color="auto"/>
        <w:right w:val="none" w:sz="0" w:space="0" w:color="auto"/>
      </w:divBdr>
    </w:div>
    <w:div w:id="23488035">
      <w:marLeft w:val="0"/>
      <w:marRight w:val="0"/>
      <w:marTop w:val="0"/>
      <w:marBottom w:val="0"/>
      <w:divBdr>
        <w:top w:val="none" w:sz="0" w:space="0" w:color="auto"/>
        <w:left w:val="none" w:sz="0" w:space="0" w:color="auto"/>
        <w:bottom w:val="none" w:sz="0" w:space="0" w:color="auto"/>
        <w:right w:val="none" w:sz="0" w:space="0" w:color="auto"/>
      </w:divBdr>
    </w:div>
    <w:div w:id="23488036">
      <w:marLeft w:val="0"/>
      <w:marRight w:val="0"/>
      <w:marTop w:val="0"/>
      <w:marBottom w:val="0"/>
      <w:divBdr>
        <w:top w:val="none" w:sz="0" w:space="0" w:color="auto"/>
        <w:left w:val="none" w:sz="0" w:space="0" w:color="auto"/>
        <w:bottom w:val="none" w:sz="0" w:space="0" w:color="auto"/>
        <w:right w:val="none" w:sz="0" w:space="0" w:color="auto"/>
      </w:divBdr>
    </w:div>
    <w:div w:id="23488037">
      <w:marLeft w:val="0"/>
      <w:marRight w:val="0"/>
      <w:marTop w:val="0"/>
      <w:marBottom w:val="0"/>
      <w:divBdr>
        <w:top w:val="none" w:sz="0" w:space="0" w:color="auto"/>
        <w:left w:val="none" w:sz="0" w:space="0" w:color="auto"/>
        <w:bottom w:val="none" w:sz="0" w:space="0" w:color="auto"/>
        <w:right w:val="none" w:sz="0" w:space="0" w:color="auto"/>
      </w:divBdr>
    </w:div>
    <w:div w:id="23488038">
      <w:marLeft w:val="0"/>
      <w:marRight w:val="0"/>
      <w:marTop w:val="0"/>
      <w:marBottom w:val="0"/>
      <w:divBdr>
        <w:top w:val="none" w:sz="0" w:space="0" w:color="auto"/>
        <w:left w:val="none" w:sz="0" w:space="0" w:color="auto"/>
        <w:bottom w:val="none" w:sz="0" w:space="0" w:color="auto"/>
        <w:right w:val="none" w:sz="0" w:space="0" w:color="auto"/>
      </w:divBdr>
    </w:div>
    <w:div w:id="23488039">
      <w:marLeft w:val="0"/>
      <w:marRight w:val="0"/>
      <w:marTop w:val="0"/>
      <w:marBottom w:val="0"/>
      <w:divBdr>
        <w:top w:val="none" w:sz="0" w:space="0" w:color="auto"/>
        <w:left w:val="none" w:sz="0" w:space="0" w:color="auto"/>
        <w:bottom w:val="none" w:sz="0" w:space="0" w:color="auto"/>
        <w:right w:val="none" w:sz="0" w:space="0" w:color="auto"/>
      </w:divBdr>
    </w:div>
    <w:div w:id="23488041">
      <w:marLeft w:val="0"/>
      <w:marRight w:val="0"/>
      <w:marTop w:val="0"/>
      <w:marBottom w:val="0"/>
      <w:divBdr>
        <w:top w:val="none" w:sz="0" w:space="0" w:color="auto"/>
        <w:left w:val="none" w:sz="0" w:space="0" w:color="auto"/>
        <w:bottom w:val="none" w:sz="0" w:space="0" w:color="auto"/>
        <w:right w:val="none" w:sz="0" w:space="0" w:color="auto"/>
      </w:divBdr>
    </w:div>
    <w:div w:id="23488042">
      <w:marLeft w:val="0"/>
      <w:marRight w:val="0"/>
      <w:marTop w:val="0"/>
      <w:marBottom w:val="0"/>
      <w:divBdr>
        <w:top w:val="none" w:sz="0" w:space="0" w:color="auto"/>
        <w:left w:val="none" w:sz="0" w:space="0" w:color="auto"/>
        <w:bottom w:val="none" w:sz="0" w:space="0" w:color="auto"/>
        <w:right w:val="none" w:sz="0" w:space="0" w:color="auto"/>
      </w:divBdr>
    </w:div>
    <w:div w:id="23488043">
      <w:marLeft w:val="0"/>
      <w:marRight w:val="0"/>
      <w:marTop w:val="0"/>
      <w:marBottom w:val="0"/>
      <w:divBdr>
        <w:top w:val="none" w:sz="0" w:space="0" w:color="auto"/>
        <w:left w:val="none" w:sz="0" w:space="0" w:color="auto"/>
        <w:bottom w:val="none" w:sz="0" w:space="0" w:color="auto"/>
        <w:right w:val="none" w:sz="0" w:space="0" w:color="auto"/>
      </w:divBdr>
    </w:div>
    <w:div w:id="23488045">
      <w:marLeft w:val="0"/>
      <w:marRight w:val="0"/>
      <w:marTop w:val="0"/>
      <w:marBottom w:val="0"/>
      <w:divBdr>
        <w:top w:val="none" w:sz="0" w:space="0" w:color="auto"/>
        <w:left w:val="none" w:sz="0" w:space="0" w:color="auto"/>
        <w:bottom w:val="none" w:sz="0" w:space="0" w:color="auto"/>
        <w:right w:val="none" w:sz="0" w:space="0" w:color="auto"/>
      </w:divBdr>
    </w:div>
    <w:div w:id="23488047">
      <w:marLeft w:val="0"/>
      <w:marRight w:val="0"/>
      <w:marTop w:val="0"/>
      <w:marBottom w:val="0"/>
      <w:divBdr>
        <w:top w:val="none" w:sz="0" w:space="0" w:color="auto"/>
        <w:left w:val="none" w:sz="0" w:space="0" w:color="auto"/>
        <w:bottom w:val="none" w:sz="0" w:space="0" w:color="auto"/>
        <w:right w:val="none" w:sz="0" w:space="0" w:color="auto"/>
      </w:divBdr>
    </w:div>
    <w:div w:id="23488048">
      <w:marLeft w:val="0"/>
      <w:marRight w:val="0"/>
      <w:marTop w:val="0"/>
      <w:marBottom w:val="0"/>
      <w:divBdr>
        <w:top w:val="none" w:sz="0" w:space="0" w:color="auto"/>
        <w:left w:val="none" w:sz="0" w:space="0" w:color="auto"/>
        <w:bottom w:val="none" w:sz="0" w:space="0" w:color="auto"/>
        <w:right w:val="none" w:sz="0" w:space="0" w:color="auto"/>
      </w:divBdr>
    </w:div>
    <w:div w:id="23488049">
      <w:marLeft w:val="0"/>
      <w:marRight w:val="0"/>
      <w:marTop w:val="0"/>
      <w:marBottom w:val="0"/>
      <w:divBdr>
        <w:top w:val="none" w:sz="0" w:space="0" w:color="auto"/>
        <w:left w:val="none" w:sz="0" w:space="0" w:color="auto"/>
        <w:bottom w:val="none" w:sz="0" w:space="0" w:color="auto"/>
        <w:right w:val="none" w:sz="0" w:space="0" w:color="auto"/>
      </w:divBdr>
    </w:div>
    <w:div w:id="23488050">
      <w:marLeft w:val="0"/>
      <w:marRight w:val="0"/>
      <w:marTop w:val="0"/>
      <w:marBottom w:val="0"/>
      <w:divBdr>
        <w:top w:val="none" w:sz="0" w:space="0" w:color="auto"/>
        <w:left w:val="none" w:sz="0" w:space="0" w:color="auto"/>
        <w:bottom w:val="none" w:sz="0" w:space="0" w:color="auto"/>
        <w:right w:val="none" w:sz="0" w:space="0" w:color="auto"/>
      </w:divBdr>
    </w:div>
    <w:div w:id="23488051">
      <w:marLeft w:val="0"/>
      <w:marRight w:val="0"/>
      <w:marTop w:val="0"/>
      <w:marBottom w:val="0"/>
      <w:divBdr>
        <w:top w:val="none" w:sz="0" w:space="0" w:color="auto"/>
        <w:left w:val="none" w:sz="0" w:space="0" w:color="auto"/>
        <w:bottom w:val="none" w:sz="0" w:space="0" w:color="auto"/>
        <w:right w:val="none" w:sz="0" w:space="0" w:color="auto"/>
      </w:divBdr>
    </w:div>
    <w:div w:id="23488052">
      <w:marLeft w:val="0"/>
      <w:marRight w:val="0"/>
      <w:marTop w:val="0"/>
      <w:marBottom w:val="0"/>
      <w:divBdr>
        <w:top w:val="none" w:sz="0" w:space="0" w:color="auto"/>
        <w:left w:val="none" w:sz="0" w:space="0" w:color="auto"/>
        <w:bottom w:val="none" w:sz="0" w:space="0" w:color="auto"/>
        <w:right w:val="none" w:sz="0" w:space="0" w:color="auto"/>
      </w:divBdr>
    </w:div>
    <w:div w:id="23488054">
      <w:marLeft w:val="0"/>
      <w:marRight w:val="0"/>
      <w:marTop w:val="0"/>
      <w:marBottom w:val="0"/>
      <w:divBdr>
        <w:top w:val="none" w:sz="0" w:space="0" w:color="auto"/>
        <w:left w:val="none" w:sz="0" w:space="0" w:color="auto"/>
        <w:bottom w:val="none" w:sz="0" w:space="0" w:color="auto"/>
        <w:right w:val="none" w:sz="0" w:space="0" w:color="auto"/>
      </w:divBdr>
    </w:div>
    <w:div w:id="23488055">
      <w:marLeft w:val="0"/>
      <w:marRight w:val="0"/>
      <w:marTop w:val="0"/>
      <w:marBottom w:val="0"/>
      <w:divBdr>
        <w:top w:val="none" w:sz="0" w:space="0" w:color="auto"/>
        <w:left w:val="none" w:sz="0" w:space="0" w:color="auto"/>
        <w:bottom w:val="none" w:sz="0" w:space="0" w:color="auto"/>
        <w:right w:val="none" w:sz="0" w:space="0" w:color="auto"/>
      </w:divBdr>
    </w:div>
    <w:div w:id="23488056">
      <w:marLeft w:val="0"/>
      <w:marRight w:val="0"/>
      <w:marTop w:val="0"/>
      <w:marBottom w:val="0"/>
      <w:divBdr>
        <w:top w:val="none" w:sz="0" w:space="0" w:color="auto"/>
        <w:left w:val="none" w:sz="0" w:space="0" w:color="auto"/>
        <w:bottom w:val="none" w:sz="0" w:space="0" w:color="auto"/>
        <w:right w:val="none" w:sz="0" w:space="0" w:color="auto"/>
      </w:divBdr>
    </w:div>
    <w:div w:id="23488057">
      <w:marLeft w:val="0"/>
      <w:marRight w:val="0"/>
      <w:marTop w:val="0"/>
      <w:marBottom w:val="0"/>
      <w:divBdr>
        <w:top w:val="none" w:sz="0" w:space="0" w:color="auto"/>
        <w:left w:val="none" w:sz="0" w:space="0" w:color="auto"/>
        <w:bottom w:val="none" w:sz="0" w:space="0" w:color="auto"/>
        <w:right w:val="none" w:sz="0" w:space="0" w:color="auto"/>
      </w:divBdr>
    </w:div>
    <w:div w:id="23488059">
      <w:marLeft w:val="0"/>
      <w:marRight w:val="0"/>
      <w:marTop w:val="0"/>
      <w:marBottom w:val="0"/>
      <w:divBdr>
        <w:top w:val="none" w:sz="0" w:space="0" w:color="auto"/>
        <w:left w:val="none" w:sz="0" w:space="0" w:color="auto"/>
        <w:bottom w:val="none" w:sz="0" w:space="0" w:color="auto"/>
        <w:right w:val="none" w:sz="0" w:space="0" w:color="auto"/>
      </w:divBdr>
    </w:div>
    <w:div w:id="23488061">
      <w:marLeft w:val="0"/>
      <w:marRight w:val="0"/>
      <w:marTop w:val="0"/>
      <w:marBottom w:val="0"/>
      <w:divBdr>
        <w:top w:val="none" w:sz="0" w:space="0" w:color="auto"/>
        <w:left w:val="none" w:sz="0" w:space="0" w:color="auto"/>
        <w:bottom w:val="none" w:sz="0" w:space="0" w:color="auto"/>
        <w:right w:val="none" w:sz="0" w:space="0" w:color="auto"/>
      </w:divBdr>
    </w:div>
    <w:div w:id="23488062">
      <w:marLeft w:val="0"/>
      <w:marRight w:val="0"/>
      <w:marTop w:val="0"/>
      <w:marBottom w:val="0"/>
      <w:divBdr>
        <w:top w:val="none" w:sz="0" w:space="0" w:color="auto"/>
        <w:left w:val="none" w:sz="0" w:space="0" w:color="auto"/>
        <w:bottom w:val="none" w:sz="0" w:space="0" w:color="auto"/>
        <w:right w:val="none" w:sz="0" w:space="0" w:color="auto"/>
      </w:divBdr>
    </w:div>
    <w:div w:id="23488063">
      <w:marLeft w:val="0"/>
      <w:marRight w:val="0"/>
      <w:marTop w:val="0"/>
      <w:marBottom w:val="0"/>
      <w:divBdr>
        <w:top w:val="none" w:sz="0" w:space="0" w:color="auto"/>
        <w:left w:val="none" w:sz="0" w:space="0" w:color="auto"/>
        <w:bottom w:val="none" w:sz="0" w:space="0" w:color="auto"/>
        <w:right w:val="none" w:sz="0" w:space="0" w:color="auto"/>
      </w:divBdr>
    </w:div>
    <w:div w:id="23488064">
      <w:marLeft w:val="0"/>
      <w:marRight w:val="0"/>
      <w:marTop w:val="0"/>
      <w:marBottom w:val="0"/>
      <w:divBdr>
        <w:top w:val="none" w:sz="0" w:space="0" w:color="auto"/>
        <w:left w:val="none" w:sz="0" w:space="0" w:color="auto"/>
        <w:bottom w:val="none" w:sz="0" w:space="0" w:color="auto"/>
        <w:right w:val="none" w:sz="0" w:space="0" w:color="auto"/>
      </w:divBdr>
    </w:div>
    <w:div w:id="23488065">
      <w:marLeft w:val="0"/>
      <w:marRight w:val="0"/>
      <w:marTop w:val="0"/>
      <w:marBottom w:val="0"/>
      <w:divBdr>
        <w:top w:val="none" w:sz="0" w:space="0" w:color="auto"/>
        <w:left w:val="none" w:sz="0" w:space="0" w:color="auto"/>
        <w:bottom w:val="none" w:sz="0" w:space="0" w:color="auto"/>
        <w:right w:val="none" w:sz="0" w:space="0" w:color="auto"/>
      </w:divBdr>
    </w:div>
    <w:div w:id="23488066">
      <w:marLeft w:val="0"/>
      <w:marRight w:val="0"/>
      <w:marTop w:val="0"/>
      <w:marBottom w:val="0"/>
      <w:divBdr>
        <w:top w:val="none" w:sz="0" w:space="0" w:color="auto"/>
        <w:left w:val="none" w:sz="0" w:space="0" w:color="auto"/>
        <w:bottom w:val="none" w:sz="0" w:space="0" w:color="auto"/>
        <w:right w:val="none" w:sz="0" w:space="0" w:color="auto"/>
      </w:divBdr>
    </w:div>
    <w:div w:id="23488067">
      <w:marLeft w:val="0"/>
      <w:marRight w:val="0"/>
      <w:marTop w:val="0"/>
      <w:marBottom w:val="0"/>
      <w:divBdr>
        <w:top w:val="none" w:sz="0" w:space="0" w:color="auto"/>
        <w:left w:val="none" w:sz="0" w:space="0" w:color="auto"/>
        <w:bottom w:val="none" w:sz="0" w:space="0" w:color="auto"/>
        <w:right w:val="none" w:sz="0" w:space="0" w:color="auto"/>
      </w:divBdr>
    </w:div>
    <w:div w:id="23488068">
      <w:marLeft w:val="0"/>
      <w:marRight w:val="0"/>
      <w:marTop w:val="0"/>
      <w:marBottom w:val="0"/>
      <w:divBdr>
        <w:top w:val="none" w:sz="0" w:space="0" w:color="auto"/>
        <w:left w:val="none" w:sz="0" w:space="0" w:color="auto"/>
        <w:bottom w:val="none" w:sz="0" w:space="0" w:color="auto"/>
        <w:right w:val="none" w:sz="0" w:space="0" w:color="auto"/>
      </w:divBdr>
    </w:div>
    <w:div w:id="23488069">
      <w:marLeft w:val="0"/>
      <w:marRight w:val="0"/>
      <w:marTop w:val="0"/>
      <w:marBottom w:val="0"/>
      <w:divBdr>
        <w:top w:val="none" w:sz="0" w:space="0" w:color="auto"/>
        <w:left w:val="none" w:sz="0" w:space="0" w:color="auto"/>
        <w:bottom w:val="none" w:sz="0" w:space="0" w:color="auto"/>
        <w:right w:val="none" w:sz="0" w:space="0" w:color="auto"/>
      </w:divBdr>
    </w:div>
    <w:div w:id="23488070">
      <w:marLeft w:val="0"/>
      <w:marRight w:val="0"/>
      <w:marTop w:val="0"/>
      <w:marBottom w:val="0"/>
      <w:divBdr>
        <w:top w:val="none" w:sz="0" w:space="0" w:color="auto"/>
        <w:left w:val="none" w:sz="0" w:space="0" w:color="auto"/>
        <w:bottom w:val="none" w:sz="0" w:space="0" w:color="auto"/>
        <w:right w:val="none" w:sz="0" w:space="0" w:color="auto"/>
      </w:divBdr>
    </w:div>
    <w:div w:id="23488071">
      <w:marLeft w:val="0"/>
      <w:marRight w:val="0"/>
      <w:marTop w:val="0"/>
      <w:marBottom w:val="0"/>
      <w:divBdr>
        <w:top w:val="none" w:sz="0" w:space="0" w:color="auto"/>
        <w:left w:val="none" w:sz="0" w:space="0" w:color="auto"/>
        <w:bottom w:val="none" w:sz="0" w:space="0" w:color="auto"/>
        <w:right w:val="none" w:sz="0" w:space="0" w:color="auto"/>
      </w:divBdr>
    </w:div>
    <w:div w:id="23488072">
      <w:marLeft w:val="0"/>
      <w:marRight w:val="0"/>
      <w:marTop w:val="0"/>
      <w:marBottom w:val="0"/>
      <w:divBdr>
        <w:top w:val="none" w:sz="0" w:space="0" w:color="auto"/>
        <w:left w:val="none" w:sz="0" w:space="0" w:color="auto"/>
        <w:bottom w:val="none" w:sz="0" w:space="0" w:color="auto"/>
        <w:right w:val="none" w:sz="0" w:space="0" w:color="auto"/>
      </w:divBdr>
    </w:div>
    <w:div w:id="23488073">
      <w:marLeft w:val="0"/>
      <w:marRight w:val="0"/>
      <w:marTop w:val="0"/>
      <w:marBottom w:val="0"/>
      <w:divBdr>
        <w:top w:val="none" w:sz="0" w:space="0" w:color="auto"/>
        <w:left w:val="none" w:sz="0" w:space="0" w:color="auto"/>
        <w:bottom w:val="none" w:sz="0" w:space="0" w:color="auto"/>
        <w:right w:val="none" w:sz="0" w:space="0" w:color="auto"/>
      </w:divBdr>
    </w:div>
    <w:div w:id="23488074">
      <w:marLeft w:val="0"/>
      <w:marRight w:val="0"/>
      <w:marTop w:val="0"/>
      <w:marBottom w:val="0"/>
      <w:divBdr>
        <w:top w:val="none" w:sz="0" w:space="0" w:color="auto"/>
        <w:left w:val="none" w:sz="0" w:space="0" w:color="auto"/>
        <w:bottom w:val="none" w:sz="0" w:space="0" w:color="auto"/>
        <w:right w:val="none" w:sz="0" w:space="0" w:color="auto"/>
      </w:divBdr>
    </w:div>
    <w:div w:id="23488075">
      <w:marLeft w:val="0"/>
      <w:marRight w:val="0"/>
      <w:marTop w:val="0"/>
      <w:marBottom w:val="0"/>
      <w:divBdr>
        <w:top w:val="none" w:sz="0" w:space="0" w:color="auto"/>
        <w:left w:val="none" w:sz="0" w:space="0" w:color="auto"/>
        <w:bottom w:val="none" w:sz="0" w:space="0" w:color="auto"/>
        <w:right w:val="none" w:sz="0" w:space="0" w:color="auto"/>
      </w:divBdr>
    </w:div>
    <w:div w:id="23488076">
      <w:marLeft w:val="0"/>
      <w:marRight w:val="0"/>
      <w:marTop w:val="0"/>
      <w:marBottom w:val="0"/>
      <w:divBdr>
        <w:top w:val="none" w:sz="0" w:space="0" w:color="auto"/>
        <w:left w:val="none" w:sz="0" w:space="0" w:color="auto"/>
        <w:bottom w:val="none" w:sz="0" w:space="0" w:color="auto"/>
        <w:right w:val="none" w:sz="0" w:space="0" w:color="auto"/>
      </w:divBdr>
    </w:div>
    <w:div w:id="23488077">
      <w:marLeft w:val="0"/>
      <w:marRight w:val="0"/>
      <w:marTop w:val="0"/>
      <w:marBottom w:val="0"/>
      <w:divBdr>
        <w:top w:val="none" w:sz="0" w:space="0" w:color="auto"/>
        <w:left w:val="none" w:sz="0" w:space="0" w:color="auto"/>
        <w:bottom w:val="none" w:sz="0" w:space="0" w:color="auto"/>
        <w:right w:val="none" w:sz="0" w:space="0" w:color="auto"/>
      </w:divBdr>
    </w:div>
    <w:div w:id="23488078">
      <w:marLeft w:val="0"/>
      <w:marRight w:val="0"/>
      <w:marTop w:val="0"/>
      <w:marBottom w:val="0"/>
      <w:divBdr>
        <w:top w:val="none" w:sz="0" w:space="0" w:color="auto"/>
        <w:left w:val="none" w:sz="0" w:space="0" w:color="auto"/>
        <w:bottom w:val="none" w:sz="0" w:space="0" w:color="auto"/>
        <w:right w:val="none" w:sz="0" w:space="0" w:color="auto"/>
      </w:divBdr>
    </w:div>
    <w:div w:id="23488079">
      <w:marLeft w:val="0"/>
      <w:marRight w:val="0"/>
      <w:marTop w:val="0"/>
      <w:marBottom w:val="0"/>
      <w:divBdr>
        <w:top w:val="none" w:sz="0" w:space="0" w:color="auto"/>
        <w:left w:val="none" w:sz="0" w:space="0" w:color="auto"/>
        <w:bottom w:val="none" w:sz="0" w:space="0" w:color="auto"/>
        <w:right w:val="none" w:sz="0" w:space="0" w:color="auto"/>
      </w:divBdr>
    </w:div>
    <w:div w:id="23488080">
      <w:marLeft w:val="0"/>
      <w:marRight w:val="0"/>
      <w:marTop w:val="0"/>
      <w:marBottom w:val="0"/>
      <w:divBdr>
        <w:top w:val="none" w:sz="0" w:space="0" w:color="auto"/>
        <w:left w:val="none" w:sz="0" w:space="0" w:color="auto"/>
        <w:bottom w:val="none" w:sz="0" w:space="0" w:color="auto"/>
        <w:right w:val="none" w:sz="0" w:space="0" w:color="auto"/>
      </w:divBdr>
    </w:div>
    <w:div w:id="23488081">
      <w:marLeft w:val="0"/>
      <w:marRight w:val="0"/>
      <w:marTop w:val="0"/>
      <w:marBottom w:val="0"/>
      <w:divBdr>
        <w:top w:val="none" w:sz="0" w:space="0" w:color="auto"/>
        <w:left w:val="none" w:sz="0" w:space="0" w:color="auto"/>
        <w:bottom w:val="none" w:sz="0" w:space="0" w:color="auto"/>
        <w:right w:val="none" w:sz="0" w:space="0" w:color="auto"/>
      </w:divBdr>
    </w:div>
    <w:div w:id="23488082">
      <w:marLeft w:val="0"/>
      <w:marRight w:val="0"/>
      <w:marTop w:val="0"/>
      <w:marBottom w:val="0"/>
      <w:divBdr>
        <w:top w:val="none" w:sz="0" w:space="0" w:color="auto"/>
        <w:left w:val="none" w:sz="0" w:space="0" w:color="auto"/>
        <w:bottom w:val="none" w:sz="0" w:space="0" w:color="auto"/>
        <w:right w:val="none" w:sz="0" w:space="0" w:color="auto"/>
      </w:divBdr>
    </w:div>
    <w:div w:id="23488084">
      <w:marLeft w:val="0"/>
      <w:marRight w:val="0"/>
      <w:marTop w:val="0"/>
      <w:marBottom w:val="0"/>
      <w:divBdr>
        <w:top w:val="none" w:sz="0" w:space="0" w:color="auto"/>
        <w:left w:val="none" w:sz="0" w:space="0" w:color="auto"/>
        <w:bottom w:val="none" w:sz="0" w:space="0" w:color="auto"/>
        <w:right w:val="none" w:sz="0" w:space="0" w:color="auto"/>
      </w:divBdr>
    </w:div>
    <w:div w:id="23488085">
      <w:marLeft w:val="0"/>
      <w:marRight w:val="0"/>
      <w:marTop w:val="0"/>
      <w:marBottom w:val="0"/>
      <w:divBdr>
        <w:top w:val="none" w:sz="0" w:space="0" w:color="auto"/>
        <w:left w:val="none" w:sz="0" w:space="0" w:color="auto"/>
        <w:bottom w:val="none" w:sz="0" w:space="0" w:color="auto"/>
        <w:right w:val="none" w:sz="0" w:space="0" w:color="auto"/>
      </w:divBdr>
    </w:div>
    <w:div w:id="23488086">
      <w:marLeft w:val="0"/>
      <w:marRight w:val="0"/>
      <w:marTop w:val="0"/>
      <w:marBottom w:val="0"/>
      <w:divBdr>
        <w:top w:val="none" w:sz="0" w:space="0" w:color="auto"/>
        <w:left w:val="none" w:sz="0" w:space="0" w:color="auto"/>
        <w:bottom w:val="none" w:sz="0" w:space="0" w:color="auto"/>
        <w:right w:val="none" w:sz="0" w:space="0" w:color="auto"/>
      </w:divBdr>
    </w:div>
    <w:div w:id="23488087">
      <w:marLeft w:val="0"/>
      <w:marRight w:val="0"/>
      <w:marTop w:val="0"/>
      <w:marBottom w:val="0"/>
      <w:divBdr>
        <w:top w:val="none" w:sz="0" w:space="0" w:color="auto"/>
        <w:left w:val="none" w:sz="0" w:space="0" w:color="auto"/>
        <w:bottom w:val="none" w:sz="0" w:space="0" w:color="auto"/>
        <w:right w:val="none" w:sz="0" w:space="0" w:color="auto"/>
      </w:divBdr>
    </w:div>
    <w:div w:id="23488088">
      <w:marLeft w:val="0"/>
      <w:marRight w:val="0"/>
      <w:marTop w:val="0"/>
      <w:marBottom w:val="0"/>
      <w:divBdr>
        <w:top w:val="none" w:sz="0" w:space="0" w:color="auto"/>
        <w:left w:val="none" w:sz="0" w:space="0" w:color="auto"/>
        <w:bottom w:val="none" w:sz="0" w:space="0" w:color="auto"/>
        <w:right w:val="none" w:sz="0" w:space="0" w:color="auto"/>
      </w:divBdr>
    </w:div>
    <w:div w:id="23488089">
      <w:marLeft w:val="0"/>
      <w:marRight w:val="0"/>
      <w:marTop w:val="0"/>
      <w:marBottom w:val="0"/>
      <w:divBdr>
        <w:top w:val="none" w:sz="0" w:space="0" w:color="auto"/>
        <w:left w:val="none" w:sz="0" w:space="0" w:color="auto"/>
        <w:bottom w:val="none" w:sz="0" w:space="0" w:color="auto"/>
        <w:right w:val="none" w:sz="0" w:space="0" w:color="auto"/>
      </w:divBdr>
    </w:div>
    <w:div w:id="23488090">
      <w:marLeft w:val="0"/>
      <w:marRight w:val="0"/>
      <w:marTop w:val="0"/>
      <w:marBottom w:val="0"/>
      <w:divBdr>
        <w:top w:val="none" w:sz="0" w:space="0" w:color="auto"/>
        <w:left w:val="none" w:sz="0" w:space="0" w:color="auto"/>
        <w:bottom w:val="none" w:sz="0" w:space="0" w:color="auto"/>
        <w:right w:val="none" w:sz="0" w:space="0" w:color="auto"/>
      </w:divBdr>
    </w:div>
    <w:div w:id="23488091">
      <w:marLeft w:val="0"/>
      <w:marRight w:val="0"/>
      <w:marTop w:val="0"/>
      <w:marBottom w:val="0"/>
      <w:divBdr>
        <w:top w:val="none" w:sz="0" w:space="0" w:color="auto"/>
        <w:left w:val="none" w:sz="0" w:space="0" w:color="auto"/>
        <w:bottom w:val="none" w:sz="0" w:space="0" w:color="auto"/>
        <w:right w:val="none" w:sz="0" w:space="0" w:color="auto"/>
      </w:divBdr>
    </w:div>
    <w:div w:id="23488092">
      <w:marLeft w:val="0"/>
      <w:marRight w:val="0"/>
      <w:marTop w:val="0"/>
      <w:marBottom w:val="0"/>
      <w:divBdr>
        <w:top w:val="none" w:sz="0" w:space="0" w:color="auto"/>
        <w:left w:val="none" w:sz="0" w:space="0" w:color="auto"/>
        <w:bottom w:val="none" w:sz="0" w:space="0" w:color="auto"/>
        <w:right w:val="none" w:sz="0" w:space="0" w:color="auto"/>
      </w:divBdr>
    </w:div>
    <w:div w:id="23488093">
      <w:marLeft w:val="0"/>
      <w:marRight w:val="0"/>
      <w:marTop w:val="0"/>
      <w:marBottom w:val="0"/>
      <w:divBdr>
        <w:top w:val="none" w:sz="0" w:space="0" w:color="auto"/>
        <w:left w:val="none" w:sz="0" w:space="0" w:color="auto"/>
        <w:bottom w:val="none" w:sz="0" w:space="0" w:color="auto"/>
        <w:right w:val="none" w:sz="0" w:space="0" w:color="auto"/>
      </w:divBdr>
    </w:div>
    <w:div w:id="23488094">
      <w:marLeft w:val="0"/>
      <w:marRight w:val="0"/>
      <w:marTop w:val="0"/>
      <w:marBottom w:val="0"/>
      <w:divBdr>
        <w:top w:val="none" w:sz="0" w:space="0" w:color="auto"/>
        <w:left w:val="none" w:sz="0" w:space="0" w:color="auto"/>
        <w:bottom w:val="none" w:sz="0" w:space="0" w:color="auto"/>
        <w:right w:val="none" w:sz="0" w:space="0" w:color="auto"/>
      </w:divBdr>
    </w:div>
    <w:div w:id="23488095">
      <w:marLeft w:val="0"/>
      <w:marRight w:val="0"/>
      <w:marTop w:val="0"/>
      <w:marBottom w:val="0"/>
      <w:divBdr>
        <w:top w:val="none" w:sz="0" w:space="0" w:color="auto"/>
        <w:left w:val="none" w:sz="0" w:space="0" w:color="auto"/>
        <w:bottom w:val="none" w:sz="0" w:space="0" w:color="auto"/>
        <w:right w:val="none" w:sz="0" w:space="0" w:color="auto"/>
      </w:divBdr>
    </w:div>
    <w:div w:id="23488096">
      <w:marLeft w:val="0"/>
      <w:marRight w:val="0"/>
      <w:marTop w:val="0"/>
      <w:marBottom w:val="0"/>
      <w:divBdr>
        <w:top w:val="none" w:sz="0" w:space="0" w:color="auto"/>
        <w:left w:val="none" w:sz="0" w:space="0" w:color="auto"/>
        <w:bottom w:val="none" w:sz="0" w:space="0" w:color="auto"/>
        <w:right w:val="none" w:sz="0" w:space="0" w:color="auto"/>
      </w:divBdr>
    </w:div>
    <w:div w:id="23488097">
      <w:marLeft w:val="0"/>
      <w:marRight w:val="0"/>
      <w:marTop w:val="0"/>
      <w:marBottom w:val="0"/>
      <w:divBdr>
        <w:top w:val="none" w:sz="0" w:space="0" w:color="auto"/>
        <w:left w:val="none" w:sz="0" w:space="0" w:color="auto"/>
        <w:bottom w:val="none" w:sz="0" w:space="0" w:color="auto"/>
        <w:right w:val="none" w:sz="0" w:space="0" w:color="auto"/>
      </w:divBdr>
    </w:div>
    <w:div w:id="23488098">
      <w:marLeft w:val="0"/>
      <w:marRight w:val="0"/>
      <w:marTop w:val="0"/>
      <w:marBottom w:val="0"/>
      <w:divBdr>
        <w:top w:val="none" w:sz="0" w:space="0" w:color="auto"/>
        <w:left w:val="none" w:sz="0" w:space="0" w:color="auto"/>
        <w:bottom w:val="none" w:sz="0" w:space="0" w:color="auto"/>
        <w:right w:val="none" w:sz="0" w:space="0" w:color="auto"/>
      </w:divBdr>
    </w:div>
    <w:div w:id="23488099">
      <w:marLeft w:val="0"/>
      <w:marRight w:val="0"/>
      <w:marTop w:val="0"/>
      <w:marBottom w:val="0"/>
      <w:divBdr>
        <w:top w:val="none" w:sz="0" w:space="0" w:color="auto"/>
        <w:left w:val="none" w:sz="0" w:space="0" w:color="auto"/>
        <w:bottom w:val="none" w:sz="0" w:space="0" w:color="auto"/>
        <w:right w:val="none" w:sz="0" w:space="0" w:color="auto"/>
      </w:divBdr>
    </w:div>
    <w:div w:id="23488100">
      <w:marLeft w:val="0"/>
      <w:marRight w:val="0"/>
      <w:marTop w:val="0"/>
      <w:marBottom w:val="0"/>
      <w:divBdr>
        <w:top w:val="none" w:sz="0" w:space="0" w:color="auto"/>
        <w:left w:val="none" w:sz="0" w:space="0" w:color="auto"/>
        <w:bottom w:val="none" w:sz="0" w:space="0" w:color="auto"/>
        <w:right w:val="none" w:sz="0" w:space="0" w:color="auto"/>
      </w:divBdr>
    </w:div>
    <w:div w:id="23488101">
      <w:marLeft w:val="0"/>
      <w:marRight w:val="0"/>
      <w:marTop w:val="0"/>
      <w:marBottom w:val="0"/>
      <w:divBdr>
        <w:top w:val="none" w:sz="0" w:space="0" w:color="auto"/>
        <w:left w:val="none" w:sz="0" w:space="0" w:color="auto"/>
        <w:bottom w:val="none" w:sz="0" w:space="0" w:color="auto"/>
        <w:right w:val="none" w:sz="0" w:space="0" w:color="auto"/>
      </w:divBdr>
    </w:div>
    <w:div w:id="23488102">
      <w:marLeft w:val="0"/>
      <w:marRight w:val="0"/>
      <w:marTop w:val="0"/>
      <w:marBottom w:val="0"/>
      <w:divBdr>
        <w:top w:val="none" w:sz="0" w:space="0" w:color="auto"/>
        <w:left w:val="none" w:sz="0" w:space="0" w:color="auto"/>
        <w:bottom w:val="none" w:sz="0" w:space="0" w:color="auto"/>
        <w:right w:val="none" w:sz="0" w:space="0" w:color="auto"/>
      </w:divBdr>
    </w:div>
    <w:div w:id="23488103">
      <w:marLeft w:val="0"/>
      <w:marRight w:val="0"/>
      <w:marTop w:val="0"/>
      <w:marBottom w:val="0"/>
      <w:divBdr>
        <w:top w:val="none" w:sz="0" w:space="0" w:color="auto"/>
        <w:left w:val="none" w:sz="0" w:space="0" w:color="auto"/>
        <w:bottom w:val="none" w:sz="0" w:space="0" w:color="auto"/>
        <w:right w:val="none" w:sz="0" w:space="0" w:color="auto"/>
      </w:divBdr>
    </w:div>
    <w:div w:id="23488104">
      <w:marLeft w:val="0"/>
      <w:marRight w:val="0"/>
      <w:marTop w:val="0"/>
      <w:marBottom w:val="0"/>
      <w:divBdr>
        <w:top w:val="none" w:sz="0" w:space="0" w:color="auto"/>
        <w:left w:val="none" w:sz="0" w:space="0" w:color="auto"/>
        <w:bottom w:val="none" w:sz="0" w:space="0" w:color="auto"/>
        <w:right w:val="none" w:sz="0" w:space="0" w:color="auto"/>
      </w:divBdr>
    </w:div>
    <w:div w:id="23488105">
      <w:marLeft w:val="0"/>
      <w:marRight w:val="0"/>
      <w:marTop w:val="0"/>
      <w:marBottom w:val="0"/>
      <w:divBdr>
        <w:top w:val="none" w:sz="0" w:space="0" w:color="auto"/>
        <w:left w:val="none" w:sz="0" w:space="0" w:color="auto"/>
        <w:bottom w:val="none" w:sz="0" w:space="0" w:color="auto"/>
        <w:right w:val="none" w:sz="0" w:space="0" w:color="auto"/>
      </w:divBdr>
    </w:div>
    <w:div w:id="23488106">
      <w:marLeft w:val="0"/>
      <w:marRight w:val="0"/>
      <w:marTop w:val="0"/>
      <w:marBottom w:val="0"/>
      <w:divBdr>
        <w:top w:val="none" w:sz="0" w:space="0" w:color="auto"/>
        <w:left w:val="none" w:sz="0" w:space="0" w:color="auto"/>
        <w:bottom w:val="none" w:sz="0" w:space="0" w:color="auto"/>
        <w:right w:val="none" w:sz="0" w:space="0" w:color="auto"/>
      </w:divBdr>
    </w:div>
    <w:div w:id="23488107">
      <w:marLeft w:val="0"/>
      <w:marRight w:val="0"/>
      <w:marTop w:val="0"/>
      <w:marBottom w:val="0"/>
      <w:divBdr>
        <w:top w:val="none" w:sz="0" w:space="0" w:color="auto"/>
        <w:left w:val="none" w:sz="0" w:space="0" w:color="auto"/>
        <w:bottom w:val="none" w:sz="0" w:space="0" w:color="auto"/>
        <w:right w:val="none" w:sz="0" w:space="0" w:color="auto"/>
      </w:divBdr>
    </w:div>
    <w:div w:id="23488108">
      <w:marLeft w:val="0"/>
      <w:marRight w:val="0"/>
      <w:marTop w:val="0"/>
      <w:marBottom w:val="0"/>
      <w:divBdr>
        <w:top w:val="none" w:sz="0" w:space="0" w:color="auto"/>
        <w:left w:val="none" w:sz="0" w:space="0" w:color="auto"/>
        <w:bottom w:val="none" w:sz="0" w:space="0" w:color="auto"/>
        <w:right w:val="none" w:sz="0" w:space="0" w:color="auto"/>
      </w:divBdr>
    </w:div>
    <w:div w:id="23488109">
      <w:marLeft w:val="0"/>
      <w:marRight w:val="0"/>
      <w:marTop w:val="0"/>
      <w:marBottom w:val="0"/>
      <w:divBdr>
        <w:top w:val="none" w:sz="0" w:space="0" w:color="auto"/>
        <w:left w:val="none" w:sz="0" w:space="0" w:color="auto"/>
        <w:bottom w:val="none" w:sz="0" w:space="0" w:color="auto"/>
        <w:right w:val="none" w:sz="0" w:space="0" w:color="auto"/>
      </w:divBdr>
    </w:div>
    <w:div w:id="23488110">
      <w:marLeft w:val="0"/>
      <w:marRight w:val="0"/>
      <w:marTop w:val="0"/>
      <w:marBottom w:val="0"/>
      <w:divBdr>
        <w:top w:val="none" w:sz="0" w:space="0" w:color="auto"/>
        <w:left w:val="none" w:sz="0" w:space="0" w:color="auto"/>
        <w:bottom w:val="none" w:sz="0" w:space="0" w:color="auto"/>
        <w:right w:val="none" w:sz="0" w:space="0" w:color="auto"/>
      </w:divBdr>
    </w:div>
    <w:div w:id="23488111">
      <w:marLeft w:val="0"/>
      <w:marRight w:val="0"/>
      <w:marTop w:val="0"/>
      <w:marBottom w:val="0"/>
      <w:divBdr>
        <w:top w:val="none" w:sz="0" w:space="0" w:color="auto"/>
        <w:left w:val="none" w:sz="0" w:space="0" w:color="auto"/>
        <w:bottom w:val="none" w:sz="0" w:space="0" w:color="auto"/>
        <w:right w:val="none" w:sz="0" w:space="0" w:color="auto"/>
      </w:divBdr>
    </w:div>
    <w:div w:id="39332353">
      <w:bodyDiv w:val="1"/>
      <w:marLeft w:val="0"/>
      <w:marRight w:val="0"/>
      <w:marTop w:val="0"/>
      <w:marBottom w:val="0"/>
      <w:divBdr>
        <w:top w:val="none" w:sz="0" w:space="0" w:color="auto"/>
        <w:left w:val="none" w:sz="0" w:space="0" w:color="auto"/>
        <w:bottom w:val="none" w:sz="0" w:space="0" w:color="auto"/>
        <w:right w:val="none" w:sz="0" w:space="0" w:color="auto"/>
      </w:divBdr>
    </w:div>
    <w:div w:id="43724003">
      <w:bodyDiv w:val="1"/>
      <w:marLeft w:val="0"/>
      <w:marRight w:val="0"/>
      <w:marTop w:val="0"/>
      <w:marBottom w:val="0"/>
      <w:divBdr>
        <w:top w:val="none" w:sz="0" w:space="0" w:color="auto"/>
        <w:left w:val="none" w:sz="0" w:space="0" w:color="auto"/>
        <w:bottom w:val="none" w:sz="0" w:space="0" w:color="auto"/>
        <w:right w:val="none" w:sz="0" w:space="0" w:color="auto"/>
      </w:divBdr>
    </w:div>
    <w:div w:id="47925894">
      <w:bodyDiv w:val="1"/>
      <w:marLeft w:val="0"/>
      <w:marRight w:val="0"/>
      <w:marTop w:val="0"/>
      <w:marBottom w:val="0"/>
      <w:divBdr>
        <w:top w:val="none" w:sz="0" w:space="0" w:color="auto"/>
        <w:left w:val="none" w:sz="0" w:space="0" w:color="auto"/>
        <w:bottom w:val="none" w:sz="0" w:space="0" w:color="auto"/>
        <w:right w:val="none" w:sz="0" w:space="0" w:color="auto"/>
      </w:divBdr>
    </w:div>
    <w:div w:id="58289101">
      <w:bodyDiv w:val="1"/>
      <w:marLeft w:val="0"/>
      <w:marRight w:val="0"/>
      <w:marTop w:val="0"/>
      <w:marBottom w:val="0"/>
      <w:divBdr>
        <w:top w:val="none" w:sz="0" w:space="0" w:color="auto"/>
        <w:left w:val="none" w:sz="0" w:space="0" w:color="auto"/>
        <w:bottom w:val="none" w:sz="0" w:space="0" w:color="auto"/>
        <w:right w:val="none" w:sz="0" w:space="0" w:color="auto"/>
      </w:divBdr>
    </w:div>
    <w:div w:id="70276647">
      <w:bodyDiv w:val="1"/>
      <w:marLeft w:val="0"/>
      <w:marRight w:val="0"/>
      <w:marTop w:val="0"/>
      <w:marBottom w:val="0"/>
      <w:divBdr>
        <w:top w:val="none" w:sz="0" w:space="0" w:color="auto"/>
        <w:left w:val="none" w:sz="0" w:space="0" w:color="auto"/>
        <w:bottom w:val="none" w:sz="0" w:space="0" w:color="auto"/>
        <w:right w:val="none" w:sz="0" w:space="0" w:color="auto"/>
      </w:divBdr>
    </w:div>
    <w:div w:id="81726276">
      <w:bodyDiv w:val="1"/>
      <w:marLeft w:val="0"/>
      <w:marRight w:val="0"/>
      <w:marTop w:val="0"/>
      <w:marBottom w:val="0"/>
      <w:divBdr>
        <w:top w:val="none" w:sz="0" w:space="0" w:color="auto"/>
        <w:left w:val="none" w:sz="0" w:space="0" w:color="auto"/>
        <w:bottom w:val="none" w:sz="0" w:space="0" w:color="auto"/>
        <w:right w:val="none" w:sz="0" w:space="0" w:color="auto"/>
      </w:divBdr>
    </w:div>
    <w:div w:id="85808336">
      <w:bodyDiv w:val="1"/>
      <w:marLeft w:val="0"/>
      <w:marRight w:val="0"/>
      <w:marTop w:val="0"/>
      <w:marBottom w:val="0"/>
      <w:divBdr>
        <w:top w:val="none" w:sz="0" w:space="0" w:color="auto"/>
        <w:left w:val="none" w:sz="0" w:space="0" w:color="auto"/>
        <w:bottom w:val="none" w:sz="0" w:space="0" w:color="auto"/>
        <w:right w:val="none" w:sz="0" w:space="0" w:color="auto"/>
      </w:divBdr>
    </w:div>
    <w:div w:id="112403189">
      <w:bodyDiv w:val="1"/>
      <w:marLeft w:val="0"/>
      <w:marRight w:val="0"/>
      <w:marTop w:val="0"/>
      <w:marBottom w:val="0"/>
      <w:divBdr>
        <w:top w:val="none" w:sz="0" w:space="0" w:color="auto"/>
        <w:left w:val="none" w:sz="0" w:space="0" w:color="auto"/>
        <w:bottom w:val="none" w:sz="0" w:space="0" w:color="auto"/>
        <w:right w:val="none" w:sz="0" w:space="0" w:color="auto"/>
      </w:divBdr>
    </w:div>
    <w:div w:id="116606981">
      <w:bodyDiv w:val="1"/>
      <w:marLeft w:val="0"/>
      <w:marRight w:val="0"/>
      <w:marTop w:val="0"/>
      <w:marBottom w:val="0"/>
      <w:divBdr>
        <w:top w:val="none" w:sz="0" w:space="0" w:color="auto"/>
        <w:left w:val="none" w:sz="0" w:space="0" w:color="auto"/>
        <w:bottom w:val="none" w:sz="0" w:space="0" w:color="auto"/>
        <w:right w:val="none" w:sz="0" w:space="0" w:color="auto"/>
      </w:divBdr>
    </w:div>
    <w:div w:id="121963280">
      <w:bodyDiv w:val="1"/>
      <w:marLeft w:val="0"/>
      <w:marRight w:val="0"/>
      <w:marTop w:val="0"/>
      <w:marBottom w:val="0"/>
      <w:divBdr>
        <w:top w:val="none" w:sz="0" w:space="0" w:color="auto"/>
        <w:left w:val="none" w:sz="0" w:space="0" w:color="auto"/>
        <w:bottom w:val="none" w:sz="0" w:space="0" w:color="auto"/>
        <w:right w:val="none" w:sz="0" w:space="0" w:color="auto"/>
      </w:divBdr>
    </w:div>
    <w:div w:id="128478923">
      <w:bodyDiv w:val="1"/>
      <w:marLeft w:val="0"/>
      <w:marRight w:val="0"/>
      <w:marTop w:val="0"/>
      <w:marBottom w:val="0"/>
      <w:divBdr>
        <w:top w:val="none" w:sz="0" w:space="0" w:color="auto"/>
        <w:left w:val="none" w:sz="0" w:space="0" w:color="auto"/>
        <w:bottom w:val="none" w:sz="0" w:space="0" w:color="auto"/>
        <w:right w:val="none" w:sz="0" w:space="0" w:color="auto"/>
      </w:divBdr>
    </w:div>
    <w:div w:id="156456202">
      <w:bodyDiv w:val="1"/>
      <w:marLeft w:val="0"/>
      <w:marRight w:val="0"/>
      <w:marTop w:val="0"/>
      <w:marBottom w:val="0"/>
      <w:divBdr>
        <w:top w:val="none" w:sz="0" w:space="0" w:color="auto"/>
        <w:left w:val="none" w:sz="0" w:space="0" w:color="auto"/>
        <w:bottom w:val="none" w:sz="0" w:space="0" w:color="auto"/>
        <w:right w:val="none" w:sz="0" w:space="0" w:color="auto"/>
      </w:divBdr>
    </w:div>
    <w:div w:id="157313145">
      <w:bodyDiv w:val="1"/>
      <w:marLeft w:val="0"/>
      <w:marRight w:val="0"/>
      <w:marTop w:val="0"/>
      <w:marBottom w:val="0"/>
      <w:divBdr>
        <w:top w:val="none" w:sz="0" w:space="0" w:color="auto"/>
        <w:left w:val="none" w:sz="0" w:space="0" w:color="auto"/>
        <w:bottom w:val="none" w:sz="0" w:space="0" w:color="auto"/>
        <w:right w:val="none" w:sz="0" w:space="0" w:color="auto"/>
      </w:divBdr>
    </w:div>
    <w:div w:id="175920529">
      <w:bodyDiv w:val="1"/>
      <w:marLeft w:val="0"/>
      <w:marRight w:val="0"/>
      <w:marTop w:val="0"/>
      <w:marBottom w:val="0"/>
      <w:divBdr>
        <w:top w:val="none" w:sz="0" w:space="0" w:color="auto"/>
        <w:left w:val="none" w:sz="0" w:space="0" w:color="auto"/>
        <w:bottom w:val="none" w:sz="0" w:space="0" w:color="auto"/>
        <w:right w:val="none" w:sz="0" w:space="0" w:color="auto"/>
      </w:divBdr>
    </w:div>
    <w:div w:id="176163425">
      <w:bodyDiv w:val="1"/>
      <w:marLeft w:val="0"/>
      <w:marRight w:val="0"/>
      <w:marTop w:val="0"/>
      <w:marBottom w:val="0"/>
      <w:divBdr>
        <w:top w:val="none" w:sz="0" w:space="0" w:color="auto"/>
        <w:left w:val="none" w:sz="0" w:space="0" w:color="auto"/>
        <w:bottom w:val="none" w:sz="0" w:space="0" w:color="auto"/>
        <w:right w:val="none" w:sz="0" w:space="0" w:color="auto"/>
      </w:divBdr>
    </w:div>
    <w:div w:id="179205623">
      <w:bodyDiv w:val="1"/>
      <w:marLeft w:val="0"/>
      <w:marRight w:val="0"/>
      <w:marTop w:val="0"/>
      <w:marBottom w:val="0"/>
      <w:divBdr>
        <w:top w:val="none" w:sz="0" w:space="0" w:color="auto"/>
        <w:left w:val="none" w:sz="0" w:space="0" w:color="auto"/>
        <w:bottom w:val="none" w:sz="0" w:space="0" w:color="auto"/>
        <w:right w:val="none" w:sz="0" w:space="0" w:color="auto"/>
      </w:divBdr>
    </w:div>
    <w:div w:id="209926688">
      <w:bodyDiv w:val="1"/>
      <w:marLeft w:val="0"/>
      <w:marRight w:val="0"/>
      <w:marTop w:val="0"/>
      <w:marBottom w:val="0"/>
      <w:divBdr>
        <w:top w:val="none" w:sz="0" w:space="0" w:color="auto"/>
        <w:left w:val="none" w:sz="0" w:space="0" w:color="auto"/>
        <w:bottom w:val="none" w:sz="0" w:space="0" w:color="auto"/>
        <w:right w:val="none" w:sz="0" w:space="0" w:color="auto"/>
      </w:divBdr>
    </w:div>
    <w:div w:id="214241261">
      <w:bodyDiv w:val="1"/>
      <w:marLeft w:val="0"/>
      <w:marRight w:val="0"/>
      <w:marTop w:val="0"/>
      <w:marBottom w:val="0"/>
      <w:divBdr>
        <w:top w:val="none" w:sz="0" w:space="0" w:color="auto"/>
        <w:left w:val="none" w:sz="0" w:space="0" w:color="auto"/>
        <w:bottom w:val="none" w:sz="0" w:space="0" w:color="auto"/>
        <w:right w:val="none" w:sz="0" w:space="0" w:color="auto"/>
      </w:divBdr>
    </w:div>
    <w:div w:id="226577228">
      <w:bodyDiv w:val="1"/>
      <w:marLeft w:val="0"/>
      <w:marRight w:val="0"/>
      <w:marTop w:val="0"/>
      <w:marBottom w:val="0"/>
      <w:divBdr>
        <w:top w:val="none" w:sz="0" w:space="0" w:color="auto"/>
        <w:left w:val="none" w:sz="0" w:space="0" w:color="auto"/>
        <w:bottom w:val="none" w:sz="0" w:space="0" w:color="auto"/>
        <w:right w:val="none" w:sz="0" w:space="0" w:color="auto"/>
      </w:divBdr>
    </w:div>
    <w:div w:id="234123030">
      <w:bodyDiv w:val="1"/>
      <w:marLeft w:val="0"/>
      <w:marRight w:val="0"/>
      <w:marTop w:val="0"/>
      <w:marBottom w:val="0"/>
      <w:divBdr>
        <w:top w:val="none" w:sz="0" w:space="0" w:color="auto"/>
        <w:left w:val="none" w:sz="0" w:space="0" w:color="auto"/>
        <w:bottom w:val="none" w:sz="0" w:space="0" w:color="auto"/>
        <w:right w:val="none" w:sz="0" w:space="0" w:color="auto"/>
      </w:divBdr>
    </w:div>
    <w:div w:id="239290677">
      <w:bodyDiv w:val="1"/>
      <w:marLeft w:val="0"/>
      <w:marRight w:val="0"/>
      <w:marTop w:val="0"/>
      <w:marBottom w:val="0"/>
      <w:divBdr>
        <w:top w:val="none" w:sz="0" w:space="0" w:color="auto"/>
        <w:left w:val="none" w:sz="0" w:space="0" w:color="auto"/>
        <w:bottom w:val="none" w:sz="0" w:space="0" w:color="auto"/>
        <w:right w:val="none" w:sz="0" w:space="0" w:color="auto"/>
      </w:divBdr>
    </w:div>
    <w:div w:id="250893226">
      <w:bodyDiv w:val="1"/>
      <w:marLeft w:val="0"/>
      <w:marRight w:val="0"/>
      <w:marTop w:val="0"/>
      <w:marBottom w:val="0"/>
      <w:divBdr>
        <w:top w:val="none" w:sz="0" w:space="0" w:color="auto"/>
        <w:left w:val="none" w:sz="0" w:space="0" w:color="auto"/>
        <w:bottom w:val="none" w:sz="0" w:space="0" w:color="auto"/>
        <w:right w:val="none" w:sz="0" w:space="0" w:color="auto"/>
      </w:divBdr>
    </w:div>
    <w:div w:id="254871330">
      <w:bodyDiv w:val="1"/>
      <w:marLeft w:val="0"/>
      <w:marRight w:val="0"/>
      <w:marTop w:val="0"/>
      <w:marBottom w:val="0"/>
      <w:divBdr>
        <w:top w:val="none" w:sz="0" w:space="0" w:color="auto"/>
        <w:left w:val="none" w:sz="0" w:space="0" w:color="auto"/>
        <w:bottom w:val="none" w:sz="0" w:space="0" w:color="auto"/>
        <w:right w:val="none" w:sz="0" w:space="0" w:color="auto"/>
      </w:divBdr>
    </w:div>
    <w:div w:id="255939027">
      <w:bodyDiv w:val="1"/>
      <w:marLeft w:val="0"/>
      <w:marRight w:val="0"/>
      <w:marTop w:val="0"/>
      <w:marBottom w:val="0"/>
      <w:divBdr>
        <w:top w:val="none" w:sz="0" w:space="0" w:color="auto"/>
        <w:left w:val="none" w:sz="0" w:space="0" w:color="auto"/>
        <w:bottom w:val="none" w:sz="0" w:space="0" w:color="auto"/>
        <w:right w:val="none" w:sz="0" w:space="0" w:color="auto"/>
      </w:divBdr>
    </w:div>
    <w:div w:id="282544368">
      <w:bodyDiv w:val="1"/>
      <w:marLeft w:val="0"/>
      <w:marRight w:val="0"/>
      <w:marTop w:val="0"/>
      <w:marBottom w:val="0"/>
      <w:divBdr>
        <w:top w:val="none" w:sz="0" w:space="0" w:color="auto"/>
        <w:left w:val="none" w:sz="0" w:space="0" w:color="auto"/>
        <w:bottom w:val="none" w:sz="0" w:space="0" w:color="auto"/>
        <w:right w:val="none" w:sz="0" w:space="0" w:color="auto"/>
      </w:divBdr>
    </w:div>
    <w:div w:id="289940400">
      <w:bodyDiv w:val="1"/>
      <w:marLeft w:val="0"/>
      <w:marRight w:val="0"/>
      <w:marTop w:val="0"/>
      <w:marBottom w:val="0"/>
      <w:divBdr>
        <w:top w:val="none" w:sz="0" w:space="0" w:color="auto"/>
        <w:left w:val="none" w:sz="0" w:space="0" w:color="auto"/>
        <w:bottom w:val="none" w:sz="0" w:space="0" w:color="auto"/>
        <w:right w:val="none" w:sz="0" w:space="0" w:color="auto"/>
      </w:divBdr>
    </w:div>
    <w:div w:id="313142099">
      <w:bodyDiv w:val="1"/>
      <w:marLeft w:val="0"/>
      <w:marRight w:val="0"/>
      <w:marTop w:val="0"/>
      <w:marBottom w:val="0"/>
      <w:divBdr>
        <w:top w:val="none" w:sz="0" w:space="0" w:color="auto"/>
        <w:left w:val="none" w:sz="0" w:space="0" w:color="auto"/>
        <w:bottom w:val="none" w:sz="0" w:space="0" w:color="auto"/>
        <w:right w:val="none" w:sz="0" w:space="0" w:color="auto"/>
      </w:divBdr>
    </w:div>
    <w:div w:id="343284888">
      <w:bodyDiv w:val="1"/>
      <w:marLeft w:val="0"/>
      <w:marRight w:val="0"/>
      <w:marTop w:val="0"/>
      <w:marBottom w:val="0"/>
      <w:divBdr>
        <w:top w:val="none" w:sz="0" w:space="0" w:color="auto"/>
        <w:left w:val="none" w:sz="0" w:space="0" w:color="auto"/>
        <w:bottom w:val="none" w:sz="0" w:space="0" w:color="auto"/>
        <w:right w:val="none" w:sz="0" w:space="0" w:color="auto"/>
      </w:divBdr>
    </w:div>
    <w:div w:id="360936126">
      <w:bodyDiv w:val="1"/>
      <w:marLeft w:val="0"/>
      <w:marRight w:val="0"/>
      <w:marTop w:val="0"/>
      <w:marBottom w:val="0"/>
      <w:divBdr>
        <w:top w:val="none" w:sz="0" w:space="0" w:color="auto"/>
        <w:left w:val="none" w:sz="0" w:space="0" w:color="auto"/>
        <w:bottom w:val="none" w:sz="0" w:space="0" w:color="auto"/>
        <w:right w:val="none" w:sz="0" w:space="0" w:color="auto"/>
      </w:divBdr>
    </w:div>
    <w:div w:id="368651533">
      <w:bodyDiv w:val="1"/>
      <w:marLeft w:val="0"/>
      <w:marRight w:val="0"/>
      <w:marTop w:val="0"/>
      <w:marBottom w:val="0"/>
      <w:divBdr>
        <w:top w:val="none" w:sz="0" w:space="0" w:color="auto"/>
        <w:left w:val="none" w:sz="0" w:space="0" w:color="auto"/>
        <w:bottom w:val="none" w:sz="0" w:space="0" w:color="auto"/>
        <w:right w:val="none" w:sz="0" w:space="0" w:color="auto"/>
      </w:divBdr>
    </w:div>
    <w:div w:id="396978679">
      <w:bodyDiv w:val="1"/>
      <w:marLeft w:val="0"/>
      <w:marRight w:val="0"/>
      <w:marTop w:val="0"/>
      <w:marBottom w:val="0"/>
      <w:divBdr>
        <w:top w:val="none" w:sz="0" w:space="0" w:color="auto"/>
        <w:left w:val="none" w:sz="0" w:space="0" w:color="auto"/>
        <w:bottom w:val="none" w:sz="0" w:space="0" w:color="auto"/>
        <w:right w:val="none" w:sz="0" w:space="0" w:color="auto"/>
      </w:divBdr>
    </w:div>
    <w:div w:id="419134028">
      <w:bodyDiv w:val="1"/>
      <w:marLeft w:val="0"/>
      <w:marRight w:val="0"/>
      <w:marTop w:val="0"/>
      <w:marBottom w:val="0"/>
      <w:divBdr>
        <w:top w:val="none" w:sz="0" w:space="0" w:color="auto"/>
        <w:left w:val="none" w:sz="0" w:space="0" w:color="auto"/>
        <w:bottom w:val="none" w:sz="0" w:space="0" w:color="auto"/>
        <w:right w:val="none" w:sz="0" w:space="0" w:color="auto"/>
      </w:divBdr>
    </w:div>
    <w:div w:id="430007273">
      <w:bodyDiv w:val="1"/>
      <w:marLeft w:val="0"/>
      <w:marRight w:val="0"/>
      <w:marTop w:val="0"/>
      <w:marBottom w:val="0"/>
      <w:divBdr>
        <w:top w:val="none" w:sz="0" w:space="0" w:color="auto"/>
        <w:left w:val="none" w:sz="0" w:space="0" w:color="auto"/>
        <w:bottom w:val="none" w:sz="0" w:space="0" w:color="auto"/>
        <w:right w:val="none" w:sz="0" w:space="0" w:color="auto"/>
      </w:divBdr>
    </w:div>
    <w:div w:id="430056337">
      <w:bodyDiv w:val="1"/>
      <w:marLeft w:val="0"/>
      <w:marRight w:val="0"/>
      <w:marTop w:val="0"/>
      <w:marBottom w:val="0"/>
      <w:divBdr>
        <w:top w:val="none" w:sz="0" w:space="0" w:color="auto"/>
        <w:left w:val="none" w:sz="0" w:space="0" w:color="auto"/>
        <w:bottom w:val="none" w:sz="0" w:space="0" w:color="auto"/>
        <w:right w:val="none" w:sz="0" w:space="0" w:color="auto"/>
      </w:divBdr>
    </w:div>
    <w:div w:id="442572669">
      <w:bodyDiv w:val="1"/>
      <w:marLeft w:val="0"/>
      <w:marRight w:val="0"/>
      <w:marTop w:val="0"/>
      <w:marBottom w:val="0"/>
      <w:divBdr>
        <w:top w:val="none" w:sz="0" w:space="0" w:color="auto"/>
        <w:left w:val="none" w:sz="0" w:space="0" w:color="auto"/>
        <w:bottom w:val="none" w:sz="0" w:space="0" w:color="auto"/>
        <w:right w:val="none" w:sz="0" w:space="0" w:color="auto"/>
      </w:divBdr>
    </w:div>
    <w:div w:id="444081739">
      <w:bodyDiv w:val="1"/>
      <w:marLeft w:val="0"/>
      <w:marRight w:val="0"/>
      <w:marTop w:val="0"/>
      <w:marBottom w:val="0"/>
      <w:divBdr>
        <w:top w:val="none" w:sz="0" w:space="0" w:color="auto"/>
        <w:left w:val="none" w:sz="0" w:space="0" w:color="auto"/>
        <w:bottom w:val="none" w:sz="0" w:space="0" w:color="auto"/>
        <w:right w:val="none" w:sz="0" w:space="0" w:color="auto"/>
      </w:divBdr>
    </w:div>
    <w:div w:id="445320840">
      <w:bodyDiv w:val="1"/>
      <w:marLeft w:val="0"/>
      <w:marRight w:val="0"/>
      <w:marTop w:val="0"/>
      <w:marBottom w:val="0"/>
      <w:divBdr>
        <w:top w:val="none" w:sz="0" w:space="0" w:color="auto"/>
        <w:left w:val="none" w:sz="0" w:space="0" w:color="auto"/>
        <w:bottom w:val="none" w:sz="0" w:space="0" w:color="auto"/>
        <w:right w:val="none" w:sz="0" w:space="0" w:color="auto"/>
      </w:divBdr>
    </w:div>
    <w:div w:id="456140809">
      <w:bodyDiv w:val="1"/>
      <w:marLeft w:val="0"/>
      <w:marRight w:val="0"/>
      <w:marTop w:val="0"/>
      <w:marBottom w:val="0"/>
      <w:divBdr>
        <w:top w:val="none" w:sz="0" w:space="0" w:color="auto"/>
        <w:left w:val="none" w:sz="0" w:space="0" w:color="auto"/>
        <w:bottom w:val="none" w:sz="0" w:space="0" w:color="auto"/>
        <w:right w:val="none" w:sz="0" w:space="0" w:color="auto"/>
      </w:divBdr>
    </w:div>
    <w:div w:id="457997251">
      <w:bodyDiv w:val="1"/>
      <w:marLeft w:val="0"/>
      <w:marRight w:val="0"/>
      <w:marTop w:val="0"/>
      <w:marBottom w:val="0"/>
      <w:divBdr>
        <w:top w:val="none" w:sz="0" w:space="0" w:color="auto"/>
        <w:left w:val="none" w:sz="0" w:space="0" w:color="auto"/>
        <w:bottom w:val="none" w:sz="0" w:space="0" w:color="auto"/>
        <w:right w:val="none" w:sz="0" w:space="0" w:color="auto"/>
      </w:divBdr>
    </w:div>
    <w:div w:id="467357628">
      <w:bodyDiv w:val="1"/>
      <w:marLeft w:val="0"/>
      <w:marRight w:val="0"/>
      <w:marTop w:val="0"/>
      <w:marBottom w:val="0"/>
      <w:divBdr>
        <w:top w:val="none" w:sz="0" w:space="0" w:color="auto"/>
        <w:left w:val="none" w:sz="0" w:space="0" w:color="auto"/>
        <w:bottom w:val="none" w:sz="0" w:space="0" w:color="auto"/>
        <w:right w:val="none" w:sz="0" w:space="0" w:color="auto"/>
      </w:divBdr>
    </w:div>
    <w:div w:id="475100189">
      <w:bodyDiv w:val="1"/>
      <w:marLeft w:val="0"/>
      <w:marRight w:val="0"/>
      <w:marTop w:val="0"/>
      <w:marBottom w:val="0"/>
      <w:divBdr>
        <w:top w:val="none" w:sz="0" w:space="0" w:color="auto"/>
        <w:left w:val="none" w:sz="0" w:space="0" w:color="auto"/>
        <w:bottom w:val="none" w:sz="0" w:space="0" w:color="auto"/>
        <w:right w:val="none" w:sz="0" w:space="0" w:color="auto"/>
      </w:divBdr>
    </w:div>
    <w:div w:id="486020634">
      <w:bodyDiv w:val="1"/>
      <w:marLeft w:val="0"/>
      <w:marRight w:val="0"/>
      <w:marTop w:val="0"/>
      <w:marBottom w:val="0"/>
      <w:divBdr>
        <w:top w:val="none" w:sz="0" w:space="0" w:color="auto"/>
        <w:left w:val="none" w:sz="0" w:space="0" w:color="auto"/>
        <w:bottom w:val="none" w:sz="0" w:space="0" w:color="auto"/>
        <w:right w:val="none" w:sz="0" w:space="0" w:color="auto"/>
      </w:divBdr>
    </w:div>
    <w:div w:id="493886368">
      <w:bodyDiv w:val="1"/>
      <w:marLeft w:val="0"/>
      <w:marRight w:val="0"/>
      <w:marTop w:val="0"/>
      <w:marBottom w:val="0"/>
      <w:divBdr>
        <w:top w:val="none" w:sz="0" w:space="0" w:color="auto"/>
        <w:left w:val="none" w:sz="0" w:space="0" w:color="auto"/>
        <w:bottom w:val="none" w:sz="0" w:space="0" w:color="auto"/>
        <w:right w:val="none" w:sz="0" w:space="0" w:color="auto"/>
      </w:divBdr>
    </w:div>
    <w:div w:id="494535538">
      <w:bodyDiv w:val="1"/>
      <w:marLeft w:val="0"/>
      <w:marRight w:val="0"/>
      <w:marTop w:val="0"/>
      <w:marBottom w:val="0"/>
      <w:divBdr>
        <w:top w:val="none" w:sz="0" w:space="0" w:color="auto"/>
        <w:left w:val="none" w:sz="0" w:space="0" w:color="auto"/>
        <w:bottom w:val="none" w:sz="0" w:space="0" w:color="auto"/>
        <w:right w:val="none" w:sz="0" w:space="0" w:color="auto"/>
      </w:divBdr>
    </w:div>
    <w:div w:id="519046324">
      <w:bodyDiv w:val="1"/>
      <w:marLeft w:val="0"/>
      <w:marRight w:val="0"/>
      <w:marTop w:val="0"/>
      <w:marBottom w:val="0"/>
      <w:divBdr>
        <w:top w:val="none" w:sz="0" w:space="0" w:color="auto"/>
        <w:left w:val="none" w:sz="0" w:space="0" w:color="auto"/>
        <w:bottom w:val="none" w:sz="0" w:space="0" w:color="auto"/>
        <w:right w:val="none" w:sz="0" w:space="0" w:color="auto"/>
      </w:divBdr>
    </w:div>
    <w:div w:id="530802713">
      <w:bodyDiv w:val="1"/>
      <w:marLeft w:val="0"/>
      <w:marRight w:val="0"/>
      <w:marTop w:val="0"/>
      <w:marBottom w:val="0"/>
      <w:divBdr>
        <w:top w:val="none" w:sz="0" w:space="0" w:color="auto"/>
        <w:left w:val="none" w:sz="0" w:space="0" w:color="auto"/>
        <w:bottom w:val="none" w:sz="0" w:space="0" w:color="auto"/>
        <w:right w:val="none" w:sz="0" w:space="0" w:color="auto"/>
      </w:divBdr>
    </w:div>
    <w:div w:id="534193436">
      <w:bodyDiv w:val="1"/>
      <w:marLeft w:val="0"/>
      <w:marRight w:val="0"/>
      <w:marTop w:val="0"/>
      <w:marBottom w:val="0"/>
      <w:divBdr>
        <w:top w:val="none" w:sz="0" w:space="0" w:color="auto"/>
        <w:left w:val="none" w:sz="0" w:space="0" w:color="auto"/>
        <w:bottom w:val="none" w:sz="0" w:space="0" w:color="auto"/>
        <w:right w:val="none" w:sz="0" w:space="0" w:color="auto"/>
      </w:divBdr>
    </w:div>
    <w:div w:id="545988342">
      <w:bodyDiv w:val="1"/>
      <w:marLeft w:val="0"/>
      <w:marRight w:val="0"/>
      <w:marTop w:val="0"/>
      <w:marBottom w:val="0"/>
      <w:divBdr>
        <w:top w:val="none" w:sz="0" w:space="0" w:color="auto"/>
        <w:left w:val="none" w:sz="0" w:space="0" w:color="auto"/>
        <w:bottom w:val="none" w:sz="0" w:space="0" w:color="auto"/>
        <w:right w:val="none" w:sz="0" w:space="0" w:color="auto"/>
      </w:divBdr>
    </w:div>
    <w:div w:id="570123073">
      <w:bodyDiv w:val="1"/>
      <w:marLeft w:val="0"/>
      <w:marRight w:val="0"/>
      <w:marTop w:val="0"/>
      <w:marBottom w:val="0"/>
      <w:divBdr>
        <w:top w:val="none" w:sz="0" w:space="0" w:color="auto"/>
        <w:left w:val="none" w:sz="0" w:space="0" w:color="auto"/>
        <w:bottom w:val="none" w:sz="0" w:space="0" w:color="auto"/>
        <w:right w:val="none" w:sz="0" w:space="0" w:color="auto"/>
      </w:divBdr>
    </w:div>
    <w:div w:id="576979023">
      <w:bodyDiv w:val="1"/>
      <w:marLeft w:val="0"/>
      <w:marRight w:val="0"/>
      <w:marTop w:val="0"/>
      <w:marBottom w:val="0"/>
      <w:divBdr>
        <w:top w:val="none" w:sz="0" w:space="0" w:color="auto"/>
        <w:left w:val="none" w:sz="0" w:space="0" w:color="auto"/>
        <w:bottom w:val="none" w:sz="0" w:space="0" w:color="auto"/>
        <w:right w:val="none" w:sz="0" w:space="0" w:color="auto"/>
      </w:divBdr>
    </w:div>
    <w:div w:id="589587436">
      <w:bodyDiv w:val="1"/>
      <w:marLeft w:val="0"/>
      <w:marRight w:val="0"/>
      <w:marTop w:val="0"/>
      <w:marBottom w:val="0"/>
      <w:divBdr>
        <w:top w:val="none" w:sz="0" w:space="0" w:color="auto"/>
        <w:left w:val="none" w:sz="0" w:space="0" w:color="auto"/>
        <w:bottom w:val="none" w:sz="0" w:space="0" w:color="auto"/>
        <w:right w:val="none" w:sz="0" w:space="0" w:color="auto"/>
      </w:divBdr>
    </w:div>
    <w:div w:id="622271476">
      <w:bodyDiv w:val="1"/>
      <w:marLeft w:val="0"/>
      <w:marRight w:val="0"/>
      <w:marTop w:val="0"/>
      <w:marBottom w:val="0"/>
      <w:divBdr>
        <w:top w:val="none" w:sz="0" w:space="0" w:color="auto"/>
        <w:left w:val="none" w:sz="0" w:space="0" w:color="auto"/>
        <w:bottom w:val="none" w:sz="0" w:space="0" w:color="auto"/>
        <w:right w:val="none" w:sz="0" w:space="0" w:color="auto"/>
      </w:divBdr>
    </w:div>
    <w:div w:id="627784782">
      <w:bodyDiv w:val="1"/>
      <w:marLeft w:val="0"/>
      <w:marRight w:val="0"/>
      <w:marTop w:val="0"/>
      <w:marBottom w:val="0"/>
      <w:divBdr>
        <w:top w:val="none" w:sz="0" w:space="0" w:color="auto"/>
        <w:left w:val="none" w:sz="0" w:space="0" w:color="auto"/>
        <w:bottom w:val="none" w:sz="0" w:space="0" w:color="auto"/>
        <w:right w:val="none" w:sz="0" w:space="0" w:color="auto"/>
      </w:divBdr>
    </w:div>
    <w:div w:id="632516988">
      <w:bodyDiv w:val="1"/>
      <w:marLeft w:val="0"/>
      <w:marRight w:val="0"/>
      <w:marTop w:val="0"/>
      <w:marBottom w:val="0"/>
      <w:divBdr>
        <w:top w:val="none" w:sz="0" w:space="0" w:color="auto"/>
        <w:left w:val="none" w:sz="0" w:space="0" w:color="auto"/>
        <w:bottom w:val="none" w:sz="0" w:space="0" w:color="auto"/>
        <w:right w:val="none" w:sz="0" w:space="0" w:color="auto"/>
      </w:divBdr>
    </w:div>
    <w:div w:id="638920246">
      <w:bodyDiv w:val="1"/>
      <w:marLeft w:val="0"/>
      <w:marRight w:val="0"/>
      <w:marTop w:val="0"/>
      <w:marBottom w:val="0"/>
      <w:divBdr>
        <w:top w:val="none" w:sz="0" w:space="0" w:color="auto"/>
        <w:left w:val="none" w:sz="0" w:space="0" w:color="auto"/>
        <w:bottom w:val="none" w:sz="0" w:space="0" w:color="auto"/>
        <w:right w:val="none" w:sz="0" w:space="0" w:color="auto"/>
      </w:divBdr>
    </w:div>
    <w:div w:id="643780381">
      <w:bodyDiv w:val="1"/>
      <w:marLeft w:val="0"/>
      <w:marRight w:val="0"/>
      <w:marTop w:val="0"/>
      <w:marBottom w:val="0"/>
      <w:divBdr>
        <w:top w:val="none" w:sz="0" w:space="0" w:color="auto"/>
        <w:left w:val="none" w:sz="0" w:space="0" w:color="auto"/>
        <w:bottom w:val="none" w:sz="0" w:space="0" w:color="auto"/>
        <w:right w:val="none" w:sz="0" w:space="0" w:color="auto"/>
      </w:divBdr>
    </w:div>
    <w:div w:id="648286900">
      <w:bodyDiv w:val="1"/>
      <w:marLeft w:val="0"/>
      <w:marRight w:val="0"/>
      <w:marTop w:val="0"/>
      <w:marBottom w:val="0"/>
      <w:divBdr>
        <w:top w:val="none" w:sz="0" w:space="0" w:color="auto"/>
        <w:left w:val="none" w:sz="0" w:space="0" w:color="auto"/>
        <w:bottom w:val="none" w:sz="0" w:space="0" w:color="auto"/>
        <w:right w:val="none" w:sz="0" w:space="0" w:color="auto"/>
      </w:divBdr>
    </w:div>
    <w:div w:id="656612547">
      <w:bodyDiv w:val="1"/>
      <w:marLeft w:val="0"/>
      <w:marRight w:val="0"/>
      <w:marTop w:val="0"/>
      <w:marBottom w:val="0"/>
      <w:divBdr>
        <w:top w:val="none" w:sz="0" w:space="0" w:color="auto"/>
        <w:left w:val="none" w:sz="0" w:space="0" w:color="auto"/>
        <w:bottom w:val="none" w:sz="0" w:space="0" w:color="auto"/>
        <w:right w:val="none" w:sz="0" w:space="0" w:color="auto"/>
      </w:divBdr>
    </w:div>
    <w:div w:id="670908222">
      <w:bodyDiv w:val="1"/>
      <w:marLeft w:val="0"/>
      <w:marRight w:val="0"/>
      <w:marTop w:val="0"/>
      <w:marBottom w:val="0"/>
      <w:divBdr>
        <w:top w:val="none" w:sz="0" w:space="0" w:color="auto"/>
        <w:left w:val="none" w:sz="0" w:space="0" w:color="auto"/>
        <w:bottom w:val="none" w:sz="0" w:space="0" w:color="auto"/>
        <w:right w:val="none" w:sz="0" w:space="0" w:color="auto"/>
      </w:divBdr>
    </w:div>
    <w:div w:id="677660828">
      <w:bodyDiv w:val="1"/>
      <w:marLeft w:val="0"/>
      <w:marRight w:val="0"/>
      <w:marTop w:val="0"/>
      <w:marBottom w:val="0"/>
      <w:divBdr>
        <w:top w:val="none" w:sz="0" w:space="0" w:color="auto"/>
        <w:left w:val="none" w:sz="0" w:space="0" w:color="auto"/>
        <w:bottom w:val="none" w:sz="0" w:space="0" w:color="auto"/>
        <w:right w:val="none" w:sz="0" w:space="0" w:color="auto"/>
      </w:divBdr>
    </w:div>
    <w:div w:id="702369761">
      <w:bodyDiv w:val="1"/>
      <w:marLeft w:val="0"/>
      <w:marRight w:val="0"/>
      <w:marTop w:val="0"/>
      <w:marBottom w:val="0"/>
      <w:divBdr>
        <w:top w:val="none" w:sz="0" w:space="0" w:color="auto"/>
        <w:left w:val="none" w:sz="0" w:space="0" w:color="auto"/>
        <w:bottom w:val="none" w:sz="0" w:space="0" w:color="auto"/>
        <w:right w:val="none" w:sz="0" w:space="0" w:color="auto"/>
      </w:divBdr>
    </w:div>
    <w:div w:id="704907320">
      <w:bodyDiv w:val="1"/>
      <w:marLeft w:val="0"/>
      <w:marRight w:val="0"/>
      <w:marTop w:val="0"/>
      <w:marBottom w:val="0"/>
      <w:divBdr>
        <w:top w:val="none" w:sz="0" w:space="0" w:color="auto"/>
        <w:left w:val="none" w:sz="0" w:space="0" w:color="auto"/>
        <w:bottom w:val="none" w:sz="0" w:space="0" w:color="auto"/>
        <w:right w:val="none" w:sz="0" w:space="0" w:color="auto"/>
      </w:divBdr>
    </w:div>
    <w:div w:id="729577757">
      <w:bodyDiv w:val="1"/>
      <w:marLeft w:val="0"/>
      <w:marRight w:val="0"/>
      <w:marTop w:val="0"/>
      <w:marBottom w:val="0"/>
      <w:divBdr>
        <w:top w:val="none" w:sz="0" w:space="0" w:color="auto"/>
        <w:left w:val="none" w:sz="0" w:space="0" w:color="auto"/>
        <w:bottom w:val="none" w:sz="0" w:space="0" w:color="auto"/>
        <w:right w:val="none" w:sz="0" w:space="0" w:color="auto"/>
      </w:divBdr>
    </w:div>
    <w:div w:id="742412961">
      <w:bodyDiv w:val="1"/>
      <w:marLeft w:val="0"/>
      <w:marRight w:val="0"/>
      <w:marTop w:val="0"/>
      <w:marBottom w:val="0"/>
      <w:divBdr>
        <w:top w:val="none" w:sz="0" w:space="0" w:color="auto"/>
        <w:left w:val="none" w:sz="0" w:space="0" w:color="auto"/>
        <w:bottom w:val="none" w:sz="0" w:space="0" w:color="auto"/>
        <w:right w:val="none" w:sz="0" w:space="0" w:color="auto"/>
      </w:divBdr>
    </w:div>
    <w:div w:id="756482774">
      <w:bodyDiv w:val="1"/>
      <w:marLeft w:val="0"/>
      <w:marRight w:val="0"/>
      <w:marTop w:val="0"/>
      <w:marBottom w:val="0"/>
      <w:divBdr>
        <w:top w:val="none" w:sz="0" w:space="0" w:color="auto"/>
        <w:left w:val="none" w:sz="0" w:space="0" w:color="auto"/>
        <w:bottom w:val="none" w:sz="0" w:space="0" w:color="auto"/>
        <w:right w:val="none" w:sz="0" w:space="0" w:color="auto"/>
      </w:divBdr>
    </w:div>
    <w:div w:id="766122983">
      <w:bodyDiv w:val="1"/>
      <w:marLeft w:val="0"/>
      <w:marRight w:val="0"/>
      <w:marTop w:val="0"/>
      <w:marBottom w:val="0"/>
      <w:divBdr>
        <w:top w:val="none" w:sz="0" w:space="0" w:color="auto"/>
        <w:left w:val="none" w:sz="0" w:space="0" w:color="auto"/>
        <w:bottom w:val="none" w:sz="0" w:space="0" w:color="auto"/>
        <w:right w:val="none" w:sz="0" w:space="0" w:color="auto"/>
      </w:divBdr>
    </w:div>
    <w:div w:id="770203712">
      <w:bodyDiv w:val="1"/>
      <w:marLeft w:val="0"/>
      <w:marRight w:val="0"/>
      <w:marTop w:val="0"/>
      <w:marBottom w:val="0"/>
      <w:divBdr>
        <w:top w:val="none" w:sz="0" w:space="0" w:color="auto"/>
        <w:left w:val="none" w:sz="0" w:space="0" w:color="auto"/>
        <w:bottom w:val="none" w:sz="0" w:space="0" w:color="auto"/>
        <w:right w:val="none" w:sz="0" w:space="0" w:color="auto"/>
      </w:divBdr>
    </w:div>
    <w:div w:id="778599910">
      <w:bodyDiv w:val="1"/>
      <w:marLeft w:val="0"/>
      <w:marRight w:val="0"/>
      <w:marTop w:val="0"/>
      <w:marBottom w:val="0"/>
      <w:divBdr>
        <w:top w:val="none" w:sz="0" w:space="0" w:color="auto"/>
        <w:left w:val="none" w:sz="0" w:space="0" w:color="auto"/>
        <w:bottom w:val="none" w:sz="0" w:space="0" w:color="auto"/>
        <w:right w:val="none" w:sz="0" w:space="0" w:color="auto"/>
      </w:divBdr>
    </w:div>
    <w:div w:id="784618397">
      <w:bodyDiv w:val="1"/>
      <w:marLeft w:val="0"/>
      <w:marRight w:val="0"/>
      <w:marTop w:val="0"/>
      <w:marBottom w:val="0"/>
      <w:divBdr>
        <w:top w:val="none" w:sz="0" w:space="0" w:color="auto"/>
        <w:left w:val="none" w:sz="0" w:space="0" w:color="auto"/>
        <w:bottom w:val="none" w:sz="0" w:space="0" w:color="auto"/>
        <w:right w:val="none" w:sz="0" w:space="0" w:color="auto"/>
      </w:divBdr>
    </w:div>
    <w:div w:id="797911747">
      <w:bodyDiv w:val="1"/>
      <w:marLeft w:val="0"/>
      <w:marRight w:val="0"/>
      <w:marTop w:val="0"/>
      <w:marBottom w:val="0"/>
      <w:divBdr>
        <w:top w:val="none" w:sz="0" w:space="0" w:color="auto"/>
        <w:left w:val="none" w:sz="0" w:space="0" w:color="auto"/>
        <w:bottom w:val="none" w:sz="0" w:space="0" w:color="auto"/>
        <w:right w:val="none" w:sz="0" w:space="0" w:color="auto"/>
      </w:divBdr>
      <w:divsChild>
        <w:div w:id="211040548">
          <w:marLeft w:val="0"/>
          <w:marRight w:val="0"/>
          <w:marTop w:val="0"/>
          <w:marBottom w:val="0"/>
          <w:divBdr>
            <w:top w:val="none" w:sz="0" w:space="0" w:color="auto"/>
            <w:left w:val="none" w:sz="0" w:space="0" w:color="auto"/>
            <w:bottom w:val="none" w:sz="0" w:space="0" w:color="auto"/>
            <w:right w:val="none" w:sz="0" w:space="0" w:color="auto"/>
          </w:divBdr>
          <w:divsChild>
            <w:div w:id="4409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749535">
      <w:bodyDiv w:val="1"/>
      <w:marLeft w:val="0"/>
      <w:marRight w:val="0"/>
      <w:marTop w:val="0"/>
      <w:marBottom w:val="0"/>
      <w:divBdr>
        <w:top w:val="none" w:sz="0" w:space="0" w:color="auto"/>
        <w:left w:val="none" w:sz="0" w:space="0" w:color="auto"/>
        <w:bottom w:val="none" w:sz="0" w:space="0" w:color="auto"/>
        <w:right w:val="none" w:sz="0" w:space="0" w:color="auto"/>
      </w:divBdr>
    </w:div>
    <w:div w:id="862864587">
      <w:bodyDiv w:val="1"/>
      <w:marLeft w:val="0"/>
      <w:marRight w:val="0"/>
      <w:marTop w:val="0"/>
      <w:marBottom w:val="0"/>
      <w:divBdr>
        <w:top w:val="none" w:sz="0" w:space="0" w:color="auto"/>
        <w:left w:val="none" w:sz="0" w:space="0" w:color="auto"/>
        <w:bottom w:val="none" w:sz="0" w:space="0" w:color="auto"/>
        <w:right w:val="none" w:sz="0" w:space="0" w:color="auto"/>
      </w:divBdr>
    </w:div>
    <w:div w:id="880822671">
      <w:bodyDiv w:val="1"/>
      <w:marLeft w:val="0"/>
      <w:marRight w:val="0"/>
      <w:marTop w:val="0"/>
      <w:marBottom w:val="0"/>
      <w:divBdr>
        <w:top w:val="none" w:sz="0" w:space="0" w:color="auto"/>
        <w:left w:val="none" w:sz="0" w:space="0" w:color="auto"/>
        <w:bottom w:val="none" w:sz="0" w:space="0" w:color="auto"/>
        <w:right w:val="none" w:sz="0" w:space="0" w:color="auto"/>
      </w:divBdr>
    </w:div>
    <w:div w:id="884025272">
      <w:bodyDiv w:val="1"/>
      <w:marLeft w:val="0"/>
      <w:marRight w:val="0"/>
      <w:marTop w:val="0"/>
      <w:marBottom w:val="0"/>
      <w:divBdr>
        <w:top w:val="none" w:sz="0" w:space="0" w:color="auto"/>
        <w:left w:val="none" w:sz="0" w:space="0" w:color="auto"/>
        <w:bottom w:val="none" w:sz="0" w:space="0" w:color="auto"/>
        <w:right w:val="none" w:sz="0" w:space="0" w:color="auto"/>
      </w:divBdr>
    </w:div>
    <w:div w:id="909735023">
      <w:bodyDiv w:val="1"/>
      <w:marLeft w:val="0"/>
      <w:marRight w:val="0"/>
      <w:marTop w:val="0"/>
      <w:marBottom w:val="0"/>
      <w:divBdr>
        <w:top w:val="none" w:sz="0" w:space="0" w:color="auto"/>
        <w:left w:val="none" w:sz="0" w:space="0" w:color="auto"/>
        <w:bottom w:val="none" w:sz="0" w:space="0" w:color="auto"/>
        <w:right w:val="none" w:sz="0" w:space="0" w:color="auto"/>
      </w:divBdr>
    </w:div>
    <w:div w:id="914054483">
      <w:bodyDiv w:val="1"/>
      <w:marLeft w:val="0"/>
      <w:marRight w:val="0"/>
      <w:marTop w:val="0"/>
      <w:marBottom w:val="0"/>
      <w:divBdr>
        <w:top w:val="none" w:sz="0" w:space="0" w:color="auto"/>
        <w:left w:val="none" w:sz="0" w:space="0" w:color="auto"/>
        <w:bottom w:val="none" w:sz="0" w:space="0" w:color="auto"/>
        <w:right w:val="none" w:sz="0" w:space="0" w:color="auto"/>
      </w:divBdr>
    </w:div>
    <w:div w:id="931359118">
      <w:bodyDiv w:val="1"/>
      <w:marLeft w:val="0"/>
      <w:marRight w:val="0"/>
      <w:marTop w:val="0"/>
      <w:marBottom w:val="0"/>
      <w:divBdr>
        <w:top w:val="none" w:sz="0" w:space="0" w:color="auto"/>
        <w:left w:val="none" w:sz="0" w:space="0" w:color="auto"/>
        <w:bottom w:val="none" w:sz="0" w:space="0" w:color="auto"/>
        <w:right w:val="none" w:sz="0" w:space="0" w:color="auto"/>
      </w:divBdr>
    </w:div>
    <w:div w:id="935988978">
      <w:bodyDiv w:val="1"/>
      <w:marLeft w:val="0"/>
      <w:marRight w:val="0"/>
      <w:marTop w:val="0"/>
      <w:marBottom w:val="0"/>
      <w:divBdr>
        <w:top w:val="none" w:sz="0" w:space="0" w:color="auto"/>
        <w:left w:val="none" w:sz="0" w:space="0" w:color="auto"/>
        <w:bottom w:val="none" w:sz="0" w:space="0" w:color="auto"/>
        <w:right w:val="none" w:sz="0" w:space="0" w:color="auto"/>
      </w:divBdr>
    </w:div>
    <w:div w:id="949358109">
      <w:bodyDiv w:val="1"/>
      <w:marLeft w:val="0"/>
      <w:marRight w:val="0"/>
      <w:marTop w:val="0"/>
      <w:marBottom w:val="0"/>
      <w:divBdr>
        <w:top w:val="none" w:sz="0" w:space="0" w:color="auto"/>
        <w:left w:val="none" w:sz="0" w:space="0" w:color="auto"/>
        <w:bottom w:val="none" w:sz="0" w:space="0" w:color="auto"/>
        <w:right w:val="none" w:sz="0" w:space="0" w:color="auto"/>
      </w:divBdr>
    </w:div>
    <w:div w:id="951011705">
      <w:bodyDiv w:val="1"/>
      <w:marLeft w:val="0"/>
      <w:marRight w:val="0"/>
      <w:marTop w:val="0"/>
      <w:marBottom w:val="0"/>
      <w:divBdr>
        <w:top w:val="none" w:sz="0" w:space="0" w:color="auto"/>
        <w:left w:val="none" w:sz="0" w:space="0" w:color="auto"/>
        <w:bottom w:val="none" w:sz="0" w:space="0" w:color="auto"/>
        <w:right w:val="none" w:sz="0" w:space="0" w:color="auto"/>
      </w:divBdr>
    </w:div>
    <w:div w:id="970014459">
      <w:bodyDiv w:val="1"/>
      <w:marLeft w:val="0"/>
      <w:marRight w:val="0"/>
      <w:marTop w:val="0"/>
      <w:marBottom w:val="0"/>
      <w:divBdr>
        <w:top w:val="none" w:sz="0" w:space="0" w:color="auto"/>
        <w:left w:val="none" w:sz="0" w:space="0" w:color="auto"/>
        <w:bottom w:val="none" w:sz="0" w:space="0" w:color="auto"/>
        <w:right w:val="none" w:sz="0" w:space="0" w:color="auto"/>
      </w:divBdr>
    </w:div>
    <w:div w:id="986710219">
      <w:bodyDiv w:val="1"/>
      <w:marLeft w:val="0"/>
      <w:marRight w:val="0"/>
      <w:marTop w:val="0"/>
      <w:marBottom w:val="0"/>
      <w:divBdr>
        <w:top w:val="none" w:sz="0" w:space="0" w:color="auto"/>
        <w:left w:val="none" w:sz="0" w:space="0" w:color="auto"/>
        <w:bottom w:val="none" w:sz="0" w:space="0" w:color="auto"/>
        <w:right w:val="none" w:sz="0" w:space="0" w:color="auto"/>
      </w:divBdr>
    </w:div>
    <w:div w:id="994844866">
      <w:bodyDiv w:val="1"/>
      <w:marLeft w:val="0"/>
      <w:marRight w:val="0"/>
      <w:marTop w:val="0"/>
      <w:marBottom w:val="0"/>
      <w:divBdr>
        <w:top w:val="none" w:sz="0" w:space="0" w:color="auto"/>
        <w:left w:val="none" w:sz="0" w:space="0" w:color="auto"/>
        <w:bottom w:val="none" w:sz="0" w:space="0" w:color="auto"/>
        <w:right w:val="none" w:sz="0" w:space="0" w:color="auto"/>
      </w:divBdr>
    </w:div>
    <w:div w:id="1022629067">
      <w:bodyDiv w:val="1"/>
      <w:marLeft w:val="0"/>
      <w:marRight w:val="0"/>
      <w:marTop w:val="0"/>
      <w:marBottom w:val="0"/>
      <w:divBdr>
        <w:top w:val="none" w:sz="0" w:space="0" w:color="auto"/>
        <w:left w:val="none" w:sz="0" w:space="0" w:color="auto"/>
        <w:bottom w:val="none" w:sz="0" w:space="0" w:color="auto"/>
        <w:right w:val="none" w:sz="0" w:space="0" w:color="auto"/>
      </w:divBdr>
    </w:div>
    <w:div w:id="1025060426">
      <w:bodyDiv w:val="1"/>
      <w:marLeft w:val="0"/>
      <w:marRight w:val="0"/>
      <w:marTop w:val="0"/>
      <w:marBottom w:val="0"/>
      <w:divBdr>
        <w:top w:val="none" w:sz="0" w:space="0" w:color="auto"/>
        <w:left w:val="none" w:sz="0" w:space="0" w:color="auto"/>
        <w:bottom w:val="none" w:sz="0" w:space="0" w:color="auto"/>
        <w:right w:val="none" w:sz="0" w:space="0" w:color="auto"/>
      </w:divBdr>
    </w:div>
    <w:div w:id="1026827061">
      <w:bodyDiv w:val="1"/>
      <w:marLeft w:val="0"/>
      <w:marRight w:val="0"/>
      <w:marTop w:val="0"/>
      <w:marBottom w:val="0"/>
      <w:divBdr>
        <w:top w:val="none" w:sz="0" w:space="0" w:color="auto"/>
        <w:left w:val="none" w:sz="0" w:space="0" w:color="auto"/>
        <w:bottom w:val="none" w:sz="0" w:space="0" w:color="auto"/>
        <w:right w:val="none" w:sz="0" w:space="0" w:color="auto"/>
      </w:divBdr>
    </w:div>
    <w:div w:id="1060984283">
      <w:bodyDiv w:val="1"/>
      <w:marLeft w:val="0"/>
      <w:marRight w:val="0"/>
      <w:marTop w:val="0"/>
      <w:marBottom w:val="0"/>
      <w:divBdr>
        <w:top w:val="none" w:sz="0" w:space="0" w:color="auto"/>
        <w:left w:val="none" w:sz="0" w:space="0" w:color="auto"/>
        <w:bottom w:val="none" w:sz="0" w:space="0" w:color="auto"/>
        <w:right w:val="none" w:sz="0" w:space="0" w:color="auto"/>
      </w:divBdr>
    </w:div>
    <w:div w:id="1082603998">
      <w:bodyDiv w:val="1"/>
      <w:marLeft w:val="0"/>
      <w:marRight w:val="0"/>
      <w:marTop w:val="0"/>
      <w:marBottom w:val="0"/>
      <w:divBdr>
        <w:top w:val="none" w:sz="0" w:space="0" w:color="auto"/>
        <w:left w:val="none" w:sz="0" w:space="0" w:color="auto"/>
        <w:bottom w:val="none" w:sz="0" w:space="0" w:color="auto"/>
        <w:right w:val="none" w:sz="0" w:space="0" w:color="auto"/>
      </w:divBdr>
    </w:div>
    <w:div w:id="1097023247">
      <w:bodyDiv w:val="1"/>
      <w:marLeft w:val="0"/>
      <w:marRight w:val="0"/>
      <w:marTop w:val="0"/>
      <w:marBottom w:val="0"/>
      <w:divBdr>
        <w:top w:val="none" w:sz="0" w:space="0" w:color="auto"/>
        <w:left w:val="none" w:sz="0" w:space="0" w:color="auto"/>
        <w:bottom w:val="none" w:sz="0" w:space="0" w:color="auto"/>
        <w:right w:val="none" w:sz="0" w:space="0" w:color="auto"/>
      </w:divBdr>
    </w:div>
    <w:div w:id="1104113678">
      <w:bodyDiv w:val="1"/>
      <w:marLeft w:val="0"/>
      <w:marRight w:val="0"/>
      <w:marTop w:val="0"/>
      <w:marBottom w:val="0"/>
      <w:divBdr>
        <w:top w:val="none" w:sz="0" w:space="0" w:color="auto"/>
        <w:left w:val="none" w:sz="0" w:space="0" w:color="auto"/>
        <w:bottom w:val="none" w:sz="0" w:space="0" w:color="auto"/>
        <w:right w:val="none" w:sz="0" w:space="0" w:color="auto"/>
      </w:divBdr>
    </w:div>
    <w:div w:id="1109812726">
      <w:bodyDiv w:val="1"/>
      <w:marLeft w:val="0"/>
      <w:marRight w:val="0"/>
      <w:marTop w:val="0"/>
      <w:marBottom w:val="0"/>
      <w:divBdr>
        <w:top w:val="none" w:sz="0" w:space="0" w:color="auto"/>
        <w:left w:val="none" w:sz="0" w:space="0" w:color="auto"/>
        <w:bottom w:val="none" w:sz="0" w:space="0" w:color="auto"/>
        <w:right w:val="none" w:sz="0" w:space="0" w:color="auto"/>
      </w:divBdr>
    </w:div>
    <w:div w:id="1112817809">
      <w:bodyDiv w:val="1"/>
      <w:marLeft w:val="0"/>
      <w:marRight w:val="0"/>
      <w:marTop w:val="0"/>
      <w:marBottom w:val="0"/>
      <w:divBdr>
        <w:top w:val="none" w:sz="0" w:space="0" w:color="auto"/>
        <w:left w:val="none" w:sz="0" w:space="0" w:color="auto"/>
        <w:bottom w:val="none" w:sz="0" w:space="0" w:color="auto"/>
        <w:right w:val="none" w:sz="0" w:space="0" w:color="auto"/>
      </w:divBdr>
    </w:div>
    <w:div w:id="1114442070">
      <w:bodyDiv w:val="1"/>
      <w:marLeft w:val="0"/>
      <w:marRight w:val="0"/>
      <w:marTop w:val="0"/>
      <w:marBottom w:val="0"/>
      <w:divBdr>
        <w:top w:val="none" w:sz="0" w:space="0" w:color="auto"/>
        <w:left w:val="none" w:sz="0" w:space="0" w:color="auto"/>
        <w:bottom w:val="none" w:sz="0" w:space="0" w:color="auto"/>
        <w:right w:val="none" w:sz="0" w:space="0" w:color="auto"/>
      </w:divBdr>
    </w:div>
    <w:div w:id="1124691992">
      <w:bodyDiv w:val="1"/>
      <w:marLeft w:val="0"/>
      <w:marRight w:val="0"/>
      <w:marTop w:val="0"/>
      <w:marBottom w:val="0"/>
      <w:divBdr>
        <w:top w:val="none" w:sz="0" w:space="0" w:color="auto"/>
        <w:left w:val="none" w:sz="0" w:space="0" w:color="auto"/>
        <w:bottom w:val="none" w:sz="0" w:space="0" w:color="auto"/>
        <w:right w:val="none" w:sz="0" w:space="0" w:color="auto"/>
      </w:divBdr>
    </w:div>
    <w:div w:id="1128402221">
      <w:bodyDiv w:val="1"/>
      <w:marLeft w:val="0"/>
      <w:marRight w:val="0"/>
      <w:marTop w:val="0"/>
      <w:marBottom w:val="0"/>
      <w:divBdr>
        <w:top w:val="none" w:sz="0" w:space="0" w:color="auto"/>
        <w:left w:val="none" w:sz="0" w:space="0" w:color="auto"/>
        <w:bottom w:val="none" w:sz="0" w:space="0" w:color="auto"/>
        <w:right w:val="none" w:sz="0" w:space="0" w:color="auto"/>
      </w:divBdr>
    </w:div>
    <w:div w:id="1129711614">
      <w:bodyDiv w:val="1"/>
      <w:marLeft w:val="0"/>
      <w:marRight w:val="0"/>
      <w:marTop w:val="0"/>
      <w:marBottom w:val="0"/>
      <w:divBdr>
        <w:top w:val="none" w:sz="0" w:space="0" w:color="auto"/>
        <w:left w:val="none" w:sz="0" w:space="0" w:color="auto"/>
        <w:bottom w:val="none" w:sz="0" w:space="0" w:color="auto"/>
        <w:right w:val="none" w:sz="0" w:space="0" w:color="auto"/>
      </w:divBdr>
    </w:div>
    <w:div w:id="1133981531">
      <w:bodyDiv w:val="1"/>
      <w:marLeft w:val="0"/>
      <w:marRight w:val="0"/>
      <w:marTop w:val="0"/>
      <w:marBottom w:val="0"/>
      <w:divBdr>
        <w:top w:val="none" w:sz="0" w:space="0" w:color="auto"/>
        <w:left w:val="none" w:sz="0" w:space="0" w:color="auto"/>
        <w:bottom w:val="none" w:sz="0" w:space="0" w:color="auto"/>
        <w:right w:val="none" w:sz="0" w:space="0" w:color="auto"/>
      </w:divBdr>
    </w:div>
    <w:div w:id="1134718356">
      <w:bodyDiv w:val="1"/>
      <w:marLeft w:val="0"/>
      <w:marRight w:val="0"/>
      <w:marTop w:val="0"/>
      <w:marBottom w:val="0"/>
      <w:divBdr>
        <w:top w:val="none" w:sz="0" w:space="0" w:color="auto"/>
        <w:left w:val="none" w:sz="0" w:space="0" w:color="auto"/>
        <w:bottom w:val="none" w:sz="0" w:space="0" w:color="auto"/>
        <w:right w:val="none" w:sz="0" w:space="0" w:color="auto"/>
      </w:divBdr>
    </w:div>
    <w:div w:id="1165828728">
      <w:bodyDiv w:val="1"/>
      <w:marLeft w:val="0"/>
      <w:marRight w:val="0"/>
      <w:marTop w:val="0"/>
      <w:marBottom w:val="0"/>
      <w:divBdr>
        <w:top w:val="none" w:sz="0" w:space="0" w:color="auto"/>
        <w:left w:val="none" w:sz="0" w:space="0" w:color="auto"/>
        <w:bottom w:val="none" w:sz="0" w:space="0" w:color="auto"/>
        <w:right w:val="none" w:sz="0" w:space="0" w:color="auto"/>
      </w:divBdr>
    </w:div>
    <w:div w:id="1225919815">
      <w:bodyDiv w:val="1"/>
      <w:marLeft w:val="0"/>
      <w:marRight w:val="0"/>
      <w:marTop w:val="0"/>
      <w:marBottom w:val="0"/>
      <w:divBdr>
        <w:top w:val="none" w:sz="0" w:space="0" w:color="auto"/>
        <w:left w:val="none" w:sz="0" w:space="0" w:color="auto"/>
        <w:bottom w:val="none" w:sz="0" w:space="0" w:color="auto"/>
        <w:right w:val="none" w:sz="0" w:space="0" w:color="auto"/>
      </w:divBdr>
    </w:div>
    <w:div w:id="1226528073">
      <w:bodyDiv w:val="1"/>
      <w:marLeft w:val="0"/>
      <w:marRight w:val="0"/>
      <w:marTop w:val="0"/>
      <w:marBottom w:val="0"/>
      <w:divBdr>
        <w:top w:val="none" w:sz="0" w:space="0" w:color="auto"/>
        <w:left w:val="none" w:sz="0" w:space="0" w:color="auto"/>
        <w:bottom w:val="none" w:sz="0" w:space="0" w:color="auto"/>
        <w:right w:val="none" w:sz="0" w:space="0" w:color="auto"/>
      </w:divBdr>
    </w:div>
    <w:div w:id="1227452135">
      <w:bodyDiv w:val="1"/>
      <w:marLeft w:val="0"/>
      <w:marRight w:val="0"/>
      <w:marTop w:val="0"/>
      <w:marBottom w:val="0"/>
      <w:divBdr>
        <w:top w:val="none" w:sz="0" w:space="0" w:color="auto"/>
        <w:left w:val="none" w:sz="0" w:space="0" w:color="auto"/>
        <w:bottom w:val="none" w:sz="0" w:space="0" w:color="auto"/>
        <w:right w:val="none" w:sz="0" w:space="0" w:color="auto"/>
      </w:divBdr>
    </w:div>
    <w:div w:id="1254626260">
      <w:bodyDiv w:val="1"/>
      <w:marLeft w:val="0"/>
      <w:marRight w:val="0"/>
      <w:marTop w:val="0"/>
      <w:marBottom w:val="0"/>
      <w:divBdr>
        <w:top w:val="none" w:sz="0" w:space="0" w:color="auto"/>
        <w:left w:val="none" w:sz="0" w:space="0" w:color="auto"/>
        <w:bottom w:val="none" w:sz="0" w:space="0" w:color="auto"/>
        <w:right w:val="none" w:sz="0" w:space="0" w:color="auto"/>
      </w:divBdr>
    </w:div>
    <w:div w:id="1257057312">
      <w:bodyDiv w:val="1"/>
      <w:marLeft w:val="0"/>
      <w:marRight w:val="0"/>
      <w:marTop w:val="0"/>
      <w:marBottom w:val="0"/>
      <w:divBdr>
        <w:top w:val="none" w:sz="0" w:space="0" w:color="auto"/>
        <w:left w:val="none" w:sz="0" w:space="0" w:color="auto"/>
        <w:bottom w:val="none" w:sz="0" w:space="0" w:color="auto"/>
        <w:right w:val="none" w:sz="0" w:space="0" w:color="auto"/>
      </w:divBdr>
    </w:div>
    <w:div w:id="1259027221">
      <w:bodyDiv w:val="1"/>
      <w:marLeft w:val="0"/>
      <w:marRight w:val="0"/>
      <w:marTop w:val="0"/>
      <w:marBottom w:val="0"/>
      <w:divBdr>
        <w:top w:val="none" w:sz="0" w:space="0" w:color="auto"/>
        <w:left w:val="none" w:sz="0" w:space="0" w:color="auto"/>
        <w:bottom w:val="none" w:sz="0" w:space="0" w:color="auto"/>
        <w:right w:val="none" w:sz="0" w:space="0" w:color="auto"/>
      </w:divBdr>
    </w:div>
    <w:div w:id="1260020941">
      <w:bodyDiv w:val="1"/>
      <w:marLeft w:val="0"/>
      <w:marRight w:val="0"/>
      <w:marTop w:val="0"/>
      <w:marBottom w:val="0"/>
      <w:divBdr>
        <w:top w:val="none" w:sz="0" w:space="0" w:color="auto"/>
        <w:left w:val="none" w:sz="0" w:space="0" w:color="auto"/>
        <w:bottom w:val="none" w:sz="0" w:space="0" w:color="auto"/>
        <w:right w:val="none" w:sz="0" w:space="0" w:color="auto"/>
      </w:divBdr>
    </w:div>
    <w:div w:id="1260600200">
      <w:bodyDiv w:val="1"/>
      <w:marLeft w:val="0"/>
      <w:marRight w:val="0"/>
      <w:marTop w:val="0"/>
      <w:marBottom w:val="0"/>
      <w:divBdr>
        <w:top w:val="none" w:sz="0" w:space="0" w:color="auto"/>
        <w:left w:val="none" w:sz="0" w:space="0" w:color="auto"/>
        <w:bottom w:val="none" w:sz="0" w:space="0" w:color="auto"/>
        <w:right w:val="none" w:sz="0" w:space="0" w:color="auto"/>
      </w:divBdr>
    </w:div>
    <w:div w:id="1268125521">
      <w:bodyDiv w:val="1"/>
      <w:marLeft w:val="0"/>
      <w:marRight w:val="0"/>
      <w:marTop w:val="0"/>
      <w:marBottom w:val="0"/>
      <w:divBdr>
        <w:top w:val="none" w:sz="0" w:space="0" w:color="auto"/>
        <w:left w:val="none" w:sz="0" w:space="0" w:color="auto"/>
        <w:bottom w:val="none" w:sz="0" w:space="0" w:color="auto"/>
        <w:right w:val="none" w:sz="0" w:space="0" w:color="auto"/>
      </w:divBdr>
    </w:div>
    <w:div w:id="1269509261">
      <w:bodyDiv w:val="1"/>
      <w:marLeft w:val="0"/>
      <w:marRight w:val="0"/>
      <w:marTop w:val="0"/>
      <w:marBottom w:val="0"/>
      <w:divBdr>
        <w:top w:val="none" w:sz="0" w:space="0" w:color="auto"/>
        <w:left w:val="none" w:sz="0" w:space="0" w:color="auto"/>
        <w:bottom w:val="none" w:sz="0" w:space="0" w:color="auto"/>
        <w:right w:val="none" w:sz="0" w:space="0" w:color="auto"/>
      </w:divBdr>
    </w:div>
    <w:div w:id="1278097569">
      <w:bodyDiv w:val="1"/>
      <w:marLeft w:val="0"/>
      <w:marRight w:val="0"/>
      <w:marTop w:val="0"/>
      <w:marBottom w:val="0"/>
      <w:divBdr>
        <w:top w:val="none" w:sz="0" w:space="0" w:color="auto"/>
        <w:left w:val="none" w:sz="0" w:space="0" w:color="auto"/>
        <w:bottom w:val="none" w:sz="0" w:space="0" w:color="auto"/>
        <w:right w:val="none" w:sz="0" w:space="0" w:color="auto"/>
      </w:divBdr>
    </w:div>
    <w:div w:id="1287158404">
      <w:bodyDiv w:val="1"/>
      <w:marLeft w:val="0"/>
      <w:marRight w:val="0"/>
      <w:marTop w:val="0"/>
      <w:marBottom w:val="0"/>
      <w:divBdr>
        <w:top w:val="none" w:sz="0" w:space="0" w:color="auto"/>
        <w:left w:val="none" w:sz="0" w:space="0" w:color="auto"/>
        <w:bottom w:val="none" w:sz="0" w:space="0" w:color="auto"/>
        <w:right w:val="none" w:sz="0" w:space="0" w:color="auto"/>
      </w:divBdr>
    </w:div>
    <w:div w:id="1303776670">
      <w:bodyDiv w:val="1"/>
      <w:marLeft w:val="0"/>
      <w:marRight w:val="0"/>
      <w:marTop w:val="0"/>
      <w:marBottom w:val="0"/>
      <w:divBdr>
        <w:top w:val="none" w:sz="0" w:space="0" w:color="auto"/>
        <w:left w:val="none" w:sz="0" w:space="0" w:color="auto"/>
        <w:bottom w:val="none" w:sz="0" w:space="0" w:color="auto"/>
        <w:right w:val="none" w:sz="0" w:space="0" w:color="auto"/>
      </w:divBdr>
    </w:div>
    <w:div w:id="1327131303">
      <w:bodyDiv w:val="1"/>
      <w:marLeft w:val="0"/>
      <w:marRight w:val="0"/>
      <w:marTop w:val="0"/>
      <w:marBottom w:val="0"/>
      <w:divBdr>
        <w:top w:val="none" w:sz="0" w:space="0" w:color="auto"/>
        <w:left w:val="none" w:sz="0" w:space="0" w:color="auto"/>
        <w:bottom w:val="none" w:sz="0" w:space="0" w:color="auto"/>
        <w:right w:val="none" w:sz="0" w:space="0" w:color="auto"/>
      </w:divBdr>
      <w:divsChild>
        <w:div w:id="1250578640">
          <w:marLeft w:val="0"/>
          <w:marRight w:val="0"/>
          <w:marTop w:val="0"/>
          <w:marBottom w:val="0"/>
          <w:divBdr>
            <w:top w:val="none" w:sz="0" w:space="0" w:color="auto"/>
            <w:left w:val="none" w:sz="0" w:space="0" w:color="auto"/>
            <w:bottom w:val="none" w:sz="0" w:space="0" w:color="auto"/>
            <w:right w:val="none" w:sz="0" w:space="0" w:color="auto"/>
          </w:divBdr>
          <w:divsChild>
            <w:div w:id="1006857572">
              <w:marLeft w:val="0"/>
              <w:marRight w:val="0"/>
              <w:marTop w:val="0"/>
              <w:marBottom w:val="0"/>
              <w:divBdr>
                <w:top w:val="none" w:sz="0" w:space="0" w:color="auto"/>
                <w:left w:val="none" w:sz="0" w:space="0" w:color="auto"/>
                <w:bottom w:val="none" w:sz="0" w:space="0" w:color="auto"/>
                <w:right w:val="none" w:sz="0" w:space="0" w:color="auto"/>
              </w:divBdr>
              <w:divsChild>
                <w:div w:id="490409529">
                  <w:marLeft w:val="0"/>
                  <w:marRight w:val="0"/>
                  <w:marTop w:val="225"/>
                  <w:marBottom w:val="0"/>
                  <w:divBdr>
                    <w:top w:val="single" w:sz="6" w:space="0" w:color="F1F1F1"/>
                    <w:left w:val="single" w:sz="6" w:space="0" w:color="F1F1F1"/>
                    <w:bottom w:val="single" w:sz="6" w:space="0" w:color="F1F1F1"/>
                    <w:right w:val="single" w:sz="6" w:space="0" w:color="F1F1F1"/>
                  </w:divBdr>
                  <w:divsChild>
                    <w:div w:id="1540241786">
                      <w:marLeft w:val="0"/>
                      <w:marRight w:val="0"/>
                      <w:marTop w:val="0"/>
                      <w:marBottom w:val="0"/>
                      <w:divBdr>
                        <w:top w:val="none" w:sz="0" w:space="0" w:color="auto"/>
                        <w:left w:val="none" w:sz="0" w:space="0" w:color="auto"/>
                        <w:bottom w:val="none" w:sz="0" w:space="0" w:color="auto"/>
                        <w:right w:val="none" w:sz="0" w:space="0" w:color="auto"/>
                      </w:divBdr>
                      <w:divsChild>
                        <w:div w:id="276256233">
                          <w:marLeft w:val="0"/>
                          <w:marRight w:val="0"/>
                          <w:marTop w:val="0"/>
                          <w:marBottom w:val="0"/>
                          <w:divBdr>
                            <w:top w:val="none" w:sz="0" w:space="0" w:color="auto"/>
                            <w:left w:val="none" w:sz="0" w:space="0" w:color="auto"/>
                            <w:bottom w:val="none" w:sz="0" w:space="0" w:color="auto"/>
                            <w:right w:val="none" w:sz="0" w:space="0" w:color="auto"/>
                          </w:divBdr>
                          <w:divsChild>
                            <w:div w:id="15036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001333">
      <w:bodyDiv w:val="1"/>
      <w:marLeft w:val="0"/>
      <w:marRight w:val="0"/>
      <w:marTop w:val="0"/>
      <w:marBottom w:val="0"/>
      <w:divBdr>
        <w:top w:val="none" w:sz="0" w:space="0" w:color="auto"/>
        <w:left w:val="none" w:sz="0" w:space="0" w:color="auto"/>
        <w:bottom w:val="none" w:sz="0" w:space="0" w:color="auto"/>
        <w:right w:val="none" w:sz="0" w:space="0" w:color="auto"/>
      </w:divBdr>
    </w:div>
    <w:div w:id="1385251625">
      <w:bodyDiv w:val="1"/>
      <w:marLeft w:val="0"/>
      <w:marRight w:val="0"/>
      <w:marTop w:val="0"/>
      <w:marBottom w:val="0"/>
      <w:divBdr>
        <w:top w:val="none" w:sz="0" w:space="0" w:color="auto"/>
        <w:left w:val="none" w:sz="0" w:space="0" w:color="auto"/>
        <w:bottom w:val="none" w:sz="0" w:space="0" w:color="auto"/>
        <w:right w:val="none" w:sz="0" w:space="0" w:color="auto"/>
      </w:divBdr>
    </w:div>
    <w:div w:id="1401171399">
      <w:bodyDiv w:val="1"/>
      <w:marLeft w:val="0"/>
      <w:marRight w:val="0"/>
      <w:marTop w:val="0"/>
      <w:marBottom w:val="0"/>
      <w:divBdr>
        <w:top w:val="none" w:sz="0" w:space="0" w:color="auto"/>
        <w:left w:val="none" w:sz="0" w:space="0" w:color="auto"/>
        <w:bottom w:val="none" w:sz="0" w:space="0" w:color="auto"/>
        <w:right w:val="none" w:sz="0" w:space="0" w:color="auto"/>
      </w:divBdr>
    </w:div>
    <w:div w:id="1451432676">
      <w:bodyDiv w:val="1"/>
      <w:marLeft w:val="0"/>
      <w:marRight w:val="0"/>
      <w:marTop w:val="0"/>
      <w:marBottom w:val="0"/>
      <w:divBdr>
        <w:top w:val="none" w:sz="0" w:space="0" w:color="auto"/>
        <w:left w:val="none" w:sz="0" w:space="0" w:color="auto"/>
        <w:bottom w:val="none" w:sz="0" w:space="0" w:color="auto"/>
        <w:right w:val="none" w:sz="0" w:space="0" w:color="auto"/>
      </w:divBdr>
    </w:div>
    <w:div w:id="1481770764">
      <w:bodyDiv w:val="1"/>
      <w:marLeft w:val="0"/>
      <w:marRight w:val="0"/>
      <w:marTop w:val="0"/>
      <w:marBottom w:val="0"/>
      <w:divBdr>
        <w:top w:val="none" w:sz="0" w:space="0" w:color="auto"/>
        <w:left w:val="none" w:sz="0" w:space="0" w:color="auto"/>
        <w:bottom w:val="none" w:sz="0" w:space="0" w:color="auto"/>
        <w:right w:val="none" w:sz="0" w:space="0" w:color="auto"/>
      </w:divBdr>
    </w:div>
    <w:div w:id="1498031038">
      <w:bodyDiv w:val="1"/>
      <w:marLeft w:val="0"/>
      <w:marRight w:val="0"/>
      <w:marTop w:val="0"/>
      <w:marBottom w:val="0"/>
      <w:divBdr>
        <w:top w:val="none" w:sz="0" w:space="0" w:color="auto"/>
        <w:left w:val="none" w:sz="0" w:space="0" w:color="auto"/>
        <w:bottom w:val="none" w:sz="0" w:space="0" w:color="auto"/>
        <w:right w:val="none" w:sz="0" w:space="0" w:color="auto"/>
      </w:divBdr>
    </w:div>
    <w:div w:id="1510220439">
      <w:bodyDiv w:val="1"/>
      <w:marLeft w:val="0"/>
      <w:marRight w:val="0"/>
      <w:marTop w:val="0"/>
      <w:marBottom w:val="0"/>
      <w:divBdr>
        <w:top w:val="none" w:sz="0" w:space="0" w:color="auto"/>
        <w:left w:val="none" w:sz="0" w:space="0" w:color="auto"/>
        <w:bottom w:val="none" w:sz="0" w:space="0" w:color="auto"/>
        <w:right w:val="none" w:sz="0" w:space="0" w:color="auto"/>
      </w:divBdr>
    </w:div>
    <w:div w:id="1510827947">
      <w:bodyDiv w:val="1"/>
      <w:marLeft w:val="0"/>
      <w:marRight w:val="0"/>
      <w:marTop w:val="0"/>
      <w:marBottom w:val="0"/>
      <w:divBdr>
        <w:top w:val="none" w:sz="0" w:space="0" w:color="auto"/>
        <w:left w:val="none" w:sz="0" w:space="0" w:color="auto"/>
        <w:bottom w:val="none" w:sz="0" w:space="0" w:color="auto"/>
        <w:right w:val="none" w:sz="0" w:space="0" w:color="auto"/>
      </w:divBdr>
    </w:div>
    <w:div w:id="1512449178">
      <w:bodyDiv w:val="1"/>
      <w:marLeft w:val="0"/>
      <w:marRight w:val="0"/>
      <w:marTop w:val="0"/>
      <w:marBottom w:val="0"/>
      <w:divBdr>
        <w:top w:val="none" w:sz="0" w:space="0" w:color="auto"/>
        <w:left w:val="none" w:sz="0" w:space="0" w:color="auto"/>
        <w:bottom w:val="none" w:sz="0" w:space="0" w:color="auto"/>
        <w:right w:val="none" w:sz="0" w:space="0" w:color="auto"/>
      </w:divBdr>
    </w:div>
    <w:div w:id="1517424647">
      <w:bodyDiv w:val="1"/>
      <w:marLeft w:val="0"/>
      <w:marRight w:val="0"/>
      <w:marTop w:val="0"/>
      <w:marBottom w:val="0"/>
      <w:divBdr>
        <w:top w:val="none" w:sz="0" w:space="0" w:color="auto"/>
        <w:left w:val="none" w:sz="0" w:space="0" w:color="auto"/>
        <w:bottom w:val="none" w:sz="0" w:space="0" w:color="auto"/>
        <w:right w:val="none" w:sz="0" w:space="0" w:color="auto"/>
      </w:divBdr>
    </w:div>
    <w:div w:id="1524436481">
      <w:bodyDiv w:val="1"/>
      <w:marLeft w:val="0"/>
      <w:marRight w:val="0"/>
      <w:marTop w:val="0"/>
      <w:marBottom w:val="0"/>
      <w:divBdr>
        <w:top w:val="none" w:sz="0" w:space="0" w:color="auto"/>
        <w:left w:val="none" w:sz="0" w:space="0" w:color="auto"/>
        <w:bottom w:val="none" w:sz="0" w:space="0" w:color="auto"/>
        <w:right w:val="none" w:sz="0" w:space="0" w:color="auto"/>
      </w:divBdr>
    </w:div>
    <w:div w:id="1526017250">
      <w:bodyDiv w:val="1"/>
      <w:marLeft w:val="0"/>
      <w:marRight w:val="0"/>
      <w:marTop w:val="0"/>
      <w:marBottom w:val="0"/>
      <w:divBdr>
        <w:top w:val="none" w:sz="0" w:space="0" w:color="auto"/>
        <w:left w:val="none" w:sz="0" w:space="0" w:color="auto"/>
        <w:bottom w:val="none" w:sz="0" w:space="0" w:color="auto"/>
        <w:right w:val="none" w:sz="0" w:space="0" w:color="auto"/>
      </w:divBdr>
    </w:div>
    <w:div w:id="1574852958">
      <w:bodyDiv w:val="1"/>
      <w:marLeft w:val="0"/>
      <w:marRight w:val="0"/>
      <w:marTop w:val="0"/>
      <w:marBottom w:val="0"/>
      <w:divBdr>
        <w:top w:val="none" w:sz="0" w:space="0" w:color="auto"/>
        <w:left w:val="none" w:sz="0" w:space="0" w:color="auto"/>
        <w:bottom w:val="none" w:sz="0" w:space="0" w:color="auto"/>
        <w:right w:val="none" w:sz="0" w:space="0" w:color="auto"/>
      </w:divBdr>
    </w:div>
    <w:div w:id="1575627920">
      <w:bodyDiv w:val="1"/>
      <w:marLeft w:val="0"/>
      <w:marRight w:val="0"/>
      <w:marTop w:val="0"/>
      <w:marBottom w:val="0"/>
      <w:divBdr>
        <w:top w:val="none" w:sz="0" w:space="0" w:color="auto"/>
        <w:left w:val="none" w:sz="0" w:space="0" w:color="auto"/>
        <w:bottom w:val="none" w:sz="0" w:space="0" w:color="auto"/>
        <w:right w:val="none" w:sz="0" w:space="0" w:color="auto"/>
      </w:divBdr>
    </w:div>
    <w:div w:id="1576550367">
      <w:bodyDiv w:val="1"/>
      <w:marLeft w:val="0"/>
      <w:marRight w:val="0"/>
      <w:marTop w:val="0"/>
      <w:marBottom w:val="0"/>
      <w:divBdr>
        <w:top w:val="none" w:sz="0" w:space="0" w:color="auto"/>
        <w:left w:val="none" w:sz="0" w:space="0" w:color="auto"/>
        <w:bottom w:val="none" w:sz="0" w:space="0" w:color="auto"/>
        <w:right w:val="none" w:sz="0" w:space="0" w:color="auto"/>
      </w:divBdr>
    </w:div>
    <w:div w:id="1591892997">
      <w:bodyDiv w:val="1"/>
      <w:marLeft w:val="0"/>
      <w:marRight w:val="0"/>
      <w:marTop w:val="0"/>
      <w:marBottom w:val="0"/>
      <w:divBdr>
        <w:top w:val="none" w:sz="0" w:space="0" w:color="auto"/>
        <w:left w:val="none" w:sz="0" w:space="0" w:color="auto"/>
        <w:bottom w:val="none" w:sz="0" w:space="0" w:color="auto"/>
        <w:right w:val="none" w:sz="0" w:space="0" w:color="auto"/>
      </w:divBdr>
    </w:div>
    <w:div w:id="1595556929">
      <w:bodyDiv w:val="1"/>
      <w:marLeft w:val="0"/>
      <w:marRight w:val="0"/>
      <w:marTop w:val="0"/>
      <w:marBottom w:val="0"/>
      <w:divBdr>
        <w:top w:val="none" w:sz="0" w:space="0" w:color="auto"/>
        <w:left w:val="none" w:sz="0" w:space="0" w:color="auto"/>
        <w:bottom w:val="none" w:sz="0" w:space="0" w:color="auto"/>
        <w:right w:val="none" w:sz="0" w:space="0" w:color="auto"/>
      </w:divBdr>
    </w:div>
    <w:div w:id="1596741256">
      <w:bodyDiv w:val="1"/>
      <w:marLeft w:val="0"/>
      <w:marRight w:val="0"/>
      <w:marTop w:val="0"/>
      <w:marBottom w:val="0"/>
      <w:divBdr>
        <w:top w:val="none" w:sz="0" w:space="0" w:color="auto"/>
        <w:left w:val="none" w:sz="0" w:space="0" w:color="auto"/>
        <w:bottom w:val="none" w:sz="0" w:space="0" w:color="auto"/>
        <w:right w:val="none" w:sz="0" w:space="0" w:color="auto"/>
      </w:divBdr>
    </w:div>
    <w:div w:id="1611549030">
      <w:bodyDiv w:val="1"/>
      <w:marLeft w:val="0"/>
      <w:marRight w:val="0"/>
      <w:marTop w:val="0"/>
      <w:marBottom w:val="0"/>
      <w:divBdr>
        <w:top w:val="none" w:sz="0" w:space="0" w:color="auto"/>
        <w:left w:val="none" w:sz="0" w:space="0" w:color="auto"/>
        <w:bottom w:val="none" w:sz="0" w:space="0" w:color="auto"/>
        <w:right w:val="none" w:sz="0" w:space="0" w:color="auto"/>
      </w:divBdr>
    </w:div>
    <w:div w:id="1631127273">
      <w:bodyDiv w:val="1"/>
      <w:marLeft w:val="0"/>
      <w:marRight w:val="0"/>
      <w:marTop w:val="0"/>
      <w:marBottom w:val="0"/>
      <w:divBdr>
        <w:top w:val="none" w:sz="0" w:space="0" w:color="auto"/>
        <w:left w:val="none" w:sz="0" w:space="0" w:color="auto"/>
        <w:bottom w:val="none" w:sz="0" w:space="0" w:color="auto"/>
        <w:right w:val="none" w:sz="0" w:space="0" w:color="auto"/>
      </w:divBdr>
    </w:div>
    <w:div w:id="1639144538">
      <w:bodyDiv w:val="1"/>
      <w:marLeft w:val="0"/>
      <w:marRight w:val="0"/>
      <w:marTop w:val="0"/>
      <w:marBottom w:val="0"/>
      <w:divBdr>
        <w:top w:val="none" w:sz="0" w:space="0" w:color="auto"/>
        <w:left w:val="none" w:sz="0" w:space="0" w:color="auto"/>
        <w:bottom w:val="none" w:sz="0" w:space="0" w:color="auto"/>
        <w:right w:val="none" w:sz="0" w:space="0" w:color="auto"/>
      </w:divBdr>
    </w:div>
    <w:div w:id="1647658205">
      <w:bodyDiv w:val="1"/>
      <w:marLeft w:val="0"/>
      <w:marRight w:val="0"/>
      <w:marTop w:val="0"/>
      <w:marBottom w:val="0"/>
      <w:divBdr>
        <w:top w:val="none" w:sz="0" w:space="0" w:color="auto"/>
        <w:left w:val="none" w:sz="0" w:space="0" w:color="auto"/>
        <w:bottom w:val="none" w:sz="0" w:space="0" w:color="auto"/>
        <w:right w:val="none" w:sz="0" w:space="0" w:color="auto"/>
      </w:divBdr>
    </w:div>
    <w:div w:id="1653486983">
      <w:bodyDiv w:val="1"/>
      <w:marLeft w:val="0"/>
      <w:marRight w:val="0"/>
      <w:marTop w:val="0"/>
      <w:marBottom w:val="0"/>
      <w:divBdr>
        <w:top w:val="none" w:sz="0" w:space="0" w:color="auto"/>
        <w:left w:val="none" w:sz="0" w:space="0" w:color="auto"/>
        <w:bottom w:val="none" w:sz="0" w:space="0" w:color="auto"/>
        <w:right w:val="none" w:sz="0" w:space="0" w:color="auto"/>
      </w:divBdr>
      <w:divsChild>
        <w:div w:id="1406994275">
          <w:marLeft w:val="0"/>
          <w:marRight w:val="0"/>
          <w:marTop w:val="0"/>
          <w:marBottom w:val="0"/>
          <w:divBdr>
            <w:top w:val="none" w:sz="0" w:space="0" w:color="auto"/>
            <w:left w:val="none" w:sz="0" w:space="0" w:color="auto"/>
            <w:bottom w:val="none" w:sz="0" w:space="0" w:color="auto"/>
            <w:right w:val="none" w:sz="0" w:space="0" w:color="auto"/>
          </w:divBdr>
          <w:divsChild>
            <w:div w:id="517618840">
              <w:marLeft w:val="0"/>
              <w:marRight w:val="251"/>
              <w:marTop w:val="0"/>
              <w:marBottom w:val="0"/>
              <w:divBdr>
                <w:top w:val="none" w:sz="0" w:space="0" w:color="auto"/>
                <w:left w:val="none" w:sz="0" w:space="0" w:color="auto"/>
                <w:bottom w:val="none" w:sz="0" w:space="0" w:color="auto"/>
                <w:right w:val="none" w:sz="0" w:space="0" w:color="auto"/>
              </w:divBdr>
              <w:divsChild>
                <w:div w:id="116680874">
                  <w:marLeft w:val="0"/>
                  <w:marRight w:val="0"/>
                  <w:marTop w:val="251"/>
                  <w:marBottom w:val="0"/>
                  <w:divBdr>
                    <w:top w:val="single" w:sz="6" w:space="0" w:color="F1F1F1"/>
                    <w:left w:val="single" w:sz="6" w:space="0" w:color="F1F1F1"/>
                    <w:bottom w:val="single" w:sz="6" w:space="0" w:color="F1F1F1"/>
                    <w:right w:val="single" w:sz="6" w:space="0" w:color="F1F1F1"/>
                  </w:divBdr>
                  <w:divsChild>
                    <w:div w:id="1779446197">
                      <w:marLeft w:val="0"/>
                      <w:marRight w:val="0"/>
                      <w:marTop w:val="0"/>
                      <w:marBottom w:val="167"/>
                      <w:divBdr>
                        <w:top w:val="none" w:sz="0" w:space="0" w:color="auto"/>
                        <w:left w:val="none" w:sz="0" w:space="0" w:color="auto"/>
                        <w:bottom w:val="none" w:sz="0" w:space="0" w:color="auto"/>
                        <w:right w:val="none" w:sz="0" w:space="0" w:color="auto"/>
                      </w:divBdr>
                    </w:div>
                  </w:divsChild>
                </w:div>
                <w:div w:id="244267450">
                  <w:marLeft w:val="0"/>
                  <w:marRight w:val="0"/>
                  <w:marTop w:val="251"/>
                  <w:marBottom w:val="0"/>
                  <w:divBdr>
                    <w:top w:val="single" w:sz="6" w:space="0" w:color="F1F1F1"/>
                    <w:left w:val="single" w:sz="6" w:space="0" w:color="F1F1F1"/>
                    <w:bottom w:val="single" w:sz="6" w:space="0" w:color="F1F1F1"/>
                    <w:right w:val="single" w:sz="6" w:space="0" w:color="F1F1F1"/>
                  </w:divBdr>
                </w:div>
                <w:div w:id="825124962">
                  <w:marLeft w:val="0"/>
                  <w:marRight w:val="0"/>
                  <w:marTop w:val="251"/>
                  <w:marBottom w:val="0"/>
                  <w:divBdr>
                    <w:top w:val="single" w:sz="6" w:space="0" w:color="F1F1F1"/>
                    <w:left w:val="single" w:sz="6" w:space="0" w:color="F1F1F1"/>
                    <w:bottom w:val="single" w:sz="6" w:space="0" w:color="F1F1F1"/>
                    <w:right w:val="single" w:sz="6" w:space="0" w:color="F1F1F1"/>
                  </w:divBdr>
                </w:div>
              </w:divsChild>
            </w:div>
            <w:div w:id="1787654391">
              <w:marLeft w:val="0"/>
              <w:marRight w:val="0"/>
              <w:marTop w:val="0"/>
              <w:marBottom w:val="0"/>
              <w:divBdr>
                <w:top w:val="none" w:sz="0" w:space="0" w:color="auto"/>
                <w:left w:val="none" w:sz="0" w:space="0" w:color="auto"/>
                <w:bottom w:val="none" w:sz="0" w:space="0" w:color="auto"/>
                <w:right w:val="none" w:sz="0" w:space="0" w:color="auto"/>
              </w:divBdr>
              <w:divsChild>
                <w:div w:id="65693636">
                  <w:marLeft w:val="0"/>
                  <w:marRight w:val="0"/>
                  <w:marTop w:val="251"/>
                  <w:marBottom w:val="0"/>
                  <w:divBdr>
                    <w:top w:val="single" w:sz="6" w:space="0" w:color="F1F1F1"/>
                    <w:left w:val="single" w:sz="6" w:space="0" w:color="F1F1F1"/>
                    <w:bottom w:val="single" w:sz="6" w:space="0" w:color="F1F1F1"/>
                    <w:right w:val="single" w:sz="6" w:space="0" w:color="F1F1F1"/>
                  </w:divBdr>
                  <w:divsChild>
                    <w:div w:id="1733697798">
                      <w:marLeft w:val="0"/>
                      <w:marRight w:val="0"/>
                      <w:marTop w:val="0"/>
                      <w:marBottom w:val="0"/>
                      <w:divBdr>
                        <w:top w:val="none" w:sz="0" w:space="0" w:color="auto"/>
                        <w:left w:val="none" w:sz="0" w:space="0" w:color="auto"/>
                        <w:bottom w:val="none" w:sz="0" w:space="0" w:color="auto"/>
                        <w:right w:val="none" w:sz="0" w:space="0" w:color="auto"/>
                      </w:divBdr>
                      <w:divsChild>
                        <w:div w:id="387843095">
                          <w:marLeft w:val="0"/>
                          <w:marRight w:val="0"/>
                          <w:marTop w:val="0"/>
                          <w:marBottom w:val="0"/>
                          <w:divBdr>
                            <w:top w:val="none" w:sz="0" w:space="0" w:color="auto"/>
                            <w:left w:val="none" w:sz="0" w:space="0" w:color="auto"/>
                            <w:bottom w:val="none" w:sz="0" w:space="0" w:color="auto"/>
                            <w:right w:val="none" w:sz="0" w:space="0" w:color="auto"/>
                          </w:divBdr>
                          <w:divsChild>
                            <w:div w:id="20339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043141">
      <w:bodyDiv w:val="1"/>
      <w:marLeft w:val="0"/>
      <w:marRight w:val="0"/>
      <w:marTop w:val="0"/>
      <w:marBottom w:val="0"/>
      <w:divBdr>
        <w:top w:val="none" w:sz="0" w:space="0" w:color="auto"/>
        <w:left w:val="none" w:sz="0" w:space="0" w:color="auto"/>
        <w:bottom w:val="none" w:sz="0" w:space="0" w:color="auto"/>
        <w:right w:val="none" w:sz="0" w:space="0" w:color="auto"/>
      </w:divBdr>
    </w:div>
    <w:div w:id="1681227657">
      <w:bodyDiv w:val="1"/>
      <w:marLeft w:val="0"/>
      <w:marRight w:val="0"/>
      <w:marTop w:val="0"/>
      <w:marBottom w:val="0"/>
      <w:divBdr>
        <w:top w:val="none" w:sz="0" w:space="0" w:color="auto"/>
        <w:left w:val="none" w:sz="0" w:space="0" w:color="auto"/>
        <w:bottom w:val="none" w:sz="0" w:space="0" w:color="auto"/>
        <w:right w:val="none" w:sz="0" w:space="0" w:color="auto"/>
      </w:divBdr>
    </w:div>
    <w:div w:id="1690374921">
      <w:bodyDiv w:val="1"/>
      <w:marLeft w:val="0"/>
      <w:marRight w:val="0"/>
      <w:marTop w:val="0"/>
      <w:marBottom w:val="0"/>
      <w:divBdr>
        <w:top w:val="none" w:sz="0" w:space="0" w:color="auto"/>
        <w:left w:val="none" w:sz="0" w:space="0" w:color="auto"/>
        <w:bottom w:val="none" w:sz="0" w:space="0" w:color="auto"/>
        <w:right w:val="none" w:sz="0" w:space="0" w:color="auto"/>
      </w:divBdr>
    </w:div>
    <w:div w:id="1696615465">
      <w:bodyDiv w:val="1"/>
      <w:marLeft w:val="0"/>
      <w:marRight w:val="0"/>
      <w:marTop w:val="0"/>
      <w:marBottom w:val="0"/>
      <w:divBdr>
        <w:top w:val="none" w:sz="0" w:space="0" w:color="auto"/>
        <w:left w:val="none" w:sz="0" w:space="0" w:color="auto"/>
        <w:bottom w:val="none" w:sz="0" w:space="0" w:color="auto"/>
        <w:right w:val="none" w:sz="0" w:space="0" w:color="auto"/>
      </w:divBdr>
    </w:div>
    <w:div w:id="1703433830">
      <w:bodyDiv w:val="1"/>
      <w:marLeft w:val="0"/>
      <w:marRight w:val="0"/>
      <w:marTop w:val="0"/>
      <w:marBottom w:val="0"/>
      <w:divBdr>
        <w:top w:val="none" w:sz="0" w:space="0" w:color="auto"/>
        <w:left w:val="none" w:sz="0" w:space="0" w:color="auto"/>
        <w:bottom w:val="none" w:sz="0" w:space="0" w:color="auto"/>
        <w:right w:val="none" w:sz="0" w:space="0" w:color="auto"/>
      </w:divBdr>
    </w:div>
    <w:div w:id="1716393718">
      <w:bodyDiv w:val="1"/>
      <w:marLeft w:val="0"/>
      <w:marRight w:val="0"/>
      <w:marTop w:val="0"/>
      <w:marBottom w:val="0"/>
      <w:divBdr>
        <w:top w:val="none" w:sz="0" w:space="0" w:color="auto"/>
        <w:left w:val="none" w:sz="0" w:space="0" w:color="auto"/>
        <w:bottom w:val="none" w:sz="0" w:space="0" w:color="auto"/>
        <w:right w:val="none" w:sz="0" w:space="0" w:color="auto"/>
      </w:divBdr>
    </w:div>
    <w:div w:id="1717779033">
      <w:bodyDiv w:val="1"/>
      <w:marLeft w:val="0"/>
      <w:marRight w:val="0"/>
      <w:marTop w:val="0"/>
      <w:marBottom w:val="0"/>
      <w:divBdr>
        <w:top w:val="none" w:sz="0" w:space="0" w:color="auto"/>
        <w:left w:val="none" w:sz="0" w:space="0" w:color="auto"/>
        <w:bottom w:val="none" w:sz="0" w:space="0" w:color="auto"/>
        <w:right w:val="none" w:sz="0" w:space="0" w:color="auto"/>
      </w:divBdr>
    </w:div>
    <w:div w:id="1719934703">
      <w:bodyDiv w:val="1"/>
      <w:marLeft w:val="0"/>
      <w:marRight w:val="0"/>
      <w:marTop w:val="0"/>
      <w:marBottom w:val="0"/>
      <w:divBdr>
        <w:top w:val="none" w:sz="0" w:space="0" w:color="auto"/>
        <w:left w:val="none" w:sz="0" w:space="0" w:color="auto"/>
        <w:bottom w:val="none" w:sz="0" w:space="0" w:color="auto"/>
        <w:right w:val="none" w:sz="0" w:space="0" w:color="auto"/>
      </w:divBdr>
    </w:div>
    <w:div w:id="1766072764">
      <w:bodyDiv w:val="1"/>
      <w:marLeft w:val="0"/>
      <w:marRight w:val="0"/>
      <w:marTop w:val="0"/>
      <w:marBottom w:val="0"/>
      <w:divBdr>
        <w:top w:val="none" w:sz="0" w:space="0" w:color="auto"/>
        <w:left w:val="none" w:sz="0" w:space="0" w:color="auto"/>
        <w:bottom w:val="none" w:sz="0" w:space="0" w:color="auto"/>
        <w:right w:val="none" w:sz="0" w:space="0" w:color="auto"/>
      </w:divBdr>
    </w:div>
    <w:div w:id="1780447117">
      <w:bodyDiv w:val="1"/>
      <w:marLeft w:val="0"/>
      <w:marRight w:val="0"/>
      <w:marTop w:val="0"/>
      <w:marBottom w:val="0"/>
      <w:divBdr>
        <w:top w:val="none" w:sz="0" w:space="0" w:color="auto"/>
        <w:left w:val="none" w:sz="0" w:space="0" w:color="auto"/>
        <w:bottom w:val="none" w:sz="0" w:space="0" w:color="auto"/>
        <w:right w:val="none" w:sz="0" w:space="0" w:color="auto"/>
      </w:divBdr>
    </w:div>
    <w:div w:id="1788307760">
      <w:bodyDiv w:val="1"/>
      <w:marLeft w:val="0"/>
      <w:marRight w:val="0"/>
      <w:marTop w:val="0"/>
      <w:marBottom w:val="0"/>
      <w:divBdr>
        <w:top w:val="none" w:sz="0" w:space="0" w:color="auto"/>
        <w:left w:val="none" w:sz="0" w:space="0" w:color="auto"/>
        <w:bottom w:val="none" w:sz="0" w:space="0" w:color="auto"/>
        <w:right w:val="none" w:sz="0" w:space="0" w:color="auto"/>
      </w:divBdr>
    </w:div>
    <w:div w:id="1788618757">
      <w:bodyDiv w:val="1"/>
      <w:marLeft w:val="0"/>
      <w:marRight w:val="0"/>
      <w:marTop w:val="0"/>
      <w:marBottom w:val="0"/>
      <w:divBdr>
        <w:top w:val="none" w:sz="0" w:space="0" w:color="auto"/>
        <w:left w:val="none" w:sz="0" w:space="0" w:color="auto"/>
        <w:bottom w:val="none" w:sz="0" w:space="0" w:color="auto"/>
        <w:right w:val="none" w:sz="0" w:space="0" w:color="auto"/>
      </w:divBdr>
    </w:div>
    <w:div w:id="1790733108">
      <w:bodyDiv w:val="1"/>
      <w:marLeft w:val="0"/>
      <w:marRight w:val="0"/>
      <w:marTop w:val="0"/>
      <w:marBottom w:val="0"/>
      <w:divBdr>
        <w:top w:val="none" w:sz="0" w:space="0" w:color="auto"/>
        <w:left w:val="none" w:sz="0" w:space="0" w:color="auto"/>
        <w:bottom w:val="none" w:sz="0" w:space="0" w:color="auto"/>
        <w:right w:val="none" w:sz="0" w:space="0" w:color="auto"/>
      </w:divBdr>
    </w:div>
    <w:div w:id="1791126634">
      <w:bodyDiv w:val="1"/>
      <w:marLeft w:val="0"/>
      <w:marRight w:val="0"/>
      <w:marTop w:val="0"/>
      <w:marBottom w:val="0"/>
      <w:divBdr>
        <w:top w:val="none" w:sz="0" w:space="0" w:color="auto"/>
        <w:left w:val="none" w:sz="0" w:space="0" w:color="auto"/>
        <w:bottom w:val="none" w:sz="0" w:space="0" w:color="auto"/>
        <w:right w:val="none" w:sz="0" w:space="0" w:color="auto"/>
      </w:divBdr>
    </w:div>
    <w:div w:id="1792820148">
      <w:bodyDiv w:val="1"/>
      <w:marLeft w:val="0"/>
      <w:marRight w:val="0"/>
      <w:marTop w:val="0"/>
      <w:marBottom w:val="0"/>
      <w:divBdr>
        <w:top w:val="none" w:sz="0" w:space="0" w:color="auto"/>
        <w:left w:val="none" w:sz="0" w:space="0" w:color="auto"/>
        <w:bottom w:val="none" w:sz="0" w:space="0" w:color="auto"/>
        <w:right w:val="none" w:sz="0" w:space="0" w:color="auto"/>
      </w:divBdr>
    </w:div>
    <w:div w:id="1808549020">
      <w:bodyDiv w:val="1"/>
      <w:marLeft w:val="0"/>
      <w:marRight w:val="0"/>
      <w:marTop w:val="0"/>
      <w:marBottom w:val="0"/>
      <w:divBdr>
        <w:top w:val="none" w:sz="0" w:space="0" w:color="auto"/>
        <w:left w:val="none" w:sz="0" w:space="0" w:color="auto"/>
        <w:bottom w:val="none" w:sz="0" w:space="0" w:color="auto"/>
        <w:right w:val="none" w:sz="0" w:space="0" w:color="auto"/>
      </w:divBdr>
    </w:div>
    <w:div w:id="1834224265">
      <w:bodyDiv w:val="1"/>
      <w:marLeft w:val="0"/>
      <w:marRight w:val="0"/>
      <w:marTop w:val="0"/>
      <w:marBottom w:val="0"/>
      <w:divBdr>
        <w:top w:val="none" w:sz="0" w:space="0" w:color="auto"/>
        <w:left w:val="none" w:sz="0" w:space="0" w:color="auto"/>
        <w:bottom w:val="none" w:sz="0" w:space="0" w:color="auto"/>
        <w:right w:val="none" w:sz="0" w:space="0" w:color="auto"/>
      </w:divBdr>
    </w:div>
    <w:div w:id="1859271993">
      <w:bodyDiv w:val="1"/>
      <w:marLeft w:val="0"/>
      <w:marRight w:val="0"/>
      <w:marTop w:val="0"/>
      <w:marBottom w:val="0"/>
      <w:divBdr>
        <w:top w:val="none" w:sz="0" w:space="0" w:color="auto"/>
        <w:left w:val="none" w:sz="0" w:space="0" w:color="auto"/>
        <w:bottom w:val="none" w:sz="0" w:space="0" w:color="auto"/>
        <w:right w:val="none" w:sz="0" w:space="0" w:color="auto"/>
      </w:divBdr>
    </w:div>
    <w:div w:id="1870219127">
      <w:bodyDiv w:val="1"/>
      <w:marLeft w:val="0"/>
      <w:marRight w:val="0"/>
      <w:marTop w:val="0"/>
      <w:marBottom w:val="0"/>
      <w:divBdr>
        <w:top w:val="none" w:sz="0" w:space="0" w:color="auto"/>
        <w:left w:val="none" w:sz="0" w:space="0" w:color="auto"/>
        <w:bottom w:val="none" w:sz="0" w:space="0" w:color="auto"/>
        <w:right w:val="none" w:sz="0" w:space="0" w:color="auto"/>
      </w:divBdr>
    </w:div>
    <w:div w:id="1875994419">
      <w:bodyDiv w:val="1"/>
      <w:marLeft w:val="0"/>
      <w:marRight w:val="0"/>
      <w:marTop w:val="0"/>
      <w:marBottom w:val="0"/>
      <w:divBdr>
        <w:top w:val="none" w:sz="0" w:space="0" w:color="auto"/>
        <w:left w:val="none" w:sz="0" w:space="0" w:color="auto"/>
        <w:bottom w:val="none" w:sz="0" w:space="0" w:color="auto"/>
        <w:right w:val="none" w:sz="0" w:space="0" w:color="auto"/>
      </w:divBdr>
    </w:div>
    <w:div w:id="1924103741">
      <w:bodyDiv w:val="1"/>
      <w:marLeft w:val="0"/>
      <w:marRight w:val="0"/>
      <w:marTop w:val="0"/>
      <w:marBottom w:val="0"/>
      <w:divBdr>
        <w:top w:val="none" w:sz="0" w:space="0" w:color="auto"/>
        <w:left w:val="none" w:sz="0" w:space="0" w:color="auto"/>
        <w:bottom w:val="none" w:sz="0" w:space="0" w:color="auto"/>
        <w:right w:val="none" w:sz="0" w:space="0" w:color="auto"/>
      </w:divBdr>
    </w:div>
    <w:div w:id="1931967328">
      <w:bodyDiv w:val="1"/>
      <w:marLeft w:val="0"/>
      <w:marRight w:val="0"/>
      <w:marTop w:val="0"/>
      <w:marBottom w:val="0"/>
      <w:divBdr>
        <w:top w:val="none" w:sz="0" w:space="0" w:color="auto"/>
        <w:left w:val="none" w:sz="0" w:space="0" w:color="auto"/>
        <w:bottom w:val="none" w:sz="0" w:space="0" w:color="auto"/>
        <w:right w:val="none" w:sz="0" w:space="0" w:color="auto"/>
      </w:divBdr>
    </w:div>
    <w:div w:id="1938705497">
      <w:bodyDiv w:val="1"/>
      <w:marLeft w:val="0"/>
      <w:marRight w:val="0"/>
      <w:marTop w:val="0"/>
      <w:marBottom w:val="0"/>
      <w:divBdr>
        <w:top w:val="none" w:sz="0" w:space="0" w:color="auto"/>
        <w:left w:val="none" w:sz="0" w:space="0" w:color="auto"/>
        <w:bottom w:val="none" w:sz="0" w:space="0" w:color="auto"/>
        <w:right w:val="none" w:sz="0" w:space="0" w:color="auto"/>
      </w:divBdr>
    </w:div>
    <w:div w:id="1951744626">
      <w:bodyDiv w:val="1"/>
      <w:marLeft w:val="0"/>
      <w:marRight w:val="0"/>
      <w:marTop w:val="0"/>
      <w:marBottom w:val="0"/>
      <w:divBdr>
        <w:top w:val="none" w:sz="0" w:space="0" w:color="auto"/>
        <w:left w:val="none" w:sz="0" w:space="0" w:color="auto"/>
        <w:bottom w:val="none" w:sz="0" w:space="0" w:color="auto"/>
        <w:right w:val="none" w:sz="0" w:space="0" w:color="auto"/>
      </w:divBdr>
    </w:div>
    <w:div w:id="1956594557">
      <w:bodyDiv w:val="1"/>
      <w:marLeft w:val="0"/>
      <w:marRight w:val="0"/>
      <w:marTop w:val="0"/>
      <w:marBottom w:val="0"/>
      <w:divBdr>
        <w:top w:val="none" w:sz="0" w:space="0" w:color="auto"/>
        <w:left w:val="none" w:sz="0" w:space="0" w:color="auto"/>
        <w:bottom w:val="none" w:sz="0" w:space="0" w:color="auto"/>
        <w:right w:val="none" w:sz="0" w:space="0" w:color="auto"/>
      </w:divBdr>
    </w:div>
    <w:div w:id="1968046293">
      <w:bodyDiv w:val="1"/>
      <w:marLeft w:val="0"/>
      <w:marRight w:val="0"/>
      <w:marTop w:val="0"/>
      <w:marBottom w:val="0"/>
      <w:divBdr>
        <w:top w:val="none" w:sz="0" w:space="0" w:color="auto"/>
        <w:left w:val="none" w:sz="0" w:space="0" w:color="auto"/>
        <w:bottom w:val="none" w:sz="0" w:space="0" w:color="auto"/>
        <w:right w:val="none" w:sz="0" w:space="0" w:color="auto"/>
      </w:divBdr>
    </w:div>
    <w:div w:id="1980499209">
      <w:bodyDiv w:val="1"/>
      <w:marLeft w:val="0"/>
      <w:marRight w:val="0"/>
      <w:marTop w:val="0"/>
      <w:marBottom w:val="0"/>
      <w:divBdr>
        <w:top w:val="none" w:sz="0" w:space="0" w:color="auto"/>
        <w:left w:val="none" w:sz="0" w:space="0" w:color="auto"/>
        <w:bottom w:val="none" w:sz="0" w:space="0" w:color="auto"/>
        <w:right w:val="none" w:sz="0" w:space="0" w:color="auto"/>
      </w:divBdr>
    </w:div>
    <w:div w:id="2010518887">
      <w:bodyDiv w:val="1"/>
      <w:marLeft w:val="0"/>
      <w:marRight w:val="0"/>
      <w:marTop w:val="0"/>
      <w:marBottom w:val="0"/>
      <w:divBdr>
        <w:top w:val="none" w:sz="0" w:space="0" w:color="auto"/>
        <w:left w:val="none" w:sz="0" w:space="0" w:color="auto"/>
        <w:bottom w:val="none" w:sz="0" w:space="0" w:color="auto"/>
        <w:right w:val="none" w:sz="0" w:space="0" w:color="auto"/>
      </w:divBdr>
    </w:div>
    <w:div w:id="2013482370">
      <w:bodyDiv w:val="1"/>
      <w:marLeft w:val="0"/>
      <w:marRight w:val="0"/>
      <w:marTop w:val="0"/>
      <w:marBottom w:val="0"/>
      <w:divBdr>
        <w:top w:val="none" w:sz="0" w:space="0" w:color="auto"/>
        <w:left w:val="none" w:sz="0" w:space="0" w:color="auto"/>
        <w:bottom w:val="none" w:sz="0" w:space="0" w:color="auto"/>
        <w:right w:val="none" w:sz="0" w:space="0" w:color="auto"/>
      </w:divBdr>
    </w:div>
    <w:div w:id="2023848086">
      <w:bodyDiv w:val="1"/>
      <w:marLeft w:val="0"/>
      <w:marRight w:val="0"/>
      <w:marTop w:val="0"/>
      <w:marBottom w:val="0"/>
      <w:divBdr>
        <w:top w:val="none" w:sz="0" w:space="0" w:color="auto"/>
        <w:left w:val="none" w:sz="0" w:space="0" w:color="auto"/>
        <w:bottom w:val="none" w:sz="0" w:space="0" w:color="auto"/>
        <w:right w:val="none" w:sz="0" w:space="0" w:color="auto"/>
      </w:divBdr>
    </w:div>
    <w:div w:id="2042317089">
      <w:bodyDiv w:val="1"/>
      <w:marLeft w:val="0"/>
      <w:marRight w:val="0"/>
      <w:marTop w:val="0"/>
      <w:marBottom w:val="0"/>
      <w:divBdr>
        <w:top w:val="none" w:sz="0" w:space="0" w:color="auto"/>
        <w:left w:val="none" w:sz="0" w:space="0" w:color="auto"/>
        <w:bottom w:val="none" w:sz="0" w:space="0" w:color="auto"/>
        <w:right w:val="none" w:sz="0" w:space="0" w:color="auto"/>
      </w:divBdr>
    </w:div>
    <w:div w:id="2055613297">
      <w:bodyDiv w:val="1"/>
      <w:marLeft w:val="0"/>
      <w:marRight w:val="0"/>
      <w:marTop w:val="0"/>
      <w:marBottom w:val="0"/>
      <w:divBdr>
        <w:top w:val="none" w:sz="0" w:space="0" w:color="auto"/>
        <w:left w:val="none" w:sz="0" w:space="0" w:color="auto"/>
        <w:bottom w:val="none" w:sz="0" w:space="0" w:color="auto"/>
        <w:right w:val="none" w:sz="0" w:space="0" w:color="auto"/>
      </w:divBdr>
    </w:div>
    <w:div w:id="2059667546">
      <w:bodyDiv w:val="1"/>
      <w:marLeft w:val="0"/>
      <w:marRight w:val="0"/>
      <w:marTop w:val="0"/>
      <w:marBottom w:val="0"/>
      <w:divBdr>
        <w:top w:val="none" w:sz="0" w:space="0" w:color="auto"/>
        <w:left w:val="none" w:sz="0" w:space="0" w:color="auto"/>
        <w:bottom w:val="none" w:sz="0" w:space="0" w:color="auto"/>
        <w:right w:val="none" w:sz="0" w:space="0" w:color="auto"/>
      </w:divBdr>
    </w:div>
    <w:div w:id="2061973538">
      <w:bodyDiv w:val="1"/>
      <w:marLeft w:val="0"/>
      <w:marRight w:val="0"/>
      <w:marTop w:val="0"/>
      <w:marBottom w:val="0"/>
      <w:divBdr>
        <w:top w:val="none" w:sz="0" w:space="0" w:color="auto"/>
        <w:left w:val="none" w:sz="0" w:space="0" w:color="auto"/>
        <w:bottom w:val="none" w:sz="0" w:space="0" w:color="auto"/>
        <w:right w:val="none" w:sz="0" w:space="0" w:color="auto"/>
      </w:divBdr>
    </w:div>
    <w:div w:id="2064980694">
      <w:bodyDiv w:val="1"/>
      <w:marLeft w:val="0"/>
      <w:marRight w:val="0"/>
      <w:marTop w:val="0"/>
      <w:marBottom w:val="0"/>
      <w:divBdr>
        <w:top w:val="none" w:sz="0" w:space="0" w:color="auto"/>
        <w:left w:val="none" w:sz="0" w:space="0" w:color="auto"/>
        <w:bottom w:val="none" w:sz="0" w:space="0" w:color="auto"/>
        <w:right w:val="none" w:sz="0" w:space="0" w:color="auto"/>
      </w:divBdr>
    </w:div>
    <w:div w:id="2065911688">
      <w:bodyDiv w:val="1"/>
      <w:marLeft w:val="0"/>
      <w:marRight w:val="0"/>
      <w:marTop w:val="0"/>
      <w:marBottom w:val="0"/>
      <w:divBdr>
        <w:top w:val="none" w:sz="0" w:space="0" w:color="auto"/>
        <w:left w:val="none" w:sz="0" w:space="0" w:color="auto"/>
        <w:bottom w:val="none" w:sz="0" w:space="0" w:color="auto"/>
        <w:right w:val="none" w:sz="0" w:space="0" w:color="auto"/>
      </w:divBdr>
    </w:div>
    <w:div w:id="2067605421">
      <w:bodyDiv w:val="1"/>
      <w:marLeft w:val="0"/>
      <w:marRight w:val="0"/>
      <w:marTop w:val="0"/>
      <w:marBottom w:val="0"/>
      <w:divBdr>
        <w:top w:val="none" w:sz="0" w:space="0" w:color="auto"/>
        <w:left w:val="none" w:sz="0" w:space="0" w:color="auto"/>
        <w:bottom w:val="none" w:sz="0" w:space="0" w:color="auto"/>
        <w:right w:val="none" w:sz="0" w:space="0" w:color="auto"/>
      </w:divBdr>
    </w:div>
    <w:div w:id="2071492704">
      <w:bodyDiv w:val="1"/>
      <w:marLeft w:val="0"/>
      <w:marRight w:val="0"/>
      <w:marTop w:val="0"/>
      <w:marBottom w:val="0"/>
      <w:divBdr>
        <w:top w:val="none" w:sz="0" w:space="0" w:color="auto"/>
        <w:left w:val="none" w:sz="0" w:space="0" w:color="auto"/>
        <w:bottom w:val="none" w:sz="0" w:space="0" w:color="auto"/>
        <w:right w:val="none" w:sz="0" w:space="0" w:color="auto"/>
      </w:divBdr>
    </w:div>
    <w:div w:id="2073113308">
      <w:bodyDiv w:val="1"/>
      <w:marLeft w:val="0"/>
      <w:marRight w:val="0"/>
      <w:marTop w:val="0"/>
      <w:marBottom w:val="0"/>
      <w:divBdr>
        <w:top w:val="none" w:sz="0" w:space="0" w:color="auto"/>
        <w:left w:val="none" w:sz="0" w:space="0" w:color="auto"/>
        <w:bottom w:val="none" w:sz="0" w:space="0" w:color="auto"/>
        <w:right w:val="none" w:sz="0" w:space="0" w:color="auto"/>
      </w:divBdr>
    </w:div>
    <w:div w:id="2074307075">
      <w:bodyDiv w:val="1"/>
      <w:marLeft w:val="0"/>
      <w:marRight w:val="0"/>
      <w:marTop w:val="0"/>
      <w:marBottom w:val="0"/>
      <w:divBdr>
        <w:top w:val="none" w:sz="0" w:space="0" w:color="auto"/>
        <w:left w:val="none" w:sz="0" w:space="0" w:color="auto"/>
        <w:bottom w:val="none" w:sz="0" w:space="0" w:color="auto"/>
        <w:right w:val="none" w:sz="0" w:space="0" w:color="auto"/>
      </w:divBdr>
    </w:div>
    <w:div w:id="2075658153">
      <w:bodyDiv w:val="1"/>
      <w:marLeft w:val="0"/>
      <w:marRight w:val="0"/>
      <w:marTop w:val="0"/>
      <w:marBottom w:val="0"/>
      <w:divBdr>
        <w:top w:val="none" w:sz="0" w:space="0" w:color="auto"/>
        <w:left w:val="none" w:sz="0" w:space="0" w:color="auto"/>
        <w:bottom w:val="none" w:sz="0" w:space="0" w:color="auto"/>
        <w:right w:val="none" w:sz="0" w:space="0" w:color="auto"/>
      </w:divBdr>
    </w:div>
    <w:div w:id="2076317308">
      <w:bodyDiv w:val="1"/>
      <w:marLeft w:val="0"/>
      <w:marRight w:val="0"/>
      <w:marTop w:val="0"/>
      <w:marBottom w:val="0"/>
      <w:divBdr>
        <w:top w:val="none" w:sz="0" w:space="0" w:color="auto"/>
        <w:left w:val="none" w:sz="0" w:space="0" w:color="auto"/>
        <w:bottom w:val="none" w:sz="0" w:space="0" w:color="auto"/>
        <w:right w:val="none" w:sz="0" w:space="0" w:color="auto"/>
      </w:divBdr>
    </w:div>
    <w:div w:id="2092652793">
      <w:bodyDiv w:val="1"/>
      <w:marLeft w:val="0"/>
      <w:marRight w:val="0"/>
      <w:marTop w:val="0"/>
      <w:marBottom w:val="0"/>
      <w:divBdr>
        <w:top w:val="none" w:sz="0" w:space="0" w:color="auto"/>
        <w:left w:val="none" w:sz="0" w:space="0" w:color="auto"/>
        <w:bottom w:val="none" w:sz="0" w:space="0" w:color="auto"/>
        <w:right w:val="none" w:sz="0" w:space="0" w:color="auto"/>
      </w:divBdr>
    </w:div>
    <w:div w:id="2092970834">
      <w:bodyDiv w:val="1"/>
      <w:marLeft w:val="0"/>
      <w:marRight w:val="0"/>
      <w:marTop w:val="0"/>
      <w:marBottom w:val="0"/>
      <w:divBdr>
        <w:top w:val="none" w:sz="0" w:space="0" w:color="auto"/>
        <w:left w:val="none" w:sz="0" w:space="0" w:color="auto"/>
        <w:bottom w:val="none" w:sz="0" w:space="0" w:color="auto"/>
        <w:right w:val="none" w:sz="0" w:space="0" w:color="auto"/>
      </w:divBdr>
    </w:div>
    <w:div w:id="2107925310">
      <w:bodyDiv w:val="1"/>
      <w:marLeft w:val="0"/>
      <w:marRight w:val="0"/>
      <w:marTop w:val="0"/>
      <w:marBottom w:val="0"/>
      <w:divBdr>
        <w:top w:val="none" w:sz="0" w:space="0" w:color="auto"/>
        <w:left w:val="none" w:sz="0" w:space="0" w:color="auto"/>
        <w:bottom w:val="none" w:sz="0" w:space="0" w:color="auto"/>
        <w:right w:val="none" w:sz="0" w:space="0" w:color="auto"/>
      </w:divBdr>
    </w:div>
    <w:div w:id="2111004311">
      <w:bodyDiv w:val="1"/>
      <w:marLeft w:val="0"/>
      <w:marRight w:val="0"/>
      <w:marTop w:val="0"/>
      <w:marBottom w:val="0"/>
      <w:divBdr>
        <w:top w:val="none" w:sz="0" w:space="0" w:color="auto"/>
        <w:left w:val="none" w:sz="0" w:space="0" w:color="auto"/>
        <w:bottom w:val="none" w:sz="0" w:space="0" w:color="auto"/>
        <w:right w:val="none" w:sz="0" w:space="0" w:color="auto"/>
      </w:divBdr>
    </w:div>
    <w:div w:id="213910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0B06AC-8C39-466B-8A66-1430ED486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48</Pages>
  <Words>16600</Words>
  <Characters>99701</Characters>
  <Application>Microsoft Office Word</Application>
  <DocSecurity>0</DocSecurity>
  <Lines>830</Lines>
  <Paragraphs>232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Noty do skróconego skonsolidowanego sprawozdania finansowego</vt:lpstr>
      <vt:lpstr>Noty do skróconego skonsolidowanego sprawozdania finansowego</vt:lpstr>
    </vt:vector>
  </TitlesOfParts>
  <Company>INTERFERIE S.A.</Company>
  <LinksUpToDate>false</LinksUpToDate>
  <CharactersWithSpaces>116069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Noty do skróconego skonsolidowanego sprawozdania finansowego</dc:title>
  <dc:creator>Marta Majewska</dc:creator>
  <cp:lastModifiedBy>Marta Majewska</cp:lastModifiedBy>
  <cp:revision>26</cp:revision>
  <cp:lastPrinted>2021-10-19T10:42:00Z</cp:lastPrinted>
  <dcterms:created xsi:type="dcterms:W3CDTF">2021-10-20T13:33:00Z</dcterms:created>
  <dcterms:modified xsi:type="dcterms:W3CDTF">2021-10-22T10:45:00Z</dcterms:modified>
</cp:coreProperties>
</file>